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366" w14:paraId="4D15A4F6" w14:textId="77777777" w:rsidTr="0010095E">
        <w:trPr>
          <w:trHeight w:hRule="exact" w:val="1418"/>
        </w:trPr>
        <w:tc>
          <w:tcPr>
            <w:tcW w:w="6804" w:type="dxa"/>
            <w:shd w:val="clear" w:color="auto" w:fill="auto"/>
            <w:vAlign w:val="center"/>
          </w:tcPr>
          <w:p w14:paraId="0F3F529C" w14:textId="77777777" w:rsidR="00751A4A" w:rsidRPr="00B76366" w:rsidRDefault="000B484B" w:rsidP="0010095E">
            <w:pPr>
              <w:pStyle w:val="EPName"/>
            </w:pPr>
            <w:r w:rsidRPr="00B76366">
              <w:t>Evropski parlament</w:t>
            </w:r>
          </w:p>
          <w:p w14:paraId="0B50DF5A" w14:textId="77777777" w:rsidR="00751A4A" w:rsidRPr="00B76366" w:rsidRDefault="005F1B17" w:rsidP="005F1B17">
            <w:pPr>
              <w:pStyle w:val="EPTerm"/>
              <w:rPr>
                <w:rStyle w:val="HideTWBExt"/>
                <w:noProof w:val="0"/>
                <w:vanish w:val="0"/>
                <w:color w:val="auto"/>
              </w:rPr>
            </w:pPr>
            <w:r w:rsidRPr="00B76366">
              <w:t>2024</w:t>
            </w:r>
            <w:r w:rsidR="00817416" w:rsidRPr="00B76366">
              <w:t>-202</w:t>
            </w:r>
            <w:r w:rsidRPr="00B76366">
              <w:t>9</w:t>
            </w:r>
          </w:p>
        </w:tc>
        <w:tc>
          <w:tcPr>
            <w:tcW w:w="2268" w:type="dxa"/>
            <w:shd w:val="clear" w:color="auto" w:fill="auto"/>
          </w:tcPr>
          <w:p w14:paraId="38952768" w14:textId="77777777" w:rsidR="00751A4A" w:rsidRPr="00B76366" w:rsidRDefault="00187494" w:rsidP="0010095E">
            <w:pPr>
              <w:pStyle w:val="EPLogo"/>
            </w:pPr>
            <w:r w:rsidRPr="00B76366">
              <w:rPr>
                <w:noProof/>
                <w:lang w:eastAsia="ja-JP"/>
              </w:rPr>
              <w:drawing>
                <wp:inline distT="0" distB="0" distL="0" distR="0" wp14:anchorId="5F10654A" wp14:editId="130ABA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664596" w14:textId="77777777" w:rsidR="00D058B8" w:rsidRPr="00B76366" w:rsidRDefault="00D058B8" w:rsidP="004C5D52">
      <w:pPr>
        <w:pStyle w:val="LineTop"/>
      </w:pPr>
    </w:p>
    <w:p w14:paraId="38886BA0" w14:textId="77777777" w:rsidR="00680577" w:rsidRPr="00B76366" w:rsidRDefault="000B484B" w:rsidP="00680577">
      <w:pPr>
        <w:pStyle w:val="EPBodyTA1"/>
      </w:pPr>
      <w:r w:rsidRPr="00B76366">
        <w:t>SPREJETA BESEDILA</w:t>
      </w:r>
    </w:p>
    <w:p w14:paraId="6495B4AF" w14:textId="77777777" w:rsidR="00D058B8" w:rsidRPr="00B76366" w:rsidRDefault="00D058B8" w:rsidP="00D058B8">
      <w:pPr>
        <w:pStyle w:val="LineBottom"/>
      </w:pPr>
    </w:p>
    <w:p w14:paraId="5E419C6D" w14:textId="004CAC6D" w:rsidR="000B484B" w:rsidRPr="00B76366" w:rsidRDefault="000B484B" w:rsidP="000B484B">
      <w:pPr>
        <w:pStyle w:val="ATHeading1"/>
      </w:pPr>
      <w:bookmarkStart w:id="0" w:name="TANumber"/>
      <w:r w:rsidRPr="00B76366">
        <w:t>P10_TA(2026)</w:t>
      </w:r>
      <w:bookmarkEnd w:id="0"/>
      <w:r w:rsidR="00C8599B">
        <w:t>0044</w:t>
      </w:r>
    </w:p>
    <w:p w14:paraId="161AEF4C" w14:textId="77777777" w:rsidR="000B484B" w:rsidRPr="00B76366" w:rsidRDefault="000B484B" w:rsidP="000B484B">
      <w:pPr>
        <w:pStyle w:val="ATHeading2"/>
      </w:pPr>
      <w:bookmarkStart w:id="1" w:name="title"/>
      <w:r w:rsidRPr="00B76366">
        <w:t>Gensko spremenjeni bombaž T304-40</w:t>
      </w:r>
      <w:bookmarkEnd w:id="1"/>
    </w:p>
    <w:p w14:paraId="225AE717" w14:textId="77777777" w:rsidR="000B484B" w:rsidRPr="00B76366" w:rsidRDefault="000B484B" w:rsidP="000B484B">
      <w:pPr>
        <w:rPr>
          <w:i/>
          <w:vanish/>
        </w:rPr>
      </w:pPr>
      <w:r w:rsidRPr="00B76366">
        <w:rPr>
          <w:i/>
        </w:rPr>
        <w:fldChar w:fldCharType="begin"/>
      </w:r>
      <w:r w:rsidRPr="00B76366">
        <w:rPr>
          <w:i/>
        </w:rPr>
        <w:instrText xml:space="preserve"> TC"(</w:instrText>
      </w:r>
      <w:bookmarkStart w:id="2" w:name="DocNumber"/>
      <w:r w:rsidRPr="00B76366">
        <w:rPr>
          <w:i/>
        </w:rPr>
        <w:instrText>B10-0108/2026</w:instrText>
      </w:r>
      <w:bookmarkEnd w:id="2"/>
      <w:r w:rsidRPr="00B76366">
        <w:rPr>
          <w:i/>
        </w:rPr>
        <w:instrText xml:space="preserve">)"\l3 \n&gt; \* MERGEFORMAT </w:instrText>
      </w:r>
      <w:r w:rsidRPr="00B76366">
        <w:rPr>
          <w:i/>
        </w:rPr>
        <w:fldChar w:fldCharType="end"/>
      </w:r>
    </w:p>
    <w:p w14:paraId="146024D7" w14:textId="77777777" w:rsidR="000B484B" w:rsidRPr="00B76366" w:rsidRDefault="000B484B" w:rsidP="000B484B">
      <w:pPr>
        <w:rPr>
          <w:vanish/>
        </w:rPr>
      </w:pPr>
      <w:bookmarkStart w:id="3" w:name="PE"/>
      <w:r w:rsidRPr="00B76366">
        <w:rPr>
          <w:vanish/>
        </w:rPr>
        <w:t>PE782.164</w:t>
      </w:r>
      <w:bookmarkEnd w:id="3"/>
    </w:p>
    <w:p w14:paraId="47720A85" w14:textId="442FBD8A" w:rsidR="000B484B" w:rsidRPr="00B76366" w:rsidRDefault="000B484B" w:rsidP="000B484B">
      <w:pPr>
        <w:pStyle w:val="ATHeading3"/>
      </w:pPr>
      <w:bookmarkStart w:id="4" w:name="Sujet"/>
      <w:r w:rsidRPr="00B76366">
        <w:t xml:space="preserve">Resolucija Evropskega parlamenta z dne </w:t>
      </w:r>
      <w:r w:rsidR="00040D4E">
        <w:t>11. februarja</w:t>
      </w:r>
      <w:r w:rsidRPr="00B76366">
        <w:t xml:space="preserve"> 2026 o osnutku izvedbenega sklepa Komisije o obnovitvi odobritve dajanja proizvodov, ki vsebujejo gensko spremenjeni bombaž T304-40, so iz njega sestavljeni ali proizvedeni, na trg na podlagi Uredbe (ES) št. 1829/2003 Evropskega parlamenta in Sveta</w:t>
      </w:r>
      <w:bookmarkEnd w:id="4"/>
      <w:r w:rsidRPr="00B76366">
        <w:t xml:space="preserve"> </w:t>
      </w:r>
      <w:bookmarkStart w:id="5" w:name="References"/>
      <w:r w:rsidRPr="00B76366">
        <w:t>(D111477/02 – 2026/2518(RSP))</w:t>
      </w:r>
      <w:bookmarkEnd w:id="5"/>
    </w:p>
    <w:p w14:paraId="488BFFE8" w14:textId="77777777" w:rsidR="00AE59C2" w:rsidRPr="00B76366" w:rsidRDefault="00AE59C2" w:rsidP="00AE59C2">
      <w:pPr>
        <w:pStyle w:val="EPComma"/>
      </w:pPr>
      <w:bookmarkStart w:id="6" w:name="TextBodyBegin"/>
      <w:bookmarkEnd w:id="6"/>
      <w:r w:rsidRPr="00B76366">
        <w:rPr>
          <w:i/>
        </w:rPr>
        <w:t>Evropski parlament</w:t>
      </w:r>
      <w:r w:rsidRPr="00B76366">
        <w:t>,</w:t>
      </w:r>
    </w:p>
    <w:p w14:paraId="3DE53FFF" w14:textId="77777777" w:rsidR="00AE59C2" w:rsidRPr="00B76366" w:rsidRDefault="00AE59C2" w:rsidP="00AE59C2">
      <w:pPr>
        <w:pStyle w:val="NormalHanging12a"/>
      </w:pPr>
      <w:r w:rsidRPr="00B76366">
        <w:t>–</w:t>
      </w:r>
      <w:r w:rsidRPr="00B76366">
        <w:tab/>
        <w:t>ob upoštevanju osnutka izvedbenega sklepa Komisije o obnovitvi odobritve dajanja proizvodov, ki vsebujejo gensko spremenjeni bombaž T304-40, so iz njega sestavljeni ali proizvedeni, na trg na podlagi Uredbe (ES) št. 1829/2003 Evropskega parlamenta in Sveta (D111477/02),</w:t>
      </w:r>
    </w:p>
    <w:p w14:paraId="1ED4F5E0" w14:textId="77777777" w:rsidR="00AE59C2" w:rsidRPr="00B76366" w:rsidRDefault="00AE59C2" w:rsidP="00AE59C2">
      <w:pPr>
        <w:pStyle w:val="NormalHanging12a"/>
      </w:pPr>
      <w:r w:rsidRPr="00B76366">
        <w:t>–</w:t>
      </w:r>
      <w:r w:rsidRPr="00B76366">
        <w:tab/>
        <w:t>ob upoštevanju Uredbe (ES) št. 1829/2003 Evropskega parlamenta in Sveta z dne 22. septembra 2003 o gensko spremenjenih živilih in krmi</w:t>
      </w:r>
      <w:r w:rsidRPr="00B76366">
        <w:rPr>
          <w:vertAlign w:val="superscript"/>
        </w:rPr>
        <w:footnoteReference w:id="1"/>
      </w:r>
      <w:r w:rsidRPr="00B76366">
        <w:t>, zlasti členov 11(3) in 23(3),</w:t>
      </w:r>
    </w:p>
    <w:p w14:paraId="6AE95CDA" w14:textId="187F7351" w:rsidR="00AE59C2" w:rsidRPr="00B76366" w:rsidRDefault="00AE59C2" w:rsidP="00AE59C2">
      <w:pPr>
        <w:pStyle w:val="NormalHanging12a"/>
      </w:pPr>
      <w:bookmarkStart w:id="7" w:name="_Hlk210666078"/>
      <w:r w:rsidRPr="00B76366">
        <w:t>–</w:t>
      </w:r>
      <w:r w:rsidRPr="00B76366">
        <w:tab/>
        <w:t xml:space="preserve">ob upoštevanju glasovanja </w:t>
      </w:r>
      <w:bookmarkStart w:id="8" w:name="_Hlk210664905"/>
      <w:r w:rsidRPr="00B76366">
        <w:t>Stalnega odbora za rastline, živali, hrano in krmo</w:t>
      </w:r>
      <w:bookmarkEnd w:id="8"/>
      <w:r w:rsidRPr="00B76366">
        <w:t xml:space="preserve"> iz člena 35 Uredbe (ES) št. 1829/2003, ki je potekalo 12. decembra 202</w:t>
      </w:r>
      <w:bookmarkEnd w:id="7"/>
      <w:r w:rsidRPr="00B76366">
        <w:t xml:space="preserve">5 </w:t>
      </w:r>
      <w:r w:rsidR="00040D4E">
        <w:t>in na podlagi katerega</w:t>
      </w:r>
      <w:r w:rsidR="00040D4E" w:rsidRPr="00C5574F">
        <w:t xml:space="preserve"> mnenje</w:t>
      </w:r>
      <w:r w:rsidR="00040D4E">
        <w:t xml:space="preserve"> </w:t>
      </w:r>
      <w:r w:rsidR="00040D4E" w:rsidRPr="00C5574F">
        <w:t xml:space="preserve">ni bilo </w:t>
      </w:r>
      <w:r w:rsidR="00040D4E">
        <w:t>podano</w:t>
      </w:r>
      <w:r w:rsidR="00040D4E" w:rsidRPr="00C5574F">
        <w:t xml:space="preserve">, </w:t>
      </w:r>
      <w:r w:rsidR="00040D4E">
        <w:t>ter</w:t>
      </w:r>
      <w:r w:rsidR="00040D4E" w:rsidRPr="001F396D">
        <w:t xml:space="preserve"> glasovanja v odboru za pritožbe 27. januarja 2026</w:t>
      </w:r>
      <w:r w:rsidR="00040D4E" w:rsidRPr="007A2312">
        <w:t xml:space="preserve">, </w:t>
      </w:r>
      <w:r w:rsidR="00040D4E">
        <w:t>na podlagi katerega</w:t>
      </w:r>
      <w:r w:rsidR="00040D4E" w:rsidRPr="001F396D">
        <w:t xml:space="preserve"> </w:t>
      </w:r>
      <w:r w:rsidR="00040D4E">
        <w:t xml:space="preserve">mnenje </w:t>
      </w:r>
      <w:r w:rsidR="00040D4E" w:rsidRPr="001F396D">
        <w:t xml:space="preserve">prav tako ni bilo </w:t>
      </w:r>
      <w:r w:rsidR="00040D4E">
        <w:t>podano</w:t>
      </w:r>
      <w:r w:rsidRPr="00B76366">
        <w:t xml:space="preserve">, </w:t>
      </w:r>
    </w:p>
    <w:p w14:paraId="159C062B" w14:textId="77777777" w:rsidR="00AE59C2" w:rsidRPr="00B76366" w:rsidRDefault="00AE59C2" w:rsidP="00AE59C2">
      <w:pPr>
        <w:pStyle w:val="NormalHanging12a"/>
      </w:pPr>
      <w:r w:rsidRPr="00B76366">
        <w:t>–</w:t>
      </w:r>
      <w:r w:rsidRPr="00B76366">
        <w:tab/>
        <w:t>ob upoštevanju člena 11 Uredbe (EU) št. 182/2011 Evropskega parlamenta in Sveta z dne 16. februarja 2011 o določitvi splošnih pravil in načel, na podlagi katerih države članice nadzirajo izvajanje izvedbenih pooblastil Komisije</w:t>
      </w:r>
      <w:r w:rsidRPr="00B76366">
        <w:rPr>
          <w:vertAlign w:val="superscript"/>
        </w:rPr>
        <w:footnoteReference w:id="2"/>
      </w:r>
      <w:r w:rsidRPr="00B76366">
        <w:t>,</w:t>
      </w:r>
    </w:p>
    <w:p w14:paraId="1DA5538C" w14:textId="77777777" w:rsidR="00AE59C2" w:rsidRPr="00B76366" w:rsidRDefault="00AE59C2" w:rsidP="00AE59C2">
      <w:pPr>
        <w:pStyle w:val="NormalHanging12a"/>
      </w:pPr>
      <w:r w:rsidRPr="00B76366">
        <w:t>–</w:t>
      </w:r>
      <w:r w:rsidRPr="00B76366">
        <w:tab/>
        <w:t>ob upoštevanju mnenja, ki ga je Evropska agencija za varnost hrane (EFSA) sprejela 30. junija 2025 in objavila 22. julija 2025</w:t>
      </w:r>
      <w:r w:rsidRPr="00B76366">
        <w:rPr>
          <w:vertAlign w:val="superscript"/>
        </w:rPr>
        <w:footnoteReference w:id="3"/>
      </w:r>
      <w:r w:rsidRPr="00B76366">
        <w:t>,</w:t>
      </w:r>
    </w:p>
    <w:p w14:paraId="6A82F6FA" w14:textId="77777777" w:rsidR="00AE59C2" w:rsidRPr="00B76366" w:rsidRDefault="00AE59C2" w:rsidP="00AE59C2">
      <w:pPr>
        <w:pStyle w:val="NormalHanging12a"/>
      </w:pPr>
      <w:r w:rsidRPr="00B76366">
        <w:t>–</w:t>
      </w:r>
      <w:r w:rsidRPr="00B76366">
        <w:tab/>
        <w:t xml:space="preserve">ob upoštevanju svojih prejšnjih resolucij, s katerimi je nasprotoval odobritvi gensko </w:t>
      </w:r>
      <w:r w:rsidRPr="00B76366">
        <w:lastRenderedPageBreak/>
        <w:t>spremenjenih organizmov (GSO)</w:t>
      </w:r>
      <w:bookmarkStart w:id="9" w:name="_Hlk210666451"/>
      <w:r w:rsidRPr="00B76366">
        <w:rPr>
          <w:vertAlign w:val="superscript"/>
        </w:rPr>
        <w:footnoteReference w:id="4"/>
      </w:r>
      <w:bookmarkEnd w:id="9"/>
      <w:r w:rsidRPr="00B76366">
        <w:t>,</w:t>
      </w:r>
    </w:p>
    <w:p w14:paraId="3D49BBD9" w14:textId="77777777" w:rsidR="00AE59C2" w:rsidRPr="00B76366" w:rsidRDefault="00AE59C2" w:rsidP="00AE59C2">
      <w:pPr>
        <w:pStyle w:val="NormalHanging12a"/>
      </w:pPr>
      <w:r w:rsidRPr="00B76366">
        <w:lastRenderedPageBreak/>
        <w:t>–</w:t>
      </w:r>
      <w:r w:rsidRPr="00B76366">
        <w:tab/>
        <w:t>ob upoštevanju člena 115(2) in (3) Poslovnika,</w:t>
      </w:r>
    </w:p>
    <w:p w14:paraId="50B8444E" w14:textId="77777777" w:rsidR="00AE59C2" w:rsidRPr="00B76366" w:rsidRDefault="00AE59C2" w:rsidP="00AE59C2">
      <w:pPr>
        <w:pStyle w:val="NormalHanging12a"/>
      </w:pPr>
      <w:r w:rsidRPr="00B76366">
        <w:lastRenderedPageBreak/>
        <w:t>–</w:t>
      </w:r>
      <w:r w:rsidRPr="00B76366">
        <w:tab/>
        <w:t>ob upoštevanju predloga resolucije Odbora za okolje, podnebje in varnost hrane,</w:t>
      </w:r>
    </w:p>
    <w:p w14:paraId="48214152" w14:textId="77777777" w:rsidR="00AE59C2" w:rsidRPr="00B76366" w:rsidRDefault="00AE59C2" w:rsidP="00AE59C2">
      <w:pPr>
        <w:pStyle w:val="NormalHanging12a"/>
      </w:pPr>
      <w:r w:rsidRPr="00B76366">
        <w:t>A.</w:t>
      </w:r>
      <w:r w:rsidRPr="00B76366">
        <w:tab/>
        <w:t>ker je bilo z Izvedbenim sklepom Komisije (EU) 2015/699</w:t>
      </w:r>
      <w:r w:rsidRPr="00B76366">
        <w:rPr>
          <w:vertAlign w:val="superscript"/>
        </w:rPr>
        <w:footnoteReference w:id="5"/>
      </w:r>
      <w:r w:rsidRPr="00B76366">
        <w:t>, kakor je bil spremenjen z Izvedbenim sklepom Komisije (EU) 2019/1195</w:t>
      </w:r>
      <w:r w:rsidRPr="00B76366">
        <w:rPr>
          <w:vertAlign w:val="superscript"/>
        </w:rPr>
        <w:footnoteReference w:id="6"/>
      </w:r>
      <w:r w:rsidRPr="00B76366">
        <w:t>, odobreno dajanje na trg živil in krme, ki vsebujejo gensko spremenjen bombaž T304-40, so iz njega sestavljeni ali proizvedeni (v nadaljnjem besedilu: gensko spremenjen bombaž); ker področje uporabe te odobritve zajema tudi dajanje na trg proizvodov, ki niso živila in krma ter vsebujejo gensko spremenjeni bombaž ali so iz njega sestavljeni, za enako uporabo kot kateri koli drug bombaž, razen za gojenje;</w:t>
      </w:r>
    </w:p>
    <w:p w14:paraId="3ED3D097" w14:textId="77777777" w:rsidR="00AE59C2" w:rsidRPr="00B76366" w:rsidRDefault="00AE59C2" w:rsidP="00AE59C2">
      <w:pPr>
        <w:pStyle w:val="NormalHanging12a"/>
      </w:pPr>
      <w:r w:rsidRPr="00B76366">
        <w:t>B.</w:t>
      </w:r>
      <w:r w:rsidRPr="00B76366">
        <w:tab/>
        <w:t xml:space="preserve">ker je 22. marca 2024 družba BASF SE s sedežem v Nemčiji v imenu družbe BASF </w:t>
      </w:r>
      <w:proofErr w:type="spellStart"/>
      <w:r w:rsidRPr="00B76366">
        <w:t>Agricultural</w:t>
      </w:r>
      <w:proofErr w:type="spellEnd"/>
      <w:r w:rsidRPr="00B76366">
        <w:t xml:space="preserve"> Solutions Seed US LLC s sedežem v Združenih državah Amerike v skladu s členoma 11 in 23 Uredbe (ES) št. 1829/2003 Komisiji predložila vlogo za obnovitev navedene odobritve; </w:t>
      </w:r>
    </w:p>
    <w:p w14:paraId="5EF5F69D" w14:textId="77777777" w:rsidR="00AE59C2" w:rsidRPr="00B76366" w:rsidRDefault="00AE59C2" w:rsidP="00AE59C2">
      <w:pPr>
        <w:pStyle w:val="NormalHanging12a"/>
      </w:pPr>
      <w:r w:rsidRPr="00B76366">
        <w:t>C.</w:t>
      </w:r>
      <w:r w:rsidRPr="00B76366">
        <w:tab/>
        <w:t xml:space="preserve">ker je Evropska agencija za varnost hrane (EFSA) 22. julija 2025 </w:t>
      </w:r>
      <w:bookmarkStart w:id="10" w:name="_Hlk219204313"/>
      <w:r w:rsidRPr="00B76366">
        <w:t>v skladu s členoma 11 in 23</w:t>
      </w:r>
      <w:bookmarkStart w:id="11" w:name="_Hlk219204327"/>
      <w:bookmarkEnd w:id="10"/>
      <w:r w:rsidRPr="00B76366">
        <w:t xml:space="preserve"> Uredbe (ES) št. 1829/2003</w:t>
      </w:r>
      <w:bookmarkEnd w:id="11"/>
      <w:r w:rsidRPr="00B76366">
        <w:t xml:space="preserve"> sprejela pozitivno mnenje o gensko spremenjenem bombažu</w:t>
      </w:r>
      <w:r w:rsidRPr="00B76366">
        <w:rPr>
          <w:vertAlign w:val="superscript"/>
        </w:rPr>
        <w:footnoteReference w:id="7"/>
      </w:r>
      <w:r w:rsidRPr="00B76366">
        <w:t>, v katerem je ugotovila, da vloga za obnovitev odobritve ne vsebuje dokazov o novih nevarnostih, spremenjeni izpostavljenosti ali znanstvenih negotovostih, na podlagi katerih bi pri oceni tveganja gensko spremenjenega bombaža prišla do drugačnih zaključkov kot pri izvirni oceni leta 2013</w:t>
      </w:r>
      <w:r w:rsidRPr="00B76366">
        <w:rPr>
          <w:vertAlign w:val="superscript"/>
        </w:rPr>
        <w:footnoteReference w:id="8"/>
      </w:r>
      <w:r w:rsidRPr="00B76366">
        <w:t>; ker v teh mnenjih ni bilo obravnavanih več širših okoljskih, socialno-ekonomskih in kumulativnih učinkov, za katere agencija EFSA meni, da ne spadajo v njeno pristojnost;</w:t>
      </w:r>
    </w:p>
    <w:p w14:paraId="1D02C2FF" w14:textId="77777777" w:rsidR="00AE59C2" w:rsidRPr="00B76366" w:rsidRDefault="00AE59C2" w:rsidP="00AE59C2">
      <w:pPr>
        <w:pStyle w:val="NormalHanging12a"/>
      </w:pPr>
      <w:r w:rsidRPr="00B76366">
        <w:t>D.</w:t>
      </w:r>
      <w:r w:rsidRPr="00B76366">
        <w:tab/>
        <w:t xml:space="preserve">ker je bil gensko spremenjeni bombaž razvit tako, da je odporen proti nekaterim škodljivcem iz reda </w:t>
      </w:r>
      <w:proofErr w:type="spellStart"/>
      <w:r w:rsidRPr="00B76366">
        <w:t>Lepidoptera</w:t>
      </w:r>
      <w:proofErr w:type="spellEnd"/>
      <w:r w:rsidRPr="00B76366">
        <w:t xml:space="preserve"> z ustvarjanjem insekticidnega toksina in zagotavlja odpornost proti </w:t>
      </w:r>
      <w:proofErr w:type="spellStart"/>
      <w:r w:rsidRPr="00B76366">
        <w:t>glufosinatu</w:t>
      </w:r>
      <w:proofErr w:type="spellEnd"/>
      <w:r w:rsidRPr="00B76366">
        <w:t xml:space="preserve">; </w:t>
      </w:r>
    </w:p>
    <w:p w14:paraId="0DFF81F0" w14:textId="77777777" w:rsidR="00AE59C2" w:rsidRPr="00B76366" w:rsidRDefault="00AE59C2" w:rsidP="00AE59C2">
      <w:pPr>
        <w:pStyle w:val="NormalHanging12a"/>
      </w:pPr>
      <w:r w:rsidRPr="00B76366">
        <w:t>E.</w:t>
      </w:r>
      <w:r w:rsidRPr="00B76366">
        <w:tab/>
        <w:t xml:space="preserve">ker ocene tveganja, ki jih je izvedla agencija EFSA, niso vključevale dolgoročnih toksikoloških študij ali podrobne analize kumulativnih in kombiniranih učinkov, </w:t>
      </w:r>
      <w:r w:rsidRPr="00B76366">
        <w:lastRenderedPageBreak/>
        <w:t>vključno z morebitnimi medsebojnimi vplivi z ostanki pesticidov, ki se običajno uporabljajo pri gojenju bombaža;</w:t>
      </w:r>
    </w:p>
    <w:p w14:paraId="1E288ABD" w14:textId="77777777" w:rsidR="00AE59C2" w:rsidRPr="00B76366" w:rsidRDefault="00AE59C2" w:rsidP="00AE59C2">
      <w:pPr>
        <w:pStyle w:val="NormalHanging12a"/>
      </w:pPr>
      <w:r w:rsidRPr="00B76366">
        <w:t>F.</w:t>
      </w:r>
      <w:r w:rsidRPr="00B76366">
        <w:tab/>
        <w:t>ker je bila velika večina gensko spremenjenih kmetijskih rastlin, vključno z gensko spremenjenim bombažem, gensko spremenjena tako, da so odporne proti enemu ali več komplementarnim herbicidom, ki se lahko uporabljajo skozi ves čas gojenja teh rastlin, ne da bi te odmrle, kot bi se zgodilo s kmetijskimi rastlinami, ki niso odporne proti herbicidom; ker je iz številnih študij razvidno, da se pri gojenju gensko spremenjenih kmetijskih rastlin, odpornih proti herbicidom, uporabi več komplementarnih herbicidov, zlasti zaradi pojavljanja plevelov, odpornih proti herbicidom</w:t>
      </w:r>
      <w:r w:rsidRPr="00B76366">
        <w:rPr>
          <w:vertAlign w:val="superscript"/>
        </w:rPr>
        <w:footnoteReference w:id="9"/>
      </w:r>
      <w:r w:rsidRPr="00B76366">
        <w:t>;</w:t>
      </w:r>
    </w:p>
    <w:p w14:paraId="145F3121" w14:textId="77777777" w:rsidR="00AE59C2" w:rsidRPr="00B76366" w:rsidRDefault="00AE59C2" w:rsidP="00AE59C2">
      <w:pPr>
        <w:pStyle w:val="NormalHanging12a"/>
      </w:pPr>
      <w:r w:rsidRPr="00B76366">
        <w:t>G.</w:t>
      </w:r>
      <w:r w:rsidRPr="00B76366">
        <w:tab/>
        <w:t>ker 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spremenjeni bombaž, pospešila nastajanje in širjenje plevela, odpornega proti tem herbicidom, to pa bo sprožilo potrebo po še večji stalni uporabi herbicidov, kar vodi v začarani krog; 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r w:rsidRPr="00B76366">
        <w:rPr>
          <w:vertAlign w:val="superscript"/>
        </w:rPr>
        <w:footnoteReference w:id="10"/>
      </w:r>
      <w:r w:rsidRPr="00B76366">
        <w:t>;</w:t>
      </w:r>
    </w:p>
    <w:p w14:paraId="22EC88DF" w14:textId="77777777" w:rsidR="00AE59C2" w:rsidRPr="00B76366" w:rsidRDefault="00AE59C2" w:rsidP="00AE59C2">
      <w:pPr>
        <w:pStyle w:val="NormalHanging12a"/>
      </w:pPr>
      <w:r w:rsidRPr="00B76366">
        <w:t>H.</w:t>
      </w:r>
      <w:r w:rsidRPr="00B76366">
        <w:tab/>
        <w:t xml:space="preserve">ker je </w:t>
      </w:r>
      <w:proofErr w:type="spellStart"/>
      <w:r w:rsidRPr="00B76366">
        <w:t>glufosinat</w:t>
      </w:r>
      <w:proofErr w:type="spellEnd"/>
      <w:r w:rsidRPr="00B76366">
        <w:t xml:space="preserve"> razvrščen kot strupen za razmnoževanje iz skupine 1B in zato izpolnjuje merila za izločitev iz Uredbe (ES) št. 1107/2009 Evropskega parlamenta in Sveta</w:t>
      </w:r>
      <w:r w:rsidRPr="00B76366">
        <w:rPr>
          <w:vertAlign w:val="superscript"/>
        </w:rPr>
        <w:footnoteReference w:id="11"/>
      </w:r>
      <w:r w:rsidRPr="00B76366">
        <w:t xml:space="preserve">; ker je veljavnost odobritve </w:t>
      </w:r>
      <w:proofErr w:type="spellStart"/>
      <w:r w:rsidRPr="00B76366">
        <w:t>glufosinata</w:t>
      </w:r>
      <w:proofErr w:type="spellEnd"/>
      <w:r w:rsidRPr="00B76366">
        <w:t xml:space="preserve"> za uporabo v Uniji potekla 31. julija 2018;</w:t>
      </w:r>
    </w:p>
    <w:p w14:paraId="674B8A3B" w14:textId="77777777" w:rsidR="00AE59C2" w:rsidRPr="00B76366" w:rsidRDefault="00AE59C2" w:rsidP="00AE59C2">
      <w:pPr>
        <w:pStyle w:val="NormalHanging12a"/>
      </w:pPr>
      <w:r w:rsidRPr="00B76366">
        <w:t xml:space="preserve">I. </w:t>
      </w:r>
      <w:r w:rsidRPr="00B76366">
        <w:tab/>
        <w:t>ker neodvisno spremljanje in nadzor morebitnih škodljivih učinkov na biotsko raznovrstnost, zdravje tal, opraševalce in neciljne organizme še vedno nista dovolj zagotovljena;</w:t>
      </w:r>
    </w:p>
    <w:p w14:paraId="5802F49D" w14:textId="77777777" w:rsidR="00AE59C2" w:rsidRPr="00B76366" w:rsidRDefault="00AE59C2" w:rsidP="00AE59C2">
      <w:pPr>
        <w:pStyle w:val="NormalHanging12a"/>
      </w:pPr>
      <w:r w:rsidRPr="00B76366">
        <w:t>J.</w:t>
      </w:r>
      <w:r w:rsidRPr="00B76366">
        <w:tab/>
        <w:t>ker bi se moralo previdnostno načelo, ki je zapisano v členu 191 Pogodbe o delovanju Evropske unije, uporabljati v primerih znanstvene negotovosti;</w:t>
      </w:r>
    </w:p>
    <w:p w14:paraId="046F1C8E" w14:textId="77777777" w:rsidR="00AE59C2" w:rsidRPr="00B76366" w:rsidRDefault="00AE59C2" w:rsidP="00AE59C2">
      <w:pPr>
        <w:pStyle w:val="NormalHanging12a"/>
      </w:pPr>
      <w:r w:rsidRPr="00B76366">
        <w:t>K.</w:t>
      </w:r>
      <w:r w:rsidRPr="00B76366">
        <w:tab/>
        <w:t>ker se v Uredbi (ES) št. 1829/2003 zahteva, da gensko spremenjena živila in krma ne smejo škodljivo učinkovati na zdravje ljudi, zdravje živali ali okolje;</w:t>
      </w:r>
    </w:p>
    <w:p w14:paraId="35A72E2E" w14:textId="77777777" w:rsidR="00AE59C2" w:rsidRPr="00B76366" w:rsidRDefault="00AE59C2" w:rsidP="00AE59C2">
      <w:pPr>
        <w:pStyle w:val="NormalHanging12a"/>
      </w:pPr>
      <w:r w:rsidRPr="00B76366">
        <w:t>L.</w:t>
      </w:r>
      <w:r w:rsidRPr="00B76366">
        <w:tab/>
        <w:t xml:space="preserve">ker obnovitev odobritve gensko spremenjenega bombaža s strani Unije ne bi bila v </w:t>
      </w:r>
      <w:r w:rsidRPr="00B76366">
        <w:lastRenderedPageBreak/>
        <w:t>skladu z mednarodnimi zavezami o zmanjšanju uporabe pesticidov</w:t>
      </w:r>
      <w:r w:rsidRPr="00B76366">
        <w:rPr>
          <w:vertAlign w:val="superscript"/>
        </w:rPr>
        <w:footnoteReference w:id="12"/>
      </w:r>
      <w:r w:rsidRPr="00B76366">
        <w:t xml:space="preserve">, saj so ravno v državah, v katerih gojijo gensko spremenjene poljščine, odporne proti herbicidom, ljudje in okolje bolj izpostavljeni glifosatu in </w:t>
      </w:r>
      <w:proofErr w:type="spellStart"/>
      <w:r w:rsidRPr="00B76366">
        <w:t>glufosinatu</w:t>
      </w:r>
      <w:proofErr w:type="spellEnd"/>
      <w:r w:rsidRPr="00B76366">
        <w:t>, pa tudi potencialno resnim zdravstvenim posledicam;</w:t>
      </w:r>
    </w:p>
    <w:p w14:paraId="69A37632" w14:textId="77777777" w:rsidR="00AE59C2" w:rsidRPr="00B76366" w:rsidRDefault="00AE59C2" w:rsidP="00AE59C2">
      <w:pPr>
        <w:pStyle w:val="NormalHanging12a"/>
      </w:pPr>
      <w:r w:rsidRPr="00B76366">
        <w:t>M.</w:t>
      </w:r>
      <w:r w:rsidRPr="00B76366">
        <w:tab/>
        <w:t>ker bi izvedbeni sklep Komisije še naprej omogočal uvoz proizvodov v Unijo, ki ne izpolnjujejo standardov, ki jih upoštevajo kmetje Unije, kar bi jih postavilo v slabši konkurenčni položaj;</w:t>
      </w:r>
    </w:p>
    <w:p w14:paraId="3EFA540D" w14:textId="77777777" w:rsidR="00AE59C2" w:rsidRPr="00B76366" w:rsidRDefault="00AE59C2" w:rsidP="00AE59C2">
      <w:pPr>
        <w:pStyle w:val="NormalHanging12a"/>
      </w:pPr>
      <w:r w:rsidRPr="00B76366">
        <w:t>N.</w:t>
      </w:r>
      <w:r w:rsidRPr="00B76366">
        <w:tab/>
        <w:t>ker je Komisija v sklepih strateškega dialoga o prihodnosti kmetijstva v EU</w:t>
      </w:r>
      <w:r w:rsidRPr="00B76366">
        <w:rPr>
          <w:vertAlign w:val="superscript"/>
        </w:rPr>
        <w:footnoteReference w:id="13"/>
      </w:r>
      <w:r w:rsidRPr="00B76366">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2024 in 2025;</w:t>
      </w:r>
    </w:p>
    <w:p w14:paraId="2477422D" w14:textId="77777777" w:rsidR="00AE59C2" w:rsidRPr="00B76366" w:rsidRDefault="00AE59C2" w:rsidP="00AE59C2">
      <w:pPr>
        <w:pStyle w:val="NormalHanging12a"/>
      </w:pPr>
      <w:r w:rsidRPr="00B76366">
        <w:t>O.</w:t>
      </w:r>
      <w:r w:rsidRPr="00B76366">
        <w:tab/>
        <w:t>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w:t>
      </w:r>
    </w:p>
    <w:p w14:paraId="0E328ED1" w14:textId="77777777" w:rsidR="00AE59C2" w:rsidRPr="00B76366" w:rsidRDefault="00AE59C2" w:rsidP="00AE59C2">
      <w:pPr>
        <w:pStyle w:val="NormalHanging12a"/>
      </w:pPr>
      <w:r w:rsidRPr="00B76366">
        <w:t>P.</w:t>
      </w:r>
      <w:r w:rsidRPr="00B76366">
        <w:tab/>
        <w:t>ker je Komisija sama priznala demokratični primanjkljaj, odsotnost podpore držav članic in nasprotovanje Parlamenta, a vseeno še naprej sprejema odobritve za gensko spremenjene organizme;</w:t>
      </w:r>
    </w:p>
    <w:p w14:paraId="449DB2EE" w14:textId="77777777" w:rsidR="00AE59C2" w:rsidRPr="00B76366" w:rsidRDefault="00AE59C2" w:rsidP="00AE59C2">
      <w:pPr>
        <w:pStyle w:val="NormalHanging12a"/>
      </w:pPr>
      <w:r w:rsidRPr="00B76366">
        <w:t>Q.</w:t>
      </w:r>
      <w:r w:rsidRPr="00B76366">
        <w:tab/>
        <w:t>ker pristop „eno zdravje“ zahteva, da se pri ocenjevanju dolgoročne trajnosti in varnosti gensko spremenjenih organizmov upošteva medsebojna odvisnost zdravja ljudi, živali, rastlin in okolja;</w:t>
      </w:r>
    </w:p>
    <w:p w14:paraId="70E6277B" w14:textId="77777777" w:rsidR="00AE59C2" w:rsidRPr="00B76366" w:rsidRDefault="00AE59C2" w:rsidP="00AE59C2">
      <w:pPr>
        <w:pStyle w:val="NormalHanging12a"/>
      </w:pPr>
      <w:r w:rsidRPr="00B76366">
        <w:t>1.</w:t>
      </w:r>
      <w:r w:rsidRPr="00B76366">
        <w:tab/>
        <w:t>meni, da osnutek izvedbenega sklepa Komisije presega izvedbena pooblastila, določena v Uredbi (ES) št. 1829/2003;</w:t>
      </w:r>
    </w:p>
    <w:p w14:paraId="48857D6A" w14:textId="77777777" w:rsidR="00AE59C2" w:rsidRPr="00B76366" w:rsidRDefault="00AE59C2" w:rsidP="00AE59C2">
      <w:pPr>
        <w:pStyle w:val="NormalHanging12a"/>
      </w:pPr>
      <w:r w:rsidRPr="00B76366">
        <w:t>2.</w:t>
      </w:r>
      <w:r w:rsidRPr="00B76366">
        <w:tab/>
        <w:t>meni, da osnutek izvedbenega sklepa Komisije ni v skladu s pravom Unije, saj ni združljiv s ciljem Uredbe (ES) št. 1829/2003, namreč da se v skladu s splošnimi načeli iz Uredbe (ES) št. 178/2002 Evropskega parlamenta in Sveta</w:t>
      </w:r>
      <w:r w:rsidRPr="00B76366">
        <w:rPr>
          <w:vertAlign w:val="superscript"/>
        </w:rPr>
        <w:footnoteReference w:id="14"/>
      </w:r>
      <w:r w:rsidRPr="00B76366">
        <w:t xml:space="preserve"> omogoči visoka raven varovanja življenja in zdravja ljudi, zdravja in zaščite živali ter okoljskih interesov in interesov potrošnikov v zvezi z gensko spremenjenimi živili in krmo, ob hkratnem zagotavljanju nemotenega delovanja notranjega trga; </w:t>
      </w:r>
    </w:p>
    <w:p w14:paraId="44291C5B" w14:textId="77777777" w:rsidR="00AE59C2" w:rsidRPr="00B76366" w:rsidRDefault="00AE59C2" w:rsidP="00AE59C2">
      <w:pPr>
        <w:pStyle w:val="NormalHanging12a"/>
      </w:pPr>
      <w:r w:rsidRPr="00B76366">
        <w:t>3.</w:t>
      </w:r>
      <w:r w:rsidRPr="00B76366">
        <w:tab/>
        <w:t>poziva Komisijo, naj umakne svoj osnutek izvedbenega sklepa;</w:t>
      </w:r>
    </w:p>
    <w:p w14:paraId="7831A885" w14:textId="77777777" w:rsidR="00AE59C2" w:rsidRPr="00B76366" w:rsidRDefault="00AE59C2" w:rsidP="00AE59C2">
      <w:pPr>
        <w:pStyle w:val="NormalHanging12a"/>
      </w:pPr>
      <w:bookmarkStart w:id="12" w:name="_Hlk218675841"/>
      <w:r w:rsidRPr="00B76366">
        <w:lastRenderedPageBreak/>
        <w:t>4.</w:t>
      </w:r>
      <w:r w:rsidRPr="00B76366">
        <w:tab/>
        <w:t>poziva Komisijo, naj v skladu s pristopom „eno zdravje“ ne obnovi odobritve gensko spremenjenega bombaža, saj ni dovolj dokazov o dolgoročnem vplivu na biotsko raznovrstnost, varnost hrane, možnost preživljanja kmetov in zdravje živali;</w:t>
      </w:r>
    </w:p>
    <w:p w14:paraId="241AF1E0" w14:textId="77777777" w:rsidR="00AE59C2" w:rsidRPr="00B76366" w:rsidRDefault="00AE59C2" w:rsidP="00AE59C2">
      <w:pPr>
        <w:pStyle w:val="NormalHanging12a"/>
      </w:pPr>
      <w:bookmarkStart w:id="13" w:name="_Hlk210900300"/>
      <w:r w:rsidRPr="00B76366">
        <w:t>5.</w:t>
      </w:r>
      <w:r w:rsidRPr="00B76366">
        <w:tab/>
        <w:t>poziva Komisijo, naj nemudoma predloži zakonodajni predlog za reformo postopka odločanja o gensko spremenjenih organizmih, da bi se odzvala na stalne ugovore Parlamenta in pomanjkanje podpore kvalificirane večine med državami članicami</w:t>
      </w:r>
      <w:bookmarkEnd w:id="13"/>
      <w:r w:rsidRPr="00B76366">
        <w:t>;</w:t>
      </w:r>
    </w:p>
    <w:p w14:paraId="38BDE615" w14:textId="77777777" w:rsidR="00AE59C2" w:rsidRPr="00B76366" w:rsidRDefault="00AE59C2" w:rsidP="00AE59C2">
      <w:pPr>
        <w:pStyle w:val="NormalHanging12a"/>
      </w:pPr>
      <w:bookmarkStart w:id="14" w:name="_Hlk210900241"/>
      <w:r w:rsidRPr="00B76366">
        <w:t>6.</w:t>
      </w:r>
      <w:r w:rsidRPr="00B76366">
        <w:tab/>
        <w:t xml:space="preserve">glede tega poudarja, da odobritev uvoza katere koli gensko spremenjene rastline, ki je bila spremenjena tako, da je odporna proti herbicidom, prepovedanim v Uniji, kot je </w:t>
      </w:r>
      <w:proofErr w:type="spellStart"/>
      <w:r w:rsidRPr="00B76366">
        <w:t>glufosinat</w:t>
      </w:r>
      <w:proofErr w:type="spellEnd"/>
      <w:r w:rsidRPr="00B76366">
        <w:t xml:space="preserve">, za uporabo v živilih, krmi ali proizvodih ni v skladu z mednarodnimi zavezami Unije, med drugim s Konvencijo OZN o biološki raznovrstnosti in cilji OZN glede trajnostnega razvoja, vključno s </w:t>
      </w:r>
      <w:proofErr w:type="spellStart"/>
      <w:r w:rsidRPr="00B76366">
        <w:t>Kunminško</w:t>
      </w:r>
      <w:proofErr w:type="spellEnd"/>
      <w:r w:rsidRPr="00B76366">
        <w:t>-montrealskim okvirom, ter da ustvarja neenake konkurenčne pogoje za kmete Unije;</w:t>
      </w:r>
    </w:p>
    <w:bookmarkEnd w:id="14"/>
    <w:p w14:paraId="50685F30" w14:textId="49626DAB" w:rsidR="00E365E1" w:rsidRPr="00B76366" w:rsidRDefault="00AE59C2" w:rsidP="00040D4E">
      <w:pPr>
        <w:pStyle w:val="NormalHanging12a"/>
      </w:pPr>
      <w:r w:rsidRPr="00B76366">
        <w:t>7.</w:t>
      </w:r>
      <w:r w:rsidRPr="00B76366">
        <w:tab/>
      </w:r>
      <w:bookmarkEnd w:id="12"/>
      <w:r w:rsidRPr="00B76366">
        <w:t>naroči svoji predsednici, naj to resolucijo posreduje Svetu in Komisiji ter vladam in parlamentom držav članic.</w:t>
      </w:r>
    </w:p>
    <w:sectPr w:rsidR="00E365E1" w:rsidRPr="00B76366" w:rsidSect="00B763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C5736" w14:textId="77777777" w:rsidR="000B484B" w:rsidRPr="00B76366" w:rsidRDefault="000B484B">
      <w:r w:rsidRPr="00B76366">
        <w:separator/>
      </w:r>
    </w:p>
  </w:endnote>
  <w:endnote w:type="continuationSeparator" w:id="0">
    <w:p w14:paraId="7A6D2DD7" w14:textId="77777777" w:rsidR="000B484B" w:rsidRPr="00B76366" w:rsidRDefault="000B484B">
      <w:r w:rsidRPr="00B763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9377" w14:textId="77777777" w:rsidR="00064002" w:rsidRPr="00B763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B60F" w14:textId="77777777" w:rsidR="00064002" w:rsidRPr="00B763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2950" w14:textId="77777777" w:rsidR="00064002" w:rsidRPr="00B763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51764" w14:textId="77777777" w:rsidR="000B484B" w:rsidRPr="00B76366" w:rsidRDefault="000B484B">
      <w:r w:rsidRPr="00B76366">
        <w:separator/>
      </w:r>
    </w:p>
  </w:footnote>
  <w:footnote w:type="continuationSeparator" w:id="0">
    <w:p w14:paraId="11CE71B8" w14:textId="77777777" w:rsidR="000B484B" w:rsidRPr="00B76366" w:rsidRDefault="000B484B">
      <w:r w:rsidRPr="00B76366">
        <w:continuationSeparator/>
      </w:r>
    </w:p>
  </w:footnote>
  <w:footnote w:id="1">
    <w:p w14:paraId="28B5F185" w14:textId="548B5B5A"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UL L 268, 18.10.2003, str. 1, ELI: </w:t>
      </w:r>
      <w:hyperlink r:id="rId1" w:history="1">
        <w:r w:rsidRPr="00B76366">
          <w:rPr>
            <w:rStyle w:val="Hyperlink"/>
            <w:sz w:val="24"/>
            <w:lang w:val="sl-SI"/>
          </w:rPr>
          <w:t>https://eur-lex.europa.eu/eli/reg/2003/1829/oj</w:t>
        </w:r>
      </w:hyperlink>
      <w:r w:rsidRPr="00B76366">
        <w:rPr>
          <w:rStyle w:val="Hyperlink"/>
          <w:sz w:val="24"/>
          <w:lang w:val="sl-SI"/>
        </w:rPr>
        <w:t>.</w:t>
      </w:r>
    </w:p>
  </w:footnote>
  <w:footnote w:id="2">
    <w:p w14:paraId="66FF3B9A" w14:textId="4F9FA250"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UL L 55, 28.2.2011, str. 13, ELI: </w:t>
      </w:r>
      <w:hyperlink r:id="rId2" w:history="1">
        <w:r w:rsidRPr="00B76366">
          <w:rPr>
            <w:rStyle w:val="Hyperlink"/>
            <w:sz w:val="24"/>
            <w:lang w:val="sl-SI"/>
          </w:rPr>
          <w:t>http://data.europa.eu/eli/reg/2011/182/oj</w:t>
        </w:r>
      </w:hyperlink>
      <w:r w:rsidRPr="00B76366">
        <w:rPr>
          <w:sz w:val="24"/>
          <w:lang w:val="sl-SI"/>
        </w:rPr>
        <w:t>.</w:t>
      </w:r>
    </w:p>
  </w:footnote>
  <w:footnote w:id="3">
    <w:p w14:paraId="689E7D4D" w14:textId="6486BD21" w:rsidR="00AE59C2" w:rsidRPr="00B76366" w:rsidRDefault="00AE59C2" w:rsidP="00B76366">
      <w:pPr>
        <w:pStyle w:val="FootnoteText"/>
        <w:ind w:left="567" w:hanging="567"/>
        <w:rPr>
          <w:sz w:val="24"/>
          <w:lang w:val="sl-SI"/>
        </w:rPr>
      </w:pPr>
      <w:r w:rsidRPr="00B76366">
        <w:rPr>
          <w:sz w:val="24"/>
          <w:vertAlign w:val="superscript"/>
          <w:lang w:val="sl-SI"/>
        </w:rPr>
        <w:footnoteRef/>
      </w:r>
      <w:r w:rsidR="00B76366" w:rsidRPr="00B76366">
        <w:rPr>
          <w:sz w:val="24"/>
          <w:lang w:val="sl-SI"/>
        </w:rPr>
        <w:t xml:space="preserve"> </w:t>
      </w:r>
      <w:r w:rsidR="00B76366" w:rsidRPr="00B76366">
        <w:rPr>
          <w:sz w:val="24"/>
          <w:lang w:val="sl-SI"/>
        </w:rPr>
        <w:tab/>
      </w:r>
      <w:r w:rsidRPr="00B76366">
        <w:rPr>
          <w:sz w:val="24"/>
          <w:lang w:val="sl-SI"/>
        </w:rPr>
        <w:t xml:space="preserve">Znanstveno mnenje odbora EFSA o gensko spremenjenih organizmih o oceni gensko spremenjenega bombaža T304-40 za obnovitev odobritve v skladu z Uredbo (ES) št. 1829/2003 (zadeva GMFF-2024-23010), </w:t>
      </w:r>
      <w:r w:rsidRPr="00B76366">
        <w:rPr>
          <w:i/>
          <w:sz w:val="24"/>
          <w:lang w:val="sl-SI"/>
        </w:rPr>
        <w:t>EFSA Journal</w:t>
      </w:r>
      <w:r w:rsidRPr="00B76366">
        <w:rPr>
          <w:sz w:val="24"/>
          <w:lang w:val="sl-SI"/>
        </w:rPr>
        <w:t xml:space="preserve">  2025, 23(7):e9580, </w:t>
      </w:r>
      <w:hyperlink r:id="rId3" w:history="1">
        <w:r w:rsidRPr="00B76366">
          <w:rPr>
            <w:rStyle w:val="Hyperlink"/>
            <w:sz w:val="24"/>
            <w:lang w:val="sl-SI"/>
          </w:rPr>
          <w:t>https://doi.org/10.2903/j.efsa.2025.9580</w:t>
        </w:r>
      </w:hyperlink>
      <w:r w:rsidRPr="00B76366">
        <w:rPr>
          <w:sz w:val="24"/>
          <w:lang w:val="sl-SI"/>
        </w:rPr>
        <w:t xml:space="preserve">. </w:t>
      </w:r>
    </w:p>
  </w:footnote>
  <w:footnote w:id="4">
    <w:p w14:paraId="2339E491" w14:textId="3B0F9367" w:rsidR="00AE59C2" w:rsidRPr="00B76366" w:rsidRDefault="00AE59C2" w:rsidP="00B76366">
      <w:pPr>
        <w:pStyle w:val="FootnoteText"/>
        <w:ind w:left="567" w:hanging="567"/>
        <w:rPr>
          <w:color w:val="000000" w:themeColor="text1"/>
          <w:sz w:val="24"/>
          <w:vertAlign w:val="superscript"/>
          <w:lang w:val="sl-SI"/>
        </w:rPr>
      </w:pPr>
      <w:r w:rsidRPr="00B76366">
        <w:rPr>
          <w:rStyle w:val="FootnoteReference"/>
          <w:sz w:val="24"/>
          <w:lang w:val="sl-SI"/>
        </w:rPr>
        <w:footnoteRef/>
      </w:r>
      <w:r w:rsidR="00B76366" w:rsidRPr="00B76366">
        <w:rPr>
          <w:color w:val="000000" w:themeColor="text1"/>
          <w:sz w:val="24"/>
          <w:lang w:val="sl-SI"/>
        </w:rPr>
        <w:t xml:space="preserve"> </w:t>
      </w:r>
      <w:r w:rsidR="00B76366" w:rsidRPr="00B76366">
        <w:rPr>
          <w:color w:val="000000" w:themeColor="text1"/>
          <w:sz w:val="24"/>
          <w:lang w:val="sl-SI"/>
        </w:rPr>
        <w:tab/>
      </w:r>
      <w:r w:rsidRPr="00B76366">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14:paraId="7F02503C" w14:textId="5F969EF3"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history="1">
        <w:r w:rsidR="00AE59C2" w:rsidRPr="00B76366">
          <w:rPr>
            <w:rStyle w:val="Hyperlink"/>
            <w:sz w:val="24"/>
            <w:lang w:val="sl-SI"/>
          </w:rPr>
          <w:t>http://data.europa.eu/eli/C/2025/1797/oj</w:t>
        </w:r>
      </w:hyperlink>
      <w:r w:rsidR="00AE59C2" w:rsidRPr="00B76366">
        <w:rPr>
          <w:color w:val="000000" w:themeColor="text1"/>
          <w:sz w:val="24"/>
          <w:lang w:val="sl-SI"/>
        </w:rPr>
        <w:t>);</w:t>
      </w:r>
    </w:p>
    <w:p w14:paraId="16CD0B88" w14:textId="305CBA87"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AE59C2" w:rsidRPr="00B76366">
          <w:rPr>
            <w:rStyle w:val="Hyperlink"/>
            <w:sz w:val="24"/>
            <w:lang w:val="sl-SI"/>
          </w:rPr>
          <w:t>http://data.europa.eu/eli/C/2025/1798/oj</w:t>
        </w:r>
      </w:hyperlink>
      <w:r w:rsidR="00AE59C2" w:rsidRPr="00B76366">
        <w:rPr>
          <w:color w:val="000000" w:themeColor="text1"/>
          <w:sz w:val="24"/>
          <w:lang w:val="sl-SI"/>
        </w:rPr>
        <w:t>);</w:t>
      </w:r>
    </w:p>
    <w:p w14:paraId="53400C17" w14:textId="706C963F"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AE59C2" w:rsidRPr="00B76366">
        <w:rPr>
          <w:color w:val="000000" w:themeColor="text1"/>
          <w:sz w:val="24"/>
          <w:lang w:val="sl-SI"/>
        </w:rPr>
        <w:t>podkombinacij</w:t>
      </w:r>
      <w:proofErr w:type="spellEnd"/>
      <w:r w:rsidR="00AE59C2" w:rsidRPr="00B76366">
        <w:rPr>
          <w:color w:val="000000" w:themeColor="text1"/>
          <w:sz w:val="24"/>
          <w:lang w:val="sl-SI"/>
        </w:rPr>
        <w:t>, so iz njih sestavljeni ali proizvedeni, v skladu z Uredbo (ES) št. 1829/2003 Evropskega parlamenta in Sveta (UL C, C/2025/1799, 4.4.2025, ELI: </w:t>
      </w:r>
      <w:hyperlink r:id="rId6" w:history="1">
        <w:r w:rsidR="00AE59C2" w:rsidRPr="00B76366">
          <w:rPr>
            <w:rStyle w:val="Hyperlink"/>
            <w:sz w:val="24"/>
            <w:lang w:val="sl-SI"/>
          </w:rPr>
          <w:t>http://data.europa.eu/eli/C/2025/1799/oj</w:t>
        </w:r>
      </w:hyperlink>
      <w:r w:rsidR="00AE59C2" w:rsidRPr="00B76366">
        <w:rPr>
          <w:color w:val="000000" w:themeColor="text1"/>
          <w:sz w:val="24"/>
          <w:lang w:val="sl-SI"/>
        </w:rPr>
        <w:t>);</w:t>
      </w:r>
    </w:p>
    <w:p w14:paraId="5B1CA439" w14:textId="10CCDA7D"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AE59C2" w:rsidRPr="00B76366">
          <w:rPr>
            <w:rStyle w:val="Hyperlink"/>
            <w:sz w:val="24"/>
            <w:lang w:val="sl-SI"/>
          </w:rPr>
          <w:t>http://data.europa.eu/eli/C/2025/1800/oj</w:t>
        </w:r>
      </w:hyperlink>
      <w:r w:rsidR="00AE59C2" w:rsidRPr="00B76366">
        <w:rPr>
          <w:color w:val="000000" w:themeColor="text1"/>
          <w:sz w:val="24"/>
          <w:lang w:val="sl-SI"/>
        </w:rPr>
        <w:t>);</w:t>
      </w:r>
    </w:p>
    <w:p w14:paraId="74D4FEB0" w14:textId="1DE69A98"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history="1">
        <w:r w:rsidR="00AE59C2" w:rsidRPr="00B76366">
          <w:rPr>
            <w:rStyle w:val="Hyperlink"/>
            <w:sz w:val="24"/>
            <w:lang w:val="sl-SI"/>
          </w:rPr>
          <w:t>http://data.europa.eu/eli/C/2025/1801/oj</w:t>
        </w:r>
      </w:hyperlink>
      <w:r w:rsidR="00AE59C2" w:rsidRPr="00B76366">
        <w:rPr>
          <w:color w:val="000000" w:themeColor="text1"/>
          <w:sz w:val="24"/>
          <w:lang w:val="sl-SI"/>
        </w:rPr>
        <w:t>);</w:t>
      </w:r>
    </w:p>
    <w:p w14:paraId="2A3B99EE" w14:textId="32C58100"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AE59C2" w:rsidRPr="00B76366">
          <w:rPr>
            <w:rStyle w:val="Hyperlink"/>
            <w:sz w:val="24"/>
            <w:lang w:val="sl-SI"/>
          </w:rPr>
          <w:t>http://data.europa.eu/eli/C/2025/1802/oj</w:t>
        </w:r>
      </w:hyperlink>
      <w:r w:rsidR="00AE59C2" w:rsidRPr="00B76366">
        <w:rPr>
          <w:color w:val="000000" w:themeColor="text1"/>
          <w:sz w:val="24"/>
          <w:lang w:val="sl-SI"/>
        </w:rPr>
        <w:t>);</w:t>
      </w:r>
    </w:p>
    <w:p w14:paraId="4B8CF9D4" w14:textId="5DF2B749"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AE59C2" w:rsidRPr="00B76366">
          <w:rPr>
            <w:rStyle w:val="Hyperlink"/>
            <w:sz w:val="24"/>
            <w:lang w:val="sl-SI"/>
          </w:rPr>
          <w:t>http://data.europa.eu/eli/C/2025/1803/oj</w:t>
        </w:r>
      </w:hyperlink>
      <w:r w:rsidR="00AE59C2" w:rsidRPr="00B76366">
        <w:rPr>
          <w:color w:val="000000" w:themeColor="text1"/>
          <w:sz w:val="24"/>
          <w:lang w:val="sl-SI"/>
        </w:rPr>
        <w:t>);</w:t>
      </w:r>
    </w:p>
    <w:p w14:paraId="7A5926F5" w14:textId="436E6700" w:rsidR="00AE59C2" w:rsidRPr="00B76366" w:rsidRDefault="00B76366" w:rsidP="00B76366">
      <w:pPr>
        <w:pStyle w:val="FootnoteText"/>
        <w:ind w:left="567" w:hanging="567"/>
        <w:rPr>
          <w:color w:val="000000" w:themeColor="text1"/>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AE59C2" w:rsidRPr="00B76366">
          <w:rPr>
            <w:rStyle w:val="Hyperlink"/>
            <w:sz w:val="24"/>
            <w:lang w:val="sl-SI"/>
          </w:rPr>
          <w:t>http://data.europa.eu/eli/C/2025/1804/oj</w:t>
        </w:r>
      </w:hyperlink>
      <w:r w:rsidR="00AE59C2" w:rsidRPr="00B76366">
        <w:rPr>
          <w:color w:val="000000" w:themeColor="text1"/>
          <w:sz w:val="24"/>
          <w:lang w:val="sl-SI"/>
        </w:rPr>
        <w:t>);</w:t>
      </w:r>
    </w:p>
    <w:p w14:paraId="49388941" w14:textId="7D725206" w:rsidR="00AE59C2" w:rsidRPr="00B76366" w:rsidRDefault="00B76366" w:rsidP="00B76366">
      <w:pPr>
        <w:pStyle w:val="FootnoteText"/>
        <w:ind w:left="567" w:hanging="567"/>
        <w:rPr>
          <w:sz w:val="24"/>
          <w:vertAlign w:val="superscript"/>
          <w:lang w:val="sl-SI"/>
        </w:rPr>
      </w:pPr>
      <w:r w:rsidRPr="00B76366">
        <w:rPr>
          <w:color w:val="000000" w:themeColor="text1"/>
          <w:sz w:val="24"/>
          <w:lang w:val="sl-SI"/>
        </w:rPr>
        <w:t xml:space="preserve"> </w:t>
      </w:r>
      <w:r w:rsidRPr="00B76366">
        <w:rPr>
          <w:color w:val="000000" w:themeColor="text1"/>
          <w:sz w:val="24"/>
          <w:lang w:val="sl-SI"/>
        </w:rPr>
        <w:tab/>
      </w:r>
      <w:r w:rsidR="00AE59C2" w:rsidRPr="00B76366">
        <w:rPr>
          <w:color w:val="000000" w:themeColor="text1"/>
          <w:sz w:val="24"/>
          <w:lang w:val="sl-SI"/>
        </w:rPr>
        <w:t>–</w:t>
      </w:r>
      <w:r w:rsidR="00AE59C2" w:rsidRPr="00B76366">
        <w:rPr>
          <w:color w:val="000000" w:themeColor="text1"/>
          <w:sz w:val="24"/>
          <w:lang w:val="sl-SI"/>
        </w:rPr>
        <w:tab/>
      </w:r>
      <w:r w:rsidR="00AE59C2" w:rsidRPr="00B76366">
        <w:rPr>
          <w:sz w:val="24"/>
          <w:lang w:val="sl-SI"/>
        </w:rPr>
        <w:t>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2" w:history="1">
        <w:r w:rsidR="00AE59C2" w:rsidRPr="00B76366">
          <w:rPr>
            <w:rStyle w:val="Hyperlink"/>
            <w:sz w:val="24"/>
            <w:lang w:val="sl-SI"/>
          </w:rPr>
          <w:t>http://data.europa.eu/eli/C/2025/2246/oj</w:t>
        </w:r>
      </w:hyperlink>
      <w:r w:rsidR="00AE59C2" w:rsidRPr="00B76366">
        <w:rPr>
          <w:sz w:val="24"/>
          <w:lang w:val="sl-SI"/>
        </w:rPr>
        <w:t>);</w:t>
      </w:r>
    </w:p>
    <w:p w14:paraId="18F64D05" w14:textId="25C1A705"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w:t>
      </w:r>
      <w:r w:rsidR="00AE59C2" w:rsidRPr="00B76366">
        <w:rPr>
          <w:sz w:val="24"/>
          <w:lang w:val="sl-SI"/>
        </w:rPr>
        <w:tab/>
        <w:t>resolucijo Evropskega parlamenta z dne 12. februarja 2025 o osnutku izvedbenega sklepa Komisije o odobritvi dajanja proizvodov, ki vsebujejo gensko spremenjeno koruzo MON 95275, so iz nje sestavljeni ali proizvedeni, na trg v skladu z Uredbo (ES) št. 1829/2003 Evropskega parlamenta in Sveta (UL C, C/2025/2247, 29.4.2025, ELI: </w:t>
      </w:r>
      <w:hyperlink r:id="rId13" w:history="1">
        <w:r w:rsidR="00AE59C2" w:rsidRPr="00B76366">
          <w:rPr>
            <w:rStyle w:val="Hyperlink"/>
            <w:sz w:val="24"/>
            <w:lang w:val="sl-SI"/>
          </w:rPr>
          <w:t>http://data.europa.eu/eli/C/2025/2247/oj</w:t>
        </w:r>
      </w:hyperlink>
      <w:r w:rsidR="00AE59C2" w:rsidRPr="00B76366">
        <w:rPr>
          <w:sz w:val="24"/>
          <w:lang w:val="sl-SI"/>
        </w:rPr>
        <w:t>);</w:t>
      </w:r>
    </w:p>
    <w:p w14:paraId="3BF57A74" w14:textId="2D485C64"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w:t>
      </w:r>
      <w:r w:rsidR="00AE59C2" w:rsidRPr="00B76366">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040D4E">
        <w:rPr>
          <w:sz w:val="24"/>
          <w:lang w:val="sl-SI"/>
        </w:rPr>
        <w:t xml:space="preserve">Sprejeta besedila, </w:t>
      </w:r>
      <w:r w:rsidR="00AE59C2" w:rsidRPr="00B76366">
        <w:rPr>
          <w:sz w:val="24"/>
          <w:lang w:val="sl-SI"/>
        </w:rPr>
        <w:t>P10_TA(2025)0106);</w:t>
      </w:r>
    </w:p>
    <w:p w14:paraId="53679279" w14:textId="774E6ED2"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w:t>
      </w:r>
      <w:r w:rsidR="00AE59C2" w:rsidRPr="00B76366">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040D4E">
        <w:rPr>
          <w:sz w:val="24"/>
          <w:lang w:val="sl-SI"/>
        </w:rPr>
        <w:t xml:space="preserve">Sprejeta besedila, </w:t>
      </w:r>
      <w:r w:rsidR="00AE59C2" w:rsidRPr="00B76366">
        <w:rPr>
          <w:sz w:val="24"/>
          <w:lang w:val="sl-SI"/>
        </w:rPr>
        <w:t>P10_TA(2025)0222);</w:t>
      </w:r>
    </w:p>
    <w:p w14:paraId="476B2019" w14:textId="30B003E7"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w:t>
      </w:r>
      <w:r w:rsidR="00AE59C2" w:rsidRPr="00B76366">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w:t>
      </w:r>
      <w:r w:rsidR="00040D4E">
        <w:rPr>
          <w:sz w:val="24"/>
          <w:lang w:val="sl-SI"/>
        </w:rPr>
        <w:t xml:space="preserve">Sprejeta besedila, </w:t>
      </w:r>
      <w:r w:rsidR="00AE59C2" w:rsidRPr="00B76366">
        <w:rPr>
          <w:sz w:val="24"/>
          <w:lang w:val="sl-SI"/>
        </w:rPr>
        <w:t>P10_TA(2025)0288);</w:t>
      </w:r>
    </w:p>
    <w:p w14:paraId="73BB2763" w14:textId="47E2C1D5"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w:t>
      </w:r>
      <w:r w:rsidR="00AE59C2" w:rsidRPr="00B76366">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w:t>
      </w:r>
      <w:r w:rsidR="00040D4E">
        <w:rPr>
          <w:sz w:val="24"/>
          <w:lang w:val="sl-SI"/>
        </w:rPr>
        <w:t xml:space="preserve">Sprejeta besedila, </w:t>
      </w:r>
      <w:r w:rsidR="00AE59C2" w:rsidRPr="00B76366">
        <w:rPr>
          <w:sz w:val="24"/>
          <w:lang w:val="sl-SI"/>
        </w:rPr>
        <w:t>P10_TA(2025)0289);</w:t>
      </w:r>
    </w:p>
    <w:p w14:paraId="6DE2E5AA" w14:textId="07F40937"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w:t>
      </w:r>
      <w:r w:rsidR="00040D4E">
        <w:rPr>
          <w:sz w:val="24"/>
          <w:lang w:val="sl-SI"/>
        </w:rPr>
        <w:t xml:space="preserve">Sprejeta besedila, </w:t>
      </w:r>
      <w:r w:rsidR="00AE59C2" w:rsidRPr="00B76366">
        <w:rPr>
          <w:sz w:val="24"/>
          <w:lang w:val="sl-SI"/>
        </w:rPr>
        <w:t>P10_TA(2025)0290);</w:t>
      </w:r>
    </w:p>
    <w:p w14:paraId="3491AFC2" w14:textId="39DD2CA5"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w:t>
      </w:r>
      <w:r w:rsidR="00AE59C2" w:rsidRPr="00B76366">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w:t>
      </w:r>
      <w:r w:rsidR="00C8599B">
        <w:rPr>
          <w:sz w:val="24"/>
          <w:lang w:val="sl-SI"/>
        </w:rPr>
        <w:t xml:space="preserve">Sprejeta besedila, </w:t>
      </w:r>
      <w:r w:rsidR="00AE59C2" w:rsidRPr="00B76366">
        <w:rPr>
          <w:sz w:val="24"/>
          <w:lang w:val="sl-SI"/>
        </w:rPr>
        <w:t>P10_TA(2025)0291);</w:t>
      </w:r>
    </w:p>
    <w:p w14:paraId="541068D6" w14:textId="115C1CDA"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resolucijo Evropskega parlamenta z dne 25. novembra 2025 o osnutku izvedbenega sklepa Komisije o obnovitvi odobritve dajanja na trg proizvodov, ki vsebujejo gensko spremenjeno koruzo MON 87427, so iz njega sestavljeni ali proizvedeni, v skladu z Uredbo</w:t>
      </w:r>
      <w:r w:rsidR="00FA3921">
        <w:rPr>
          <w:sz w:val="24"/>
          <w:lang w:val="sl-SI"/>
        </w:rPr>
        <w:t xml:space="preserve"> (ES)</w:t>
      </w:r>
      <w:r w:rsidR="00AE59C2" w:rsidRPr="00B76366">
        <w:rPr>
          <w:sz w:val="24"/>
          <w:lang w:val="sl-SI"/>
        </w:rPr>
        <w:t> št. 1829/2003 Evropskega parlamenta in Sveta (</w:t>
      </w:r>
      <w:r w:rsidR="00040D4E">
        <w:rPr>
          <w:sz w:val="24"/>
          <w:lang w:val="sl-SI"/>
        </w:rPr>
        <w:t xml:space="preserve">Sprejeta besedila, </w:t>
      </w:r>
      <w:r w:rsidR="00AE59C2" w:rsidRPr="00B76366">
        <w:rPr>
          <w:sz w:val="24"/>
          <w:lang w:val="sl-SI"/>
        </w:rPr>
        <w:t>P10_TA(2025)0292);</w:t>
      </w:r>
    </w:p>
    <w:p w14:paraId="1492BEE6" w14:textId="627445E6" w:rsidR="00AE59C2" w:rsidRPr="00B76366" w:rsidRDefault="00B76366" w:rsidP="00B76366">
      <w:pPr>
        <w:pStyle w:val="FootnoteText"/>
        <w:ind w:left="567" w:hanging="567"/>
        <w:rPr>
          <w:sz w:val="24"/>
          <w:vertAlign w:val="superscript"/>
          <w:lang w:val="sl-SI"/>
        </w:rPr>
      </w:pPr>
      <w:r w:rsidRPr="00B76366">
        <w:rPr>
          <w:sz w:val="24"/>
          <w:lang w:val="sl-SI"/>
        </w:rPr>
        <w:t xml:space="preserve"> </w:t>
      </w:r>
      <w:r w:rsidRPr="00B76366">
        <w:rPr>
          <w:sz w:val="24"/>
          <w:lang w:val="sl-SI"/>
        </w:rPr>
        <w:tab/>
      </w:r>
      <w:r w:rsidR="00AE59C2" w:rsidRPr="00B76366">
        <w:rPr>
          <w:sz w:val="24"/>
          <w:lang w:val="sl-SI"/>
        </w:rPr>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w:t>
      </w:r>
      <w:r w:rsidR="00040D4E">
        <w:rPr>
          <w:sz w:val="24"/>
          <w:lang w:val="sl-SI"/>
        </w:rPr>
        <w:t xml:space="preserve">Sprejeta besedila, </w:t>
      </w:r>
      <w:r w:rsidR="00AE59C2" w:rsidRPr="00B76366">
        <w:rPr>
          <w:sz w:val="24"/>
          <w:lang w:val="sl-SI"/>
        </w:rPr>
        <w:t>P10_TA(2025)0327);</w:t>
      </w:r>
    </w:p>
    <w:p w14:paraId="5CB23945" w14:textId="3B4F4C93" w:rsidR="00AE59C2" w:rsidRPr="00B76366" w:rsidRDefault="00B76366" w:rsidP="00B76366">
      <w:pPr>
        <w:pStyle w:val="FootnoteText"/>
        <w:ind w:left="567" w:hanging="567"/>
        <w:rPr>
          <w:sz w:val="24"/>
          <w:lang w:val="sl-SI"/>
        </w:rPr>
      </w:pPr>
      <w:r w:rsidRPr="00B76366">
        <w:rPr>
          <w:sz w:val="24"/>
          <w:lang w:val="sl-SI"/>
        </w:rPr>
        <w:t xml:space="preserve"> </w:t>
      </w:r>
      <w:r w:rsidRPr="00B76366">
        <w:rPr>
          <w:sz w:val="24"/>
          <w:lang w:val="sl-SI"/>
        </w:rPr>
        <w:tab/>
      </w:r>
      <w:r w:rsidR="00AE59C2" w:rsidRPr="00B76366">
        <w:rPr>
          <w:sz w:val="24"/>
          <w:lang w:val="sl-SI"/>
        </w:rPr>
        <w:t>resolucijo Evropskega parlamenta z dne z dne 16. decembra 2025 o osnutku izvedbenega sklepa Komisije o odobritvi dajanja na trg živil, živilskih sestavin in krme, proizvedenih iz gensko spremenjene sladkorne pese KWS20-1, v skladu z Uredbo (ES) št. 1829/2003 Evropskega parlamenta in Sveta (</w:t>
      </w:r>
      <w:r w:rsidR="00040D4E">
        <w:rPr>
          <w:sz w:val="24"/>
          <w:lang w:val="sl-SI"/>
        </w:rPr>
        <w:t xml:space="preserve">Sprejeta besedila, </w:t>
      </w:r>
      <w:r w:rsidR="00AE59C2" w:rsidRPr="00B76366">
        <w:rPr>
          <w:sz w:val="24"/>
          <w:lang w:val="sl-SI"/>
        </w:rPr>
        <w:t>P10_TA(2025)0328).</w:t>
      </w:r>
    </w:p>
  </w:footnote>
  <w:footnote w:id="5">
    <w:p w14:paraId="3C4C035A" w14:textId="45F861B4"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Izvedbeni sklep Komisije (EU) 2015/699 z dne 24. aprila 2015 o odobritvi dajanja na trg proizvodov, ki vsebujejo gensko spremenjeni bombaž T304-40 (BCS-GHØØ4-7), so iz njega sestavljeni ali proizvedeni, v skladu z Uredbo (ES) št. 1829/2003 Evropskega parlamenta in Sveta (UL L 112, 30.4.2015, str. 77, ELI: </w:t>
      </w:r>
      <w:hyperlink r:id="rId14" w:history="1">
        <w:r w:rsidRPr="00B76366">
          <w:rPr>
            <w:rStyle w:val="Hyperlink"/>
            <w:sz w:val="24"/>
            <w:lang w:val="sl-SI"/>
          </w:rPr>
          <w:t>http://data.europa.eu/eli/dec_impl/2015/699/oj</w:t>
        </w:r>
      </w:hyperlink>
      <w:r w:rsidRPr="00B76366">
        <w:rPr>
          <w:sz w:val="24"/>
          <w:lang w:val="sl-SI"/>
        </w:rPr>
        <w:t>).</w:t>
      </w:r>
    </w:p>
  </w:footnote>
  <w:footnote w:id="6">
    <w:p w14:paraId="4B297421" w14:textId="0DB61FF6"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Izvedbeni sklep Komisije (EU) 2019/1195 z dne 10. julija 2019 o spremembi odločb 2008/730/ES, 2008/837/ES, 2009/184/ES, 2011/354/EU, izvedbenih sklepov 2012/81/EU, 2013/327/EU, (EU) 2015/690, (EU) 2015/697, (EU) 2015/699, (EU) 2016/1215, (EU) 2017/1208 in (EU) 2017/2451 v zvezi z imetnikom dovoljenja in zastopnikom za dajanje na trg gensko spremenjene soje, bombaža, oljne ogrščice in koruze (UL L 187, 12.7.2019, str. 43, ELI: </w:t>
      </w:r>
      <w:hyperlink r:id="rId15" w:tooltip="Omogoča dostop do dokumenta prek označevalnika/predloge ELI URI." w:history="1">
        <w:r w:rsidRPr="00B76366">
          <w:rPr>
            <w:rStyle w:val="Hyperlink"/>
            <w:sz w:val="24"/>
            <w:lang w:val="sl-SI"/>
          </w:rPr>
          <w:t>http://data.europa.eu/eli/dec_impl/2019/1195/oj</w:t>
        </w:r>
      </w:hyperlink>
      <w:r w:rsidRPr="00B76366">
        <w:rPr>
          <w:sz w:val="24"/>
          <w:lang w:val="sl-SI"/>
        </w:rPr>
        <w:t xml:space="preserve">). </w:t>
      </w:r>
    </w:p>
  </w:footnote>
  <w:footnote w:id="7">
    <w:p w14:paraId="1058E710" w14:textId="31AC346D"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 xml:space="preserve">Znanstveno mnenje odbora EFSA o gensko spremenjenih organizmih o oceni gensko spremenjenega bombaža T304-40 za obnovitev odobritve v skladu z Uredbo (ES) št. 1829/2003 (zadeva GMFF-2024-23010), </w:t>
      </w:r>
      <w:r w:rsidRPr="00B76366">
        <w:rPr>
          <w:i/>
          <w:iCs/>
          <w:sz w:val="24"/>
          <w:lang w:val="sl-SI"/>
        </w:rPr>
        <w:t>EFSA Journal</w:t>
      </w:r>
      <w:r w:rsidRPr="00B76366">
        <w:rPr>
          <w:sz w:val="24"/>
          <w:lang w:val="sl-SI"/>
        </w:rPr>
        <w:t xml:space="preserve">  2025,23(7):e9580, </w:t>
      </w:r>
      <w:hyperlink r:id="rId16" w:history="1">
        <w:r w:rsidRPr="00B76366">
          <w:rPr>
            <w:sz w:val="24"/>
            <w:lang w:val="sl-SI"/>
          </w:rPr>
          <w:t>https://doi.org/10.2903/j.efsa.2025.9580</w:t>
        </w:r>
      </w:hyperlink>
      <w:r w:rsidRPr="00B76366">
        <w:rPr>
          <w:sz w:val="24"/>
          <w:lang w:val="sl-SI"/>
        </w:rPr>
        <w:t>.</w:t>
      </w:r>
    </w:p>
  </w:footnote>
  <w:footnote w:id="8">
    <w:p w14:paraId="3DA518D2" w14:textId="36C0B314"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 xml:space="preserve">Znanstveno mnenje odbora EFSA o gensko spremenjenih organizmih o vlogi EFSA-GMO-NL-2011-97 za dajanje na trg gensko spremenjenega bombaža T304-40, odpornega proti žuželkam in herbicidom za uporabo v živilih in krmi, uvoz in predelavo v skladu Uredbo (ES) št. 1829/2003, ki jo je oddala družba Bayer </w:t>
      </w:r>
      <w:proofErr w:type="spellStart"/>
      <w:r w:rsidRPr="00B76366">
        <w:rPr>
          <w:sz w:val="24"/>
          <w:lang w:val="sl-SI"/>
        </w:rPr>
        <w:t>CropScience</w:t>
      </w:r>
      <w:proofErr w:type="spellEnd"/>
      <w:r w:rsidRPr="00B76366">
        <w:rPr>
          <w:sz w:val="24"/>
          <w:lang w:val="sl-SI"/>
        </w:rPr>
        <w:t xml:space="preserve"> AG, </w:t>
      </w:r>
      <w:r w:rsidRPr="00B76366">
        <w:rPr>
          <w:i/>
          <w:sz w:val="24"/>
          <w:lang w:val="sl-SI"/>
        </w:rPr>
        <w:t>EFSA Journal</w:t>
      </w:r>
      <w:r w:rsidRPr="00B76366">
        <w:rPr>
          <w:sz w:val="24"/>
          <w:lang w:val="sl-SI"/>
        </w:rPr>
        <w:t xml:space="preserve">, 2013, 11(6): 3251, </w:t>
      </w:r>
      <w:hyperlink r:id="rId17" w:history="1">
        <w:r w:rsidRPr="00B76366">
          <w:rPr>
            <w:sz w:val="24"/>
            <w:lang w:val="sl-SI"/>
          </w:rPr>
          <w:t>https://doi.org/10.2903/j.efsa.2013.3251</w:t>
        </w:r>
      </w:hyperlink>
      <w:r w:rsidRPr="00B76366">
        <w:rPr>
          <w:sz w:val="24"/>
          <w:lang w:val="sl-SI"/>
        </w:rPr>
        <w:t>.</w:t>
      </w:r>
    </w:p>
  </w:footnote>
  <w:footnote w:id="9">
    <w:p w14:paraId="01B5F920" w14:textId="65C6FB95"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shd w:val="clear" w:color="auto" w:fill="FFFFFF"/>
          <w:lang w:val="sl-SI"/>
        </w:rPr>
        <w:t xml:space="preserve"> </w:t>
      </w:r>
      <w:r w:rsidR="00B76366" w:rsidRPr="00B76366">
        <w:rPr>
          <w:sz w:val="24"/>
          <w:shd w:val="clear" w:color="auto" w:fill="FFFFFF"/>
          <w:lang w:val="sl-SI"/>
        </w:rPr>
        <w:tab/>
      </w:r>
      <w:r w:rsidRPr="00B76366">
        <w:rPr>
          <w:sz w:val="24"/>
          <w:shd w:val="clear" w:color="auto" w:fill="FFFFFF"/>
          <w:lang w:val="sl-SI"/>
        </w:rPr>
        <w:t xml:space="preserve">Gl. na primer Bonny, S.: </w:t>
      </w:r>
      <w:proofErr w:type="spellStart"/>
      <w:r w:rsidRPr="00B76366">
        <w:rPr>
          <w:sz w:val="24"/>
          <w:shd w:val="clear" w:color="auto" w:fill="FFFFFF"/>
          <w:lang w:val="sl-SI"/>
        </w:rPr>
        <w:t>Genetically</w:t>
      </w:r>
      <w:proofErr w:type="spellEnd"/>
      <w:r w:rsidRPr="00B76366">
        <w:rPr>
          <w:sz w:val="24"/>
          <w:shd w:val="clear" w:color="auto" w:fill="FFFFFF"/>
          <w:lang w:val="sl-SI"/>
        </w:rPr>
        <w:t xml:space="preserve"> </w:t>
      </w:r>
      <w:proofErr w:type="spellStart"/>
      <w:r w:rsidRPr="00B76366">
        <w:rPr>
          <w:sz w:val="24"/>
          <w:shd w:val="clear" w:color="auto" w:fill="FFFFFF"/>
          <w:lang w:val="sl-SI"/>
        </w:rPr>
        <w:t>Modified</w:t>
      </w:r>
      <w:proofErr w:type="spellEnd"/>
      <w:r w:rsidRPr="00B76366">
        <w:rPr>
          <w:sz w:val="24"/>
          <w:shd w:val="clear" w:color="auto" w:fill="FFFFFF"/>
          <w:lang w:val="sl-SI"/>
        </w:rPr>
        <w:t xml:space="preserve"> Herbicide-</w:t>
      </w:r>
      <w:proofErr w:type="spellStart"/>
      <w:r w:rsidRPr="00B76366">
        <w:rPr>
          <w:sz w:val="24"/>
          <w:shd w:val="clear" w:color="auto" w:fill="FFFFFF"/>
          <w:lang w:val="sl-SI"/>
        </w:rPr>
        <w:t>Tolerant</w:t>
      </w:r>
      <w:proofErr w:type="spellEnd"/>
      <w:r w:rsidRPr="00B76366">
        <w:rPr>
          <w:sz w:val="24"/>
          <w:shd w:val="clear" w:color="auto" w:fill="FFFFFF"/>
          <w:lang w:val="sl-SI"/>
        </w:rPr>
        <w:t xml:space="preserve"> </w:t>
      </w:r>
      <w:proofErr w:type="spellStart"/>
      <w:r w:rsidRPr="00B76366">
        <w:rPr>
          <w:sz w:val="24"/>
          <w:shd w:val="clear" w:color="auto" w:fill="FFFFFF"/>
          <w:lang w:val="sl-SI"/>
        </w:rPr>
        <w:t>Crops</w:t>
      </w:r>
      <w:proofErr w:type="spellEnd"/>
      <w:r w:rsidRPr="00B76366">
        <w:rPr>
          <w:sz w:val="24"/>
          <w:shd w:val="clear" w:color="auto" w:fill="FFFFFF"/>
          <w:lang w:val="sl-SI"/>
        </w:rPr>
        <w:t xml:space="preserve">, </w:t>
      </w:r>
      <w:proofErr w:type="spellStart"/>
      <w:r w:rsidRPr="00B76366">
        <w:rPr>
          <w:sz w:val="24"/>
          <w:shd w:val="clear" w:color="auto" w:fill="FFFFFF"/>
          <w:lang w:val="sl-SI"/>
        </w:rPr>
        <w:t>Weeds</w:t>
      </w:r>
      <w:proofErr w:type="spellEnd"/>
      <w:r w:rsidRPr="00B76366">
        <w:rPr>
          <w:sz w:val="24"/>
          <w:shd w:val="clear" w:color="auto" w:fill="FFFFFF"/>
          <w:lang w:val="sl-SI"/>
        </w:rPr>
        <w:t xml:space="preserve">, and </w:t>
      </w:r>
      <w:proofErr w:type="spellStart"/>
      <w:r w:rsidRPr="00B76366">
        <w:rPr>
          <w:sz w:val="24"/>
          <w:shd w:val="clear" w:color="auto" w:fill="FFFFFF"/>
          <w:lang w:val="sl-SI"/>
        </w:rPr>
        <w:t>Herbicides</w:t>
      </w:r>
      <w:proofErr w:type="spellEnd"/>
      <w:r w:rsidRPr="00B76366">
        <w:rPr>
          <w:sz w:val="24"/>
          <w:shd w:val="clear" w:color="auto" w:fill="FFFFFF"/>
          <w:lang w:val="sl-SI"/>
        </w:rPr>
        <w:t xml:space="preserve">: </w:t>
      </w:r>
      <w:proofErr w:type="spellStart"/>
      <w:r w:rsidRPr="00B76366">
        <w:rPr>
          <w:sz w:val="24"/>
          <w:shd w:val="clear" w:color="auto" w:fill="FFFFFF"/>
          <w:lang w:val="sl-SI"/>
        </w:rPr>
        <w:t>Overview</w:t>
      </w:r>
      <w:proofErr w:type="spellEnd"/>
      <w:r w:rsidRPr="00B76366">
        <w:rPr>
          <w:sz w:val="24"/>
          <w:shd w:val="clear" w:color="auto" w:fill="FFFFFF"/>
          <w:lang w:val="sl-SI"/>
        </w:rPr>
        <w:t xml:space="preserve"> and </w:t>
      </w:r>
      <w:proofErr w:type="spellStart"/>
      <w:r w:rsidRPr="00B76366">
        <w:rPr>
          <w:sz w:val="24"/>
          <w:shd w:val="clear" w:color="auto" w:fill="FFFFFF"/>
          <w:lang w:val="sl-SI"/>
        </w:rPr>
        <w:t>Impact</w:t>
      </w:r>
      <w:proofErr w:type="spellEnd"/>
      <w:r w:rsidRPr="00B76366">
        <w:rPr>
          <w:sz w:val="24"/>
          <w:shd w:val="clear" w:color="auto" w:fill="FFFFFF"/>
          <w:lang w:val="sl-SI"/>
        </w:rPr>
        <w:t xml:space="preserve">’, </w:t>
      </w:r>
      <w:proofErr w:type="spellStart"/>
      <w:r w:rsidRPr="00B76366">
        <w:rPr>
          <w:i/>
          <w:sz w:val="24"/>
          <w:shd w:val="clear" w:color="auto" w:fill="FFFFFF"/>
          <w:lang w:val="sl-SI"/>
        </w:rPr>
        <w:t>Environmental</w:t>
      </w:r>
      <w:proofErr w:type="spellEnd"/>
      <w:r w:rsidRPr="00B76366">
        <w:rPr>
          <w:i/>
          <w:sz w:val="24"/>
          <w:shd w:val="clear" w:color="auto" w:fill="FFFFFF"/>
          <w:lang w:val="sl-SI"/>
        </w:rPr>
        <w:t xml:space="preserve"> Management</w:t>
      </w:r>
      <w:r w:rsidRPr="00B76366">
        <w:rPr>
          <w:sz w:val="24"/>
          <w:shd w:val="clear" w:color="auto" w:fill="FFFFFF"/>
          <w:lang w:val="sl-SI"/>
        </w:rPr>
        <w:t xml:space="preserve">, januar 2016,57(1), stran 31-48, </w:t>
      </w:r>
      <w:hyperlink r:id="rId18" w:history="1">
        <w:r w:rsidRPr="00B76366">
          <w:rPr>
            <w:rStyle w:val="Hyperlink"/>
            <w:sz w:val="24"/>
            <w:shd w:val="clear" w:color="auto" w:fill="FFFFFF"/>
            <w:lang w:val="sl-SI"/>
          </w:rPr>
          <w:t>https://doi.org/10.1007/s00267-015-0589-7</w:t>
        </w:r>
      </w:hyperlink>
      <w:r w:rsidRPr="00B76366">
        <w:rPr>
          <w:sz w:val="24"/>
          <w:shd w:val="clear" w:color="auto" w:fill="FFFFFF"/>
          <w:lang w:val="sl-SI"/>
        </w:rPr>
        <w:t xml:space="preserve"> in </w:t>
      </w:r>
      <w:proofErr w:type="spellStart"/>
      <w:r w:rsidRPr="00B76366">
        <w:rPr>
          <w:sz w:val="24"/>
          <w:shd w:val="clear" w:color="auto" w:fill="FFFFFF"/>
          <w:lang w:val="sl-SI"/>
        </w:rPr>
        <w:t>Benbrook</w:t>
      </w:r>
      <w:proofErr w:type="spellEnd"/>
      <w:r w:rsidRPr="00B76366">
        <w:rPr>
          <w:sz w:val="24"/>
          <w:shd w:val="clear" w:color="auto" w:fill="FFFFFF"/>
          <w:lang w:val="sl-SI"/>
        </w:rPr>
        <w:t>, C.M., ‘</w:t>
      </w:r>
      <w:proofErr w:type="spellStart"/>
      <w:r w:rsidRPr="00B76366">
        <w:rPr>
          <w:sz w:val="24"/>
          <w:shd w:val="clear" w:color="auto" w:fill="FFFFFF"/>
          <w:lang w:val="sl-SI"/>
        </w:rPr>
        <w:t>Impacts</w:t>
      </w:r>
      <w:proofErr w:type="spellEnd"/>
      <w:r w:rsidRPr="00B76366">
        <w:rPr>
          <w:sz w:val="24"/>
          <w:shd w:val="clear" w:color="auto" w:fill="FFFFFF"/>
          <w:lang w:val="sl-SI"/>
        </w:rPr>
        <w:t xml:space="preserve"> of </w:t>
      </w:r>
      <w:proofErr w:type="spellStart"/>
      <w:r w:rsidRPr="00B76366">
        <w:rPr>
          <w:sz w:val="24"/>
          <w:shd w:val="clear" w:color="auto" w:fill="FFFFFF"/>
          <w:lang w:val="sl-SI"/>
        </w:rPr>
        <w:t>genetically</w:t>
      </w:r>
      <w:proofErr w:type="spellEnd"/>
      <w:r w:rsidRPr="00B76366">
        <w:rPr>
          <w:sz w:val="24"/>
          <w:shd w:val="clear" w:color="auto" w:fill="FFFFFF"/>
          <w:lang w:val="sl-SI"/>
        </w:rPr>
        <w:t xml:space="preserve"> </w:t>
      </w:r>
      <w:proofErr w:type="spellStart"/>
      <w:r w:rsidRPr="00B76366">
        <w:rPr>
          <w:sz w:val="24"/>
          <w:shd w:val="clear" w:color="auto" w:fill="FFFFFF"/>
          <w:lang w:val="sl-SI"/>
        </w:rPr>
        <w:t>engineered</w:t>
      </w:r>
      <w:proofErr w:type="spellEnd"/>
      <w:r w:rsidRPr="00B76366">
        <w:rPr>
          <w:sz w:val="24"/>
          <w:shd w:val="clear" w:color="auto" w:fill="FFFFFF"/>
          <w:lang w:val="sl-SI"/>
        </w:rPr>
        <w:t xml:space="preserve"> </w:t>
      </w:r>
      <w:proofErr w:type="spellStart"/>
      <w:r w:rsidRPr="00B76366">
        <w:rPr>
          <w:sz w:val="24"/>
          <w:shd w:val="clear" w:color="auto" w:fill="FFFFFF"/>
          <w:lang w:val="sl-SI"/>
        </w:rPr>
        <w:t>crops</w:t>
      </w:r>
      <w:proofErr w:type="spellEnd"/>
      <w:r w:rsidRPr="00B76366">
        <w:rPr>
          <w:sz w:val="24"/>
          <w:shd w:val="clear" w:color="auto" w:fill="FFFFFF"/>
          <w:lang w:val="sl-SI"/>
        </w:rPr>
        <w:t xml:space="preserve"> on pesticide </w:t>
      </w:r>
      <w:proofErr w:type="spellStart"/>
      <w:r w:rsidRPr="00B76366">
        <w:rPr>
          <w:sz w:val="24"/>
          <w:shd w:val="clear" w:color="auto" w:fill="FFFFFF"/>
          <w:lang w:val="sl-SI"/>
        </w:rPr>
        <w:t>use</w:t>
      </w:r>
      <w:proofErr w:type="spellEnd"/>
      <w:r w:rsidRPr="00B76366">
        <w:rPr>
          <w:sz w:val="24"/>
          <w:shd w:val="clear" w:color="auto" w:fill="FFFFFF"/>
          <w:lang w:val="sl-SI"/>
        </w:rPr>
        <w:t xml:space="preserve"> in the U.S. - the </w:t>
      </w:r>
      <w:proofErr w:type="spellStart"/>
      <w:r w:rsidRPr="00B76366">
        <w:rPr>
          <w:sz w:val="24"/>
          <w:shd w:val="clear" w:color="auto" w:fill="FFFFFF"/>
          <w:lang w:val="sl-SI"/>
        </w:rPr>
        <w:t>first</w:t>
      </w:r>
      <w:proofErr w:type="spellEnd"/>
      <w:r w:rsidRPr="00B76366">
        <w:rPr>
          <w:sz w:val="24"/>
          <w:shd w:val="clear" w:color="auto" w:fill="FFFFFF"/>
          <w:lang w:val="sl-SI"/>
        </w:rPr>
        <w:t xml:space="preserve"> </w:t>
      </w:r>
      <w:proofErr w:type="spellStart"/>
      <w:r w:rsidRPr="00B76366">
        <w:rPr>
          <w:sz w:val="24"/>
          <w:shd w:val="clear" w:color="auto" w:fill="FFFFFF"/>
          <w:lang w:val="sl-SI"/>
        </w:rPr>
        <w:t>sixteen</w:t>
      </w:r>
      <w:proofErr w:type="spellEnd"/>
      <w:r w:rsidRPr="00B76366">
        <w:rPr>
          <w:sz w:val="24"/>
          <w:shd w:val="clear" w:color="auto" w:fill="FFFFFF"/>
          <w:lang w:val="sl-SI"/>
        </w:rPr>
        <w:t xml:space="preserve"> </w:t>
      </w:r>
      <w:proofErr w:type="spellStart"/>
      <w:r w:rsidRPr="00B76366">
        <w:rPr>
          <w:sz w:val="24"/>
          <w:shd w:val="clear" w:color="auto" w:fill="FFFFFF"/>
          <w:lang w:val="sl-SI"/>
        </w:rPr>
        <w:t>years</w:t>
      </w:r>
      <w:proofErr w:type="spellEnd"/>
      <w:r w:rsidRPr="00B76366">
        <w:rPr>
          <w:sz w:val="24"/>
          <w:shd w:val="clear" w:color="auto" w:fill="FFFFFF"/>
          <w:lang w:val="sl-SI"/>
        </w:rPr>
        <w:t xml:space="preserve">’, </w:t>
      </w:r>
      <w:proofErr w:type="spellStart"/>
      <w:r w:rsidRPr="00B76366">
        <w:rPr>
          <w:i/>
          <w:sz w:val="24"/>
          <w:shd w:val="clear" w:color="auto" w:fill="FFFFFF"/>
          <w:lang w:val="sl-SI"/>
        </w:rPr>
        <w:t>Environmental</w:t>
      </w:r>
      <w:proofErr w:type="spellEnd"/>
      <w:r w:rsidRPr="00B76366">
        <w:rPr>
          <w:i/>
          <w:sz w:val="24"/>
          <w:shd w:val="clear" w:color="auto" w:fill="FFFFFF"/>
          <w:lang w:val="sl-SI"/>
        </w:rPr>
        <w:t xml:space="preserve"> </w:t>
      </w:r>
      <w:proofErr w:type="spellStart"/>
      <w:r w:rsidRPr="00B76366">
        <w:rPr>
          <w:i/>
          <w:sz w:val="24"/>
          <w:shd w:val="clear" w:color="auto" w:fill="FFFFFF"/>
          <w:lang w:val="sl-SI"/>
        </w:rPr>
        <w:t>Sciences</w:t>
      </w:r>
      <w:proofErr w:type="spellEnd"/>
      <w:r w:rsidRPr="00B76366">
        <w:rPr>
          <w:i/>
          <w:sz w:val="24"/>
          <w:shd w:val="clear" w:color="auto" w:fill="FFFFFF"/>
          <w:lang w:val="sl-SI"/>
        </w:rPr>
        <w:t xml:space="preserve"> Europe</w:t>
      </w:r>
      <w:r w:rsidRPr="00B76366">
        <w:rPr>
          <w:sz w:val="24"/>
          <w:shd w:val="clear" w:color="auto" w:fill="FFFFFF"/>
          <w:lang w:val="sl-SI"/>
        </w:rPr>
        <w:t xml:space="preserve">, 28. september 2012, zvezek 24(1), </w:t>
      </w:r>
      <w:hyperlink r:id="rId19" w:history="1">
        <w:r w:rsidRPr="00B76366">
          <w:rPr>
            <w:rStyle w:val="Hyperlink"/>
            <w:sz w:val="24"/>
            <w:shd w:val="clear" w:color="auto" w:fill="FFFFFF"/>
            <w:lang w:val="sl-SI"/>
          </w:rPr>
          <w:t>https://doi.org/10.1186/2190-4715-24-24</w:t>
        </w:r>
      </w:hyperlink>
      <w:r w:rsidRPr="00B76366">
        <w:rPr>
          <w:rStyle w:val="Hyperlink"/>
          <w:sz w:val="24"/>
          <w:shd w:val="clear" w:color="auto" w:fill="FFFFFF"/>
          <w:lang w:val="sl-SI"/>
        </w:rPr>
        <w:t>.</w:t>
      </w:r>
      <w:r w:rsidRPr="00B76366">
        <w:rPr>
          <w:sz w:val="24"/>
          <w:shd w:val="clear" w:color="auto" w:fill="FFFFFF"/>
          <w:lang w:val="sl-SI"/>
        </w:rPr>
        <w:t xml:space="preserve"> </w:t>
      </w:r>
    </w:p>
  </w:footnote>
  <w:footnote w:id="10">
    <w:p w14:paraId="0F2D2F39" w14:textId="4B2B95BD"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 xml:space="preserve">Glej na primer: </w:t>
      </w:r>
      <w:hyperlink r:id="rId20" w:history="1">
        <w:r w:rsidRPr="00B76366">
          <w:rPr>
            <w:rStyle w:val="Hyperlink"/>
            <w:sz w:val="24"/>
            <w:lang w:val="sl-SI"/>
          </w:rPr>
          <w:t>https://doi.org/10.1002/ps.8105</w:t>
        </w:r>
      </w:hyperlink>
      <w:r w:rsidRPr="00B76366">
        <w:rPr>
          <w:sz w:val="24"/>
          <w:lang w:val="sl-SI"/>
        </w:rPr>
        <w:t xml:space="preserve"> , in</w:t>
      </w:r>
      <w:r w:rsidR="00040D4E">
        <w:rPr>
          <w:sz w:val="24"/>
          <w:lang w:val="sl-SI"/>
        </w:rPr>
        <w:t xml:space="preserve"> </w:t>
      </w:r>
      <w:hyperlink r:id="rId21" w:history="1">
        <w:r w:rsidRPr="00B76366">
          <w:rPr>
            <w:rStyle w:val="Hyperlink"/>
            <w:sz w:val="24"/>
            <w:lang w:val="sl-SI"/>
          </w:rPr>
          <w:t>https://doi.org/10.1016/j.geoforum.2009.03.009</w:t>
        </w:r>
      </w:hyperlink>
      <w:r w:rsidRPr="00B76366">
        <w:rPr>
          <w:rStyle w:val="Hyperlink"/>
          <w:sz w:val="24"/>
          <w:lang w:val="sl-SI"/>
        </w:rPr>
        <w:t>.</w:t>
      </w:r>
    </w:p>
  </w:footnote>
  <w:footnote w:id="11">
    <w:p w14:paraId="53795A2C" w14:textId="79792E12"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Uredba (ES) št. 1107/2009 Evropskega parlamenta in Sveta z dne 21. oktobra 2009 o dajanju fitofarmacevtskih sredstev v promet in razveljavitvi direktiv Sveta 79/117/EGS in 91/414/EGS (UL L 309, 24.11.2009, str. 1, ELI: </w:t>
      </w:r>
      <w:hyperlink r:id="rId22" w:history="1">
        <w:r w:rsidRPr="00B76366">
          <w:rPr>
            <w:rStyle w:val="Hyperlink"/>
            <w:sz w:val="24"/>
            <w:lang w:val="sl-SI"/>
          </w:rPr>
          <w:t>http://data.europa.eu/eli/reg/2009/1107/oj</w:t>
        </w:r>
      </w:hyperlink>
      <w:r w:rsidRPr="00B76366">
        <w:rPr>
          <w:sz w:val="24"/>
          <w:lang w:val="sl-SI"/>
        </w:rPr>
        <w:t>).</w:t>
      </w:r>
    </w:p>
  </w:footnote>
  <w:footnote w:id="12">
    <w:p w14:paraId="71853A39" w14:textId="1C03C7B6"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color w:val="000000" w:themeColor="text1"/>
          <w:sz w:val="24"/>
          <w:lang w:val="sl-SI"/>
        </w:rPr>
        <w:t xml:space="preserve"> </w:t>
      </w:r>
      <w:r w:rsidR="00B76366" w:rsidRPr="00B76366">
        <w:rPr>
          <w:color w:val="000000" w:themeColor="text1"/>
          <w:sz w:val="24"/>
          <w:lang w:val="sl-SI"/>
        </w:rPr>
        <w:tab/>
      </w:r>
      <w:r w:rsidRPr="00B76366">
        <w:rPr>
          <w:color w:val="000000" w:themeColor="text1"/>
          <w:sz w:val="24"/>
          <w:lang w:val="sl-SI"/>
        </w:rPr>
        <w:t>Decembra 2022 je bil na 15. konferenci pogodbenic Konvencije Združenih narodov o biološki raznovrstnosti dosežen dogovor o svetovnem okviru za biotsko raznovrstnost, ki vključuje globalni cilj zmanjšanja tveganja pesticidov za vsaj 50</w:t>
      </w:r>
      <w:r w:rsidRPr="00B76366">
        <w:rPr>
          <w:sz w:val="24"/>
          <w:lang w:val="sl-SI"/>
        </w:rPr>
        <w:t> </w:t>
      </w:r>
      <w:r w:rsidRPr="00B76366">
        <w:rPr>
          <w:color w:val="000000" w:themeColor="text1"/>
          <w:sz w:val="24"/>
          <w:lang w:val="sl-SI"/>
        </w:rPr>
        <w:t xml:space="preserve">% do leta 2030 (glej </w:t>
      </w:r>
      <w:hyperlink r:id="rId23" w:history="1">
        <w:r w:rsidRPr="00B76366">
          <w:rPr>
            <w:rStyle w:val="Hyperlink"/>
            <w:sz w:val="24"/>
            <w:lang w:val="sl-SI"/>
          </w:rPr>
          <w:t>https://ec.europa.eu/commission/presscorner/detail/sl/ip_22_7834</w:t>
        </w:r>
      </w:hyperlink>
      <w:r w:rsidRPr="00B76366">
        <w:rPr>
          <w:sz w:val="24"/>
          <w:lang w:val="sl-SI"/>
        </w:rPr>
        <w:t xml:space="preserve">). </w:t>
      </w:r>
    </w:p>
  </w:footnote>
  <w:footnote w:id="13">
    <w:p w14:paraId="1F17A0A8" w14:textId="75EC759B"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hyperlink r:id="rId24" w:history="1">
        <w:r w:rsidRPr="00B76366">
          <w:rPr>
            <w:rStyle w:val="Hyperlink"/>
            <w:sz w:val="24"/>
            <w:lang w:val="sl-SI"/>
          </w:rPr>
          <w:t>https://commission.europa.eu/strategy-and-policy/priorities-2019-2024/european-green-deal/agriculture-and-green-deal/strategic-dialogue-future-eu-agriculture_sl</w:t>
        </w:r>
      </w:hyperlink>
    </w:p>
  </w:footnote>
  <w:footnote w:id="14">
    <w:p w14:paraId="687B21EC" w14:textId="520ED0AD" w:rsidR="00AE59C2" w:rsidRPr="00B76366" w:rsidRDefault="00AE59C2" w:rsidP="00B76366">
      <w:pPr>
        <w:pStyle w:val="FootnoteText"/>
        <w:ind w:left="567" w:hanging="567"/>
        <w:rPr>
          <w:sz w:val="24"/>
          <w:lang w:val="sl-SI"/>
        </w:rPr>
      </w:pPr>
      <w:r w:rsidRPr="00B76366">
        <w:rPr>
          <w:rStyle w:val="FootnoteReference"/>
          <w:sz w:val="24"/>
          <w:lang w:val="sl-SI"/>
        </w:rPr>
        <w:footnoteRef/>
      </w:r>
      <w:r w:rsidR="00B76366" w:rsidRPr="00B76366">
        <w:rPr>
          <w:sz w:val="24"/>
          <w:lang w:val="sl-SI"/>
        </w:rPr>
        <w:t xml:space="preserve"> </w:t>
      </w:r>
      <w:r w:rsidR="00B76366" w:rsidRPr="00B76366">
        <w:rPr>
          <w:sz w:val="24"/>
          <w:lang w:val="sl-SI"/>
        </w:rPr>
        <w:tab/>
      </w:r>
      <w:r w:rsidRPr="00B76366">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w:t>
      </w:r>
      <w:r w:rsidRPr="00B76366">
        <w:rPr>
          <w:color w:val="000000" w:themeColor="text1"/>
          <w:sz w:val="24"/>
          <w:lang w:val="sl-SI"/>
        </w:rPr>
        <w:t> </w:t>
      </w:r>
      <w:hyperlink r:id="rId25" w:tgtFrame="Gives access to this document through its ELI URI." w:history="1">
        <w:r w:rsidRPr="00B76366">
          <w:rPr>
            <w:rStyle w:val="Hyperlink"/>
            <w:color w:val="0070C0"/>
            <w:sz w:val="24"/>
            <w:lang w:val="sl-SI"/>
          </w:rPr>
          <w:t>http://data.europa.eu/eli/reg/2002/178/oj</w:t>
        </w:r>
      </w:hyperlink>
      <w:r w:rsidRPr="00B7636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F0CED" w14:textId="77777777" w:rsidR="00064002" w:rsidRPr="00B763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E95F" w14:textId="77777777" w:rsidR="00064002" w:rsidRPr="00B763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4404" w14:textId="77777777" w:rsidR="00064002" w:rsidRPr="00B763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6145190">
    <w:abstractNumId w:val="9"/>
  </w:num>
  <w:num w:numId="2" w16cid:durableId="520778998">
    <w:abstractNumId w:val="9"/>
  </w:num>
  <w:num w:numId="3" w16cid:durableId="719860625">
    <w:abstractNumId w:val="7"/>
  </w:num>
  <w:num w:numId="4" w16cid:durableId="1798140688">
    <w:abstractNumId w:val="7"/>
  </w:num>
  <w:num w:numId="5" w16cid:durableId="1169439650">
    <w:abstractNumId w:val="6"/>
  </w:num>
  <w:num w:numId="6" w16cid:durableId="1870490687">
    <w:abstractNumId w:val="6"/>
  </w:num>
  <w:num w:numId="7" w16cid:durableId="125198875">
    <w:abstractNumId w:val="5"/>
  </w:num>
  <w:num w:numId="8" w16cid:durableId="705984716">
    <w:abstractNumId w:val="5"/>
  </w:num>
  <w:num w:numId="9" w16cid:durableId="1895307759">
    <w:abstractNumId w:val="4"/>
  </w:num>
  <w:num w:numId="10" w16cid:durableId="904296280">
    <w:abstractNumId w:val="4"/>
  </w:num>
  <w:num w:numId="11" w16cid:durableId="1611083045">
    <w:abstractNumId w:val="8"/>
  </w:num>
  <w:num w:numId="12" w16cid:durableId="1256132052">
    <w:abstractNumId w:val="8"/>
  </w:num>
  <w:num w:numId="13" w16cid:durableId="1740711133">
    <w:abstractNumId w:val="3"/>
  </w:num>
  <w:num w:numId="14" w16cid:durableId="1262371019">
    <w:abstractNumId w:val="3"/>
  </w:num>
  <w:num w:numId="15" w16cid:durableId="2051609108">
    <w:abstractNumId w:val="2"/>
  </w:num>
  <w:num w:numId="16" w16cid:durableId="177086458">
    <w:abstractNumId w:val="2"/>
  </w:num>
  <w:num w:numId="17" w16cid:durableId="1252665132">
    <w:abstractNumId w:val="1"/>
  </w:num>
  <w:num w:numId="18" w16cid:durableId="1678996051">
    <w:abstractNumId w:val="1"/>
  </w:num>
  <w:num w:numId="19" w16cid:durableId="1635673209">
    <w:abstractNumId w:val="0"/>
  </w:num>
  <w:num w:numId="20" w16cid:durableId="1084692244">
    <w:abstractNumId w:val="0"/>
  </w:num>
  <w:num w:numId="21" w16cid:durableId="656493490">
    <w:abstractNumId w:val="9"/>
  </w:num>
  <w:num w:numId="22" w16cid:durableId="1720856200">
    <w:abstractNumId w:val="7"/>
  </w:num>
  <w:num w:numId="23" w16cid:durableId="1636443016">
    <w:abstractNumId w:val="6"/>
  </w:num>
  <w:num w:numId="24" w16cid:durableId="1235242641">
    <w:abstractNumId w:val="5"/>
  </w:num>
  <w:num w:numId="25" w16cid:durableId="1703507437">
    <w:abstractNumId w:val="4"/>
  </w:num>
  <w:num w:numId="26" w16cid:durableId="468017148">
    <w:abstractNumId w:val="8"/>
  </w:num>
  <w:num w:numId="27" w16cid:durableId="2029134036">
    <w:abstractNumId w:val="3"/>
  </w:num>
  <w:num w:numId="28" w16cid:durableId="1610770531">
    <w:abstractNumId w:val="2"/>
  </w:num>
  <w:num w:numId="29" w16cid:durableId="108475542">
    <w:abstractNumId w:val="1"/>
  </w:num>
  <w:num w:numId="30" w16cid:durableId="6946931">
    <w:abstractNumId w:val="0"/>
  </w:num>
  <w:num w:numId="31" w16cid:durableId="1514034877">
    <w:abstractNumId w:val="9"/>
  </w:num>
  <w:num w:numId="32" w16cid:durableId="382943221">
    <w:abstractNumId w:val="7"/>
  </w:num>
  <w:num w:numId="33" w16cid:durableId="1273396591">
    <w:abstractNumId w:val="6"/>
  </w:num>
  <w:num w:numId="34" w16cid:durableId="386153644">
    <w:abstractNumId w:val="5"/>
  </w:num>
  <w:num w:numId="35" w16cid:durableId="1467620440">
    <w:abstractNumId w:val="4"/>
  </w:num>
  <w:num w:numId="36" w16cid:durableId="2018530868">
    <w:abstractNumId w:val="8"/>
  </w:num>
  <w:num w:numId="37" w16cid:durableId="1508325950">
    <w:abstractNumId w:val="3"/>
  </w:num>
  <w:num w:numId="38" w16cid:durableId="1887983765">
    <w:abstractNumId w:val="2"/>
  </w:num>
  <w:num w:numId="39" w16cid:durableId="311372213">
    <w:abstractNumId w:val="1"/>
  </w:num>
  <w:num w:numId="40" w16cid:durableId="1612975329">
    <w:abstractNumId w:val="0"/>
  </w:num>
  <w:num w:numId="41" w16cid:durableId="2144157787">
    <w:abstractNumId w:val="10"/>
  </w:num>
  <w:num w:numId="42" w16cid:durableId="530722528">
    <w:abstractNumId w:val="10"/>
  </w:num>
  <w:num w:numId="43" w16cid:durableId="1444032260">
    <w:abstractNumId w:val="10"/>
  </w:num>
  <w:num w:numId="44" w16cid:durableId="36979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SL"/>
    <w:docVar w:name="dvnumam" w:val="0"/>
    <w:docVar w:name="dvpe" w:val="782.164"/>
    <w:docVar w:name="dvtitre" w:val="Resolucija Evropskega parlamenta z dne … 2026 o osnutku izvedbenega sklepa Komisije o obnovitvi odobritve dajanja proizvodov, ki vsebujejo gensko spremenjeni bombaž T304-40, so iz njega sestavljeni ali proizvedeni, na trg na podlagi Uredbe (ES) št. 1829/2003 Evropskega parlamenta in Sveta(D111477/02 – 2026/2518(RSP))"/>
  </w:docVars>
  <w:rsids>
    <w:rsidRoot w:val="000B484B"/>
    <w:rsid w:val="00002272"/>
    <w:rsid w:val="00040D4E"/>
    <w:rsid w:val="000428F8"/>
    <w:rsid w:val="00064002"/>
    <w:rsid w:val="000677B9"/>
    <w:rsid w:val="000831BA"/>
    <w:rsid w:val="000A42CC"/>
    <w:rsid w:val="000B484B"/>
    <w:rsid w:val="000E7DD9"/>
    <w:rsid w:val="0010095E"/>
    <w:rsid w:val="00125B37"/>
    <w:rsid w:val="00187494"/>
    <w:rsid w:val="001F32AE"/>
    <w:rsid w:val="002767FF"/>
    <w:rsid w:val="002B18FE"/>
    <w:rsid w:val="002B5493"/>
    <w:rsid w:val="002F1B6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70C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9C2"/>
    <w:rsid w:val="00AF3B82"/>
    <w:rsid w:val="00B12E95"/>
    <w:rsid w:val="00B22876"/>
    <w:rsid w:val="00B558F0"/>
    <w:rsid w:val="00B76366"/>
    <w:rsid w:val="00BD48FE"/>
    <w:rsid w:val="00BD7BD8"/>
    <w:rsid w:val="00BE6ADC"/>
    <w:rsid w:val="00C05BFE"/>
    <w:rsid w:val="00C23CD4"/>
    <w:rsid w:val="00C61C0C"/>
    <w:rsid w:val="00C8599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9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67C31"/>
  <w15:chartTrackingRefBased/>
  <w15:docId w15:val="{76BB9A96-D044-4C26-BF41-35CB1AB2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9C2"/>
    <w:pPr>
      <w:spacing w:before="480" w:after="240"/>
    </w:pPr>
  </w:style>
  <w:style w:type="paragraph" w:customStyle="1" w:styleId="NormalHanging12a">
    <w:name w:val="NormalHanging12a"/>
    <w:basedOn w:val="Normal"/>
    <w:rsid w:val="00AE59C2"/>
    <w:pPr>
      <w:spacing w:after="240"/>
      <w:ind w:left="567" w:hanging="567"/>
    </w:pPr>
  </w:style>
  <w:style w:type="character" w:styleId="Hyperlink">
    <w:name w:val="Hyperlink"/>
    <w:basedOn w:val="DefaultParagraphFont"/>
    <w:uiPriority w:val="99"/>
    <w:rsid w:val="00AE59C2"/>
    <w:rPr>
      <w:color w:val="0563C1" w:themeColor="hyperlink"/>
      <w:u w:val="single"/>
    </w:rPr>
  </w:style>
  <w:style w:type="paragraph" w:styleId="Revision">
    <w:name w:val="Revision"/>
    <w:hidden/>
    <w:uiPriority w:val="99"/>
    <w:semiHidden/>
    <w:rsid w:val="00040D4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sl"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sl/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8047</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2026-03-16T15:31:00Z</dcterms:created>
  <dcterms:modified xsi:type="dcterms:W3CDTF">2026-03-16T15:31:00Z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B10-0108/2026</vt:lpwstr>
  </property>
  <property fmtid="{D5CDD505-2E9C-101B-9397-08002B2CF9AE}" pid="4" name="&lt;Type&gt;">
    <vt:lpwstr>RR</vt:lpwstr>
  </property>
</Properties>
</file>