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11645" w14:paraId="4A6F23D8" w14:textId="77777777" w:rsidTr="0010095E">
        <w:trPr>
          <w:trHeight w:hRule="exact" w:val="1418"/>
        </w:trPr>
        <w:tc>
          <w:tcPr>
            <w:tcW w:w="6804" w:type="dxa"/>
            <w:shd w:val="clear" w:color="auto" w:fill="auto"/>
            <w:vAlign w:val="center"/>
          </w:tcPr>
          <w:p w14:paraId="64C4FEC0" w14:textId="77777777" w:rsidR="00751A4A" w:rsidRPr="00E11645" w:rsidRDefault="00AF00ED" w:rsidP="0010095E">
            <w:pPr>
              <w:pStyle w:val="EPName"/>
            </w:pPr>
            <w:r w:rsidRPr="00E11645">
              <w:t>Ευρωπαϊκό Κοινοβούλιο</w:t>
            </w:r>
          </w:p>
          <w:p w14:paraId="746DED87" w14:textId="77777777" w:rsidR="00751A4A" w:rsidRPr="00E11645" w:rsidRDefault="005F1B17" w:rsidP="005F1B17">
            <w:pPr>
              <w:pStyle w:val="EPTerm"/>
              <w:rPr>
                <w:rStyle w:val="HideTWBExt"/>
                <w:noProof w:val="0"/>
                <w:vanish w:val="0"/>
                <w:color w:val="auto"/>
              </w:rPr>
            </w:pPr>
            <w:r w:rsidRPr="00E11645">
              <w:t>2024</w:t>
            </w:r>
            <w:r w:rsidR="00817416" w:rsidRPr="00E11645">
              <w:t>-202</w:t>
            </w:r>
            <w:r w:rsidRPr="00E11645">
              <w:t>9</w:t>
            </w:r>
          </w:p>
        </w:tc>
        <w:tc>
          <w:tcPr>
            <w:tcW w:w="2268" w:type="dxa"/>
            <w:shd w:val="clear" w:color="auto" w:fill="auto"/>
          </w:tcPr>
          <w:p w14:paraId="383E55D2" w14:textId="77777777" w:rsidR="00751A4A" w:rsidRPr="00E11645" w:rsidRDefault="00187494" w:rsidP="0010095E">
            <w:pPr>
              <w:pStyle w:val="EPLogo"/>
            </w:pPr>
            <w:r w:rsidRPr="00E11645">
              <w:rPr>
                <w:noProof/>
                <w:lang w:eastAsia="ja-JP"/>
              </w:rPr>
              <w:drawing>
                <wp:inline distT="0" distB="0" distL="0" distR="0" wp14:anchorId="673AC9A6" wp14:editId="5556DCD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BEE50B" w14:textId="77777777" w:rsidR="00D058B8" w:rsidRPr="00E11645" w:rsidRDefault="00D058B8" w:rsidP="004C5D52">
      <w:pPr>
        <w:pStyle w:val="LineTop"/>
      </w:pPr>
    </w:p>
    <w:p w14:paraId="4A65AD17" w14:textId="77777777" w:rsidR="00680577" w:rsidRPr="00E11645" w:rsidRDefault="00AF00ED" w:rsidP="00680577">
      <w:pPr>
        <w:pStyle w:val="EPBodyTA1"/>
      </w:pPr>
      <w:r w:rsidRPr="00E11645">
        <w:t>ΚΕΙΜΕΝΑ ΠΟΥ ΕΓΚΡΙΘΗΚΑΝ</w:t>
      </w:r>
    </w:p>
    <w:p w14:paraId="39AE19E2" w14:textId="77777777" w:rsidR="00D058B8" w:rsidRPr="00E11645" w:rsidRDefault="00D058B8" w:rsidP="00D058B8">
      <w:pPr>
        <w:pStyle w:val="LineBottom"/>
      </w:pPr>
    </w:p>
    <w:p w14:paraId="6723B45D" w14:textId="3D43BC7E" w:rsidR="00AF00ED" w:rsidRPr="000F03B6" w:rsidRDefault="00AF00ED" w:rsidP="00AF00ED">
      <w:pPr>
        <w:pStyle w:val="ATHeading1"/>
      </w:pPr>
      <w:bookmarkStart w:id="0" w:name="TANumber"/>
      <w:r w:rsidRPr="00E11645">
        <w:t>P10_TA(2026)00</w:t>
      </w:r>
      <w:r w:rsidR="000F03B6" w:rsidRPr="000F03B6">
        <w:t>48</w:t>
      </w:r>
      <w:bookmarkEnd w:id="0"/>
    </w:p>
    <w:p w14:paraId="5FCB35A4" w14:textId="6AA2F853" w:rsidR="00AF00ED" w:rsidRPr="00E11645" w:rsidRDefault="002F2924" w:rsidP="002F2924">
      <w:pPr>
        <w:pStyle w:val="ATHeading2"/>
      </w:pPr>
      <w:bookmarkStart w:id="1" w:name="title"/>
      <w:r>
        <w:t>Συνεργασία μεταξύ των αρχών επιβολής σχετικά με τις αθέμιτες εμπορικές πρακτικές στην αλυσίδα</w:t>
      </w:r>
      <w:r w:rsidRPr="000F03B6">
        <w:t xml:space="preserve"> </w:t>
      </w:r>
      <w:r>
        <w:t>εφοδιασμού γεωργικών προϊόντων και τροφίμων</w:t>
      </w:r>
      <w:bookmarkEnd w:id="1"/>
    </w:p>
    <w:p w14:paraId="11D5B6F6" w14:textId="77777777" w:rsidR="00AF00ED" w:rsidRPr="00E11645" w:rsidRDefault="00AF00ED" w:rsidP="00AF00ED">
      <w:pPr>
        <w:rPr>
          <w:i/>
          <w:vanish/>
        </w:rPr>
      </w:pPr>
      <w:r w:rsidRPr="00E11645">
        <w:rPr>
          <w:i/>
        </w:rPr>
        <w:fldChar w:fldCharType="begin"/>
      </w:r>
      <w:r w:rsidRPr="00E11645">
        <w:rPr>
          <w:i/>
        </w:rPr>
        <w:instrText xml:space="preserve"> TC"(</w:instrText>
      </w:r>
      <w:bookmarkStart w:id="2" w:name="DocNumber"/>
      <w:r w:rsidRPr="00E11645">
        <w:rPr>
          <w:i/>
        </w:rPr>
        <w:instrText>A10-0153/2025</w:instrText>
      </w:r>
      <w:bookmarkEnd w:id="2"/>
      <w:r w:rsidRPr="00E11645">
        <w:rPr>
          <w:i/>
        </w:rPr>
        <w:instrText xml:space="preserve"> - Εισηγητής: Stefano Bonaccini)"\l3 \n&gt; \* MERGEFORMAT </w:instrText>
      </w:r>
      <w:r w:rsidRPr="00E11645">
        <w:rPr>
          <w:i/>
        </w:rPr>
        <w:fldChar w:fldCharType="end"/>
      </w:r>
    </w:p>
    <w:p w14:paraId="4ED8C1CD" w14:textId="77777777" w:rsidR="00AF00ED" w:rsidRPr="00E11645" w:rsidRDefault="00AF00ED" w:rsidP="00AF00ED">
      <w:pPr>
        <w:rPr>
          <w:vanish/>
        </w:rPr>
      </w:pPr>
      <w:bookmarkStart w:id="3" w:name="Commission"/>
      <w:r w:rsidRPr="00E11645">
        <w:rPr>
          <w:vanish/>
        </w:rPr>
        <w:t>Επιτροπή Γεωργίας και Ανάπτυξης της Υπαίθρου</w:t>
      </w:r>
      <w:bookmarkEnd w:id="3"/>
    </w:p>
    <w:p w14:paraId="6C8FA56B" w14:textId="77777777" w:rsidR="00AF00ED" w:rsidRPr="00E11645" w:rsidRDefault="00AF00ED" w:rsidP="00AF00ED">
      <w:pPr>
        <w:rPr>
          <w:vanish/>
        </w:rPr>
      </w:pPr>
      <w:bookmarkStart w:id="4" w:name="PE"/>
      <w:r w:rsidRPr="00E11645">
        <w:rPr>
          <w:vanish/>
        </w:rPr>
        <w:t>PE773.115</w:t>
      </w:r>
      <w:bookmarkEnd w:id="4"/>
    </w:p>
    <w:p w14:paraId="5DC9F2CE" w14:textId="2819FC71" w:rsidR="00AF00ED" w:rsidRPr="00E11645" w:rsidRDefault="00AF00ED" w:rsidP="00AF00ED">
      <w:pPr>
        <w:pStyle w:val="ATHeading3"/>
      </w:pPr>
      <w:bookmarkStart w:id="5" w:name="Sujet"/>
      <w:r w:rsidRPr="00E11645">
        <w:t xml:space="preserve">Νομοθετικό ψήφισμα του Ευρωπαϊκού Κοινοβουλίου της </w:t>
      </w:r>
      <w:r w:rsidR="00BC69EB">
        <w:t>1</w:t>
      </w:r>
      <w:r w:rsidR="00C811D2" w:rsidRPr="000F03B6">
        <w:t>2</w:t>
      </w:r>
      <w:r w:rsidR="00BC69EB">
        <w:t xml:space="preserve">ης </w:t>
      </w:r>
      <w:r w:rsidR="002F2924">
        <w:t>Φεβρουαρίου</w:t>
      </w:r>
      <w:r w:rsidRPr="00E11645">
        <w:t xml:space="preserve"> 2026 σχετικά με την πρόταση κανονισμού του Ευρωπαϊκού Κοινοβουλίου και του Συμβουλίου σχετικά με τη συνεργασία μεταξύ των αρχών επιβολής που είναι αρμόδιες για την επιβολή της οδηγίας (ΕΕ) 2019/633 σχετικά με τις αθέμιτες εμπορικές πρακτικές στις σχέσεις μεταξύ επιχειρήσεων στην αλυσίδα εφοδιασμού γεωργικών προϊόντων και τροφίμων</w:t>
      </w:r>
      <w:bookmarkEnd w:id="5"/>
      <w:r w:rsidRPr="00E11645">
        <w:t xml:space="preserve"> </w:t>
      </w:r>
      <w:bookmarkStart w:id="6" w:name="References"/>
      <w:r w:rsidRPr="00E11645">
        <w:t>(COM(2024)0576 – C10-0208/2024 – 2024/0318(COD))</w:t>
      </w:r>
      <w:bookmarkEnd w:id="6"/>
    </w:p>
    <w:p w14:paraId="2774A945" w14:textId="77777777" w:rsidR="00AF00ED" w:rsidRPr="00E11645" w:rsidRDefault="00AF00ED" w:rsidP="00AF00ED"/>
    <w:p w14:paraId="50653965" w14:textId="77777777" w:rsidR="00545F84" w:rsidRPr="00E11645" w:rsidRDefault="00545F84" w:rsidP="00545F84">
      <w:pPr>
        <w:pStyle w:val="NormalBold"/>
        <w:jc w:val="both"/>
      </w:pPr>
      <w:bookmarkStart w:id="7" w:name="TextBodyBegin"/>
      <w:bookmarkEnd w:id="7"/>
      <w:r w:rsidRPr="00E11645">
        <w:t>(Συνήθης νομοθετική διαδικασία: πρώτη ανάγνωση)</w:t>
      </w:r>
    </w:p>
    <w:p w14:paraId="5657B61A" w14:textId="77777777" w:rsidR="00545F84" w:rsidRPr="00E11645" w:rsidRDefault="00545F84" w:rsidP="00545F84">
      <w:pPr>
        <w:pStyle w:val="EPComma"/>
        <w:jc w:val="both"/>
      </w:pPr>
      <w:r w:rsidRPr="00E11645">
        <w:rPr>
          <w:i/>
        </w:rPr>
        <w:t>Το Ευρωπαϊκό Κοινοβούλιο</w:t>
      </w:r>
      <w:r w:rsidRPr="00E11645">
        <w:t>,</w:t>
      </w:r>
    </w:p>
    <w:p w14:paraId="7DF1D830" w14:textId="77777777" w:rsidR="00545F84" w:rsidRPr="00E11645" w:rsidRDefault="00545F84" w:rsidP="00545F84">
      <w:pPr>
        <w:pStyle w:val="NormalHanging12a"/>
      </w:pPr>
      <w:r w:rsidRPr="00E11645">
        <w:t>–</w:t>
      </w:r>
      <w:r w:rsidRPr="00E11645">
        <w:tab/>
        <w:t>έχοντας υπόψη την πρόταση της Επιτροπής προς το Κοινοβούλιο και το Συμβούλιο (COM(2024)0576),</w:t>
      </w:r>
    </w:p>
    <w:p w14:paraId="41FF93FC" w14:textId="77777777" w:rsidR="00545F84" w:rsidRPr="00E11645" w:rsidRDefault="00545F84" w:rsidP="00545F84">
      <w:pPr>
        <w:pStyle w:val="NormalHanging12a"/>
      </w:pPr>
      <w:r w:rsidRPr="00E11645">
        <w:t>–</w:t>
      </w:r>
      <w:r w:rsidRPr="00E11645">
        <w:tab/>
        <w:t>έχοντας υπόψη το άρθρο 294 παράγραφος 2 και το άρθρο 43 παράγραφος 2 της Συνθήκης για τη λειτουργία της Ευρωπαϊκής Ένωσης, σύμφωνα με τα οποία του υποβλήθηκε η πρόταση από την Επιτροπή (C10</w:t>
      </w:r>
      <w:r w:rsidRPr="00E11645">
        <w:noBreakHyphen/>
        <w:t>0208/2024),</w:t>
      </w:r>
    </w:p>
    <w:p w14:paraId="04DD0FC7" w14:textId="77777777" w:rsidR="00545F84" w:rsidRPr="00E11645" w:rsidRDefault="00545F84" w:rsidP="00545F84">
      <w:pPr>
        <w:pStyle w:val="NormalHanging12a"/>
      </w:pPr>
      <w:r w:rsidRPr="00E11645">
        <w:rPr>
          <w:rFonts w:ascii="Symbol" w:hAnsi="Symbol"/>
        </w:rPr>
        <w:sym w:font="Symbol" w:char="F02D"/>
      </w:r>
      <w:r w:rsidRPr="00E11645">
        <w:tab/>
        <w:t>έχοντας υπόψη το άρθρο 294 παράγραφος 3 της Συνθήκης για τη λειτουργία της Ευρωπαϊκής Ένωσης,</w:t>
      </w:r>
    </w:p>
    <w:p w14:paraId="2FB307FB" w14:textId="600189DD" w:rsidR="00545F84" w:rsidRPr="00E11645" w:rsidRDefault="00545F84" w:rsidP="00545F84">
      <w:pPr>
        <w:pStyle w:val="NormalHanging12a"/>
      </w:pPr>
      <w:r w:rsidRPr="00E11645">
        <w:t>–</w:t>
      </w:r>
      <w:r w:rsidRPr="00E11645">
        <w:tab/>
        <w:t>έχοντας υπόψη τη γνώμη της Ευρωπαϊκής Οικονομικής και Κοινωνικής Επιτροπής</w:t>
      </w:r>
      <w:r w:rsidR="00957986">
        <w:t>,</w:t>
      </w:r>
      <w:r w:rsidRPr="00E11645">
        <w:t xml:space="preserve"> της 27ης Μαρτίου 2025</w:t>
      </w:r>
      <w:r w:rsidRPr="00E11645">
        <w:rPr>
          <w:rStyle w:val="FootnoteReference"/>
          <w:rFonts w:eastAsiaTheme="minorHAnsi"/>
        </w:rPr>
        <w:footnoteReference w:id="1"/>
      </w:r>
      <w:r w:rsidRPr="00E11645">
        <w:t>,</w:t>
      </w:r>
    </w:p>
    <w:p w14:paraId="0245F4FD" w14:textId="77777777" w:rsidR="00545F84" w:rsidRPr="00E11645" w:rsidRDefault="00545F84" w:rsidP="00545F84">
      <w:pPr>
        <w:pStyle w:val="NormalHanging12a"/>
      </w:pPr>
      <w:r w:rsidRPr="00E11645">
        <w:t>–</w:t>
      </w:r>
      <w:r w:rsidRPr="00E11645">
        <w:tab/>
        <w:t>έχοντας υπόψη τη γνώμη της Επιτροπής των Περιφερειών, της 15ης Μαΐου 2025</w:t>
      </w:r>
      <w:r w:rsidRPr="00E11645">
        <w:rPr>
          <w:rStyle w:val="FootnoteReference"/>
          <w:rFonts w:eastAsiaTheme="minorHAnsi"/>
        </w:rPr>
        <w:footnoteReference w:id="2"/>
      </w:r>
      <w:r w:rsidRPr="00E11645">
        <w:t xml:space="preserve">, </w:t>
      </w:r>
    </w:p>
    <w:p w14:paraId="00E158EA" w14:textId="40DF6458" w:rsidR="00C811D2" w:rsidRPr="000F03B6" w:rsidRDefault="00C811D2" w:rsidP="00545F84">
      <w:pPr>
        <w:pStyle w:val="NormalHanging12a"/>
      </w:pPr>
      <w:r w:rsidRPr="00551CF1">
        <w:t>–</w:t>
      </w:r>
      <w:r w:rsidRPr="00551CF1">
        <w:tab/>
        <w:t xml:space="preserve">έχοντας υπόψη την προσωρινή συμφωνία που εγκρίθηκε από την αρμόδια επιτροπή σύμφωνα με το άρθρο 75 παράγραφος 4 του Κανονισμού του και τη δέσμευση του εκπροσώπου του Συμβουλίου, με επιστολή της </w:t>
      </w:r>
      <w:r>
        <w:t>1ης Δεκεμβρίου 2025</w:t>
      </w:r>
      <w:r w:rsidRPr="00551CF1">
        <w:t xml:space="preserve">, να εγκρίνει τη θέση του Κοινοβουλίου, σύμφωνα με το άρθρο 294 παράγραφος 4 της Συνθήκης για τη </w:t>
      </w:r>
      <w:r w:rsidRPr="00551CF1">
        <w:lastRenderedPageBreak/>
        <w:t>λειτουργία της Ευρωπαϊκής Ένωσης,</w:t>
      </w:r>
    </w:p>
    <w:p w14:paraId="50D4485B" w14:textId="07166305" w:rsidR="00545F84" w:rsidRPr="00E11645" w:rsidRDefault="00545F84" w:rsidP="00654FA8">
      <w:pPr>
        <w:pStyle w:val="NormalHanging12a"/>
      </w:pPr>
      <w:r w:rsidRPr="00E11645">
        <w:t>–</w:t>
      </w:r>
      <w:r w:rsidRPr="00E11645">
        <w:tab/>
        <w:t>έχοντας υπόψη το άρθρο 60 του Κανονισμού του,</w:t>
      </w:r>
    </w:p>
    <w:p w14:paraId="7AE8989C" w14:textId="77777777" w:rsidR="00545F84" w:rsidRPr="00E11645" w:rsidRDefault="00545F84" w:rsidP="00654FA8">
      <w:pPr>
        <w:pStyle w:val="NormalHanging12a"/>
      </w:pPr>
      <w:r w:rsidRPr="00E11645">
        <w:t>–</w:t>
      </w:r>
      <w:r w:rsidRPr="00E11645">
        <w:tab/>
        <w:t>έχοντας υπόψη τη γνώμη της Επιτροπής Εσωτερικής Αγοράς και Προστασίας των Καταναλωτών,</w:t>
      </w:r>
    </w:p>
    <w:p w14:paraId="48338970" w14:textId="77777777" w:rsidR="00545F84" w:rsidRPr="00E11645" w:rsidRDefault="00545F84" w:rsidP="00654FA8">
      <w:pPr>
        <w:pStyle w:val="NormalHanging12a"/>
      </w:pPr>
      <w:r w:rsidRPr="00E11645">
        <w:t>–</w:t>
      </w:r>
      <w:r w:rsidRPr="00E11645">
        <w:tab/>
        <w:t>έχοντας υπόψη την έκθεση της Επιτροπής Γεωργίας και Ανάπτυξης της Υπαίθρου (A10-0153/2025),</w:t>
      </w:r>
    </w:p>
    <w:p w14:paraId="7C2C75C2" w14:textId="77777777" w:rsidR="00545F84" w:rsidRPr="00E11645" w:rsidRDefault="00545F84" w:rsidP="000F03B6">
      <w:pPr>
        <w:pStyle w:val="NormalHanging12a"/>
      </w:pPr>
      <w:r w:rsidRPr="00E11645">
        <w:t>1.</w:t>
      </w:r>
      <w:r w:rsidRPr="00E11645">
        <w:tab/>
        <w:t>εγκρίνει τη θέση του σε πρώτη ανάγνωση όπως παρατίθεται κατωτέρω·</w:t>
      </w:r>
    </w:p>
    <w:p w14:paraId="50AE9F24" w14:textId="77777777" w:rsidR="00545F84" w:rsidRPr="00E11645" w:rsidRDefault="00545F84" w:rsidP="000F03B6">
      <w:pPr>
        <w:pStyle w:val="NormalHanging12a"/>
      </w:pPr>
      <w:r w:rsidRPr="00E11645">
        <w:t>2.</w:t>
      </w:r>
      <w:r w:rsidRPr="00E11645">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14:paraId="561C1818" w14:textId="77777777" w:rsidR="00545F84" w:rsidRPr="00E11645" w:rsidRDefault="00545F84" w:rsidP="000F03B6">
      <w:pPr>
        <w:pStyle w:val="NormalHanging12a"/>
      </w:pPr>
      <w:r w:rsidRPr="00E11645">
        <w:t>3.</w:t>
      </w:r>
      <w:r w:rsidRPr="00E11645">
        <w:tab/>
        <w:t>αναθέτει στην Πρόεδρό του να διαβιβάσει τη θέση του Κοινοβουλίου στο Συμβούλιο, στην Επιτροπή και στα εθνικά κοινοβούλια.</w:t>
      </w:r>
    </w:p>
    <w:p w14:paraId="0ED53FC4" w14:textId="52241431" w:rsidR="00545F84" w:rsidRPr="00E11645" w:rsidRDefault="00545F84" w:rsidP="00545F84">
      <w:pPr>
        <w:widowControl/>
        <w:jc w:val="both"/>
      </w:pPr>
    </w:p>
    <w:p w14:paraId="40CC4451" w14:textId="77777777" w:rsidR="00654FA8" w:rsidRDefault="00654FA8" w:rsidP="00BC69EB">
      <w:pPr>
        <w:pStyle w:val="NormalHanging12a"/>
        <w:rPr>
          <w:b/>
        </w:rPr>
        <w:sectPr w:rsidR="00654FA8" w:rsidSect="00E1164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261E9AB" w14:textId="7231143D" w:rsidR="00BC69EB" w:rsidRPr="00AF208A" w:rsidRDefault="00BC69EB" w:rsidP="00BC69EB">
      <w:pPr>
        <w:pStyle w:val="NormalHanging12a"/>
        <w:rPr>
          <w:b/>
        </w:rPr>
      </w:pPr>
      <w:r w:rsidRPr="00AF208A">
        <w:rPr>
          <w:b/>
        </w:rPr>
        <w:lastRenderedPageBreak/>
        <w:t>P10_TC1-COD(202</w:t>
      </w:r>
      <w:r>
        <w:rPr>
          <w:b/>
        </w:rPr>
        <w:t>4</w:t>
      </w:r>
      <w:r w:rsidRPr="00AF208A">
        <w:rPr>
          <w:b/>
        </w:rPr>
        <w:t>)0</w:t>
      </w:r>
      <w:r>
        <w:rPr>
          <w:b/>
        </w:rPr>
        <w:t>318</w:t>
      </w:r>
    </w:p>
    <w:p w14:paraId="1100D5F1" w14:textId="4D278719" w:rsidR="00BC69EB" w:rsidRPr="00BC69EB" w:rsidRDefault="00BC69EB" w:rsidP="00BC69EB">
      <w:pPr>
        <w:pStyle w:val="NormalHanging12a"/>
        <w:ind w:left="0" w:firstLine="0"/>
        <w:rPr>
          <w:rFonts w:eastAsia="Calibri"/>
          <w:b/>
          <w:szCs w:val="22"/>
          <w:lang w:eastAsia="en-US"/>
        </w:rPr>
      </w:pPr>
      <w:r w:rsidRPr="00AF208A">
        <w:rPr>
          <w:b/>
        </w:rPr>
        <w:t xml:space="preserve">Θέση του Ευρωπαϊκού Κοινοβουλίου που καθορίστηκε σε πρώτη ανάγνωση στις </w:t>
      </w:r>
      <w:r>
        <w:rPr>
          <w:b/>
        </w:rPr>
        <w:t>1</w:t>
      </w:r>
      <w:r w:rsidR="00C811D2" w:rsidRPr="000F03B6">
        <w:rPr>
          <w:b/>
        </w:rPr>
        <w:t>2</w:t>
      </w:r>
      <w:r w:rsidRPr="00AF208A">
        <w:rPr>
          <w:b/>
        </w:rPr>
        <w:t> </w:t>
      </w:r>
      <w:r>
        <w:rPr>
          <w:b/>
        </w:rPr>
        <w:t>Φεβρουαρίου</w:t>
      </w:r>
      <w:r w:rsidRPr="00AF208A">
        <w:rPr>
          <w:b/>
        </w:rPr>
        <w:t xml:space="preserve"> 202</w:t>
      </w:r>
      <w:r>
        <w:rPr>
          <w:b/>
        </w:rPr>
        <w:t>6</w:t>
      </w:r>
      <w:r w:rsidRPr="00AF208A">
        <w:rPr>
          <w:b/>
        </w:rPr>
        <w:t xml:space="preserve"> εν όψει της έγκρισης κανονισμού (ΕΕ) 202</w:t>
      </w:r>
      <w:r>
        <w:rPr>
          <w:b/>
        </w:rPr>
        <w:t>6</w:t>
      </w:r>
      <w:r w:rsidRPr="00AF208A">
        <w:rPr>
          <w:b/>
        </w:rPr>
        <w:t xml:space="preserve">/... του Ευρωπαϊκού Κοινοβουλίου και του Συμβουλίου </w:t>
      </w:r>
      <w:r w:rsidRPr="00BC69EB">
        <w:rPr>
          <w:rFonts w:eastAsia="Calibri"/>
          <w:b/>
          <w:szCs w:val="22"/>
          <w:lang w:eastAsia="en-US"/>
        </w:rPr>
        <w:t>σχετικά με τη συνεργασία μεταξύ των αρχών επιβολής που είναι αρμόδιες για την επιβολή της οδηγίας (ΕΕ) 2019/633 σχετικά με τις αθέμιτες εμπορικές πρακτικές στις σχέσεις μεταξύ επιχειρήσεων στην αλυσίδα εφοδιασμού γεωργικών προϊόντων και τροφίμων</w:t>
      </w:r>
    </w:p>
    <w:p w14:paraId="1DE899E5" w14:textId="571F00A9" w:rsidR="00BC69EB" w:rsidRPr="00BC69EB" w:rsidRDefault="00477D9E" w:rsidP="00477D9E">
      <w:pPr>
        <w:widowControl/>
        <w:tabs>
          <w:tab w:val="left" w:pos="5669"/>
        </w:tabs>
        <w:rPr>
          <w:rFonts w:eastAsia="Calibri"/>
          <w:i/>
          <w:szCs w:val="22"/>
          <w:lang w:eastAsia="en-US"/>
        </w:rPr>
      </w:pPr>
      <w:r w:rsidRPr="007B7B26">
        <w:rPr>
          <w:i/>
        </w:rPr>
        <w:t>(Καθώς έχει επιτευχθεί συμφωνία μεταξύ του Κοινοβουλίου και του Συμβουλίου, η θέση του Κοινοβουλίου αντιστοιχεί στην τελική νομοθετική πράξη, κανονισμός (Ε</w:t>
      </w:r>
      <w:r>
        <w:rPr>
          <w:i/>
        </w:rPr>
        <w:t>Ε</w:t>
      </w:r>
      <w:r w:rsidRPr="007B7B26">
        <w:rPr>
          <w:i/>
        </w:rPr>
        <w:t xml:space="preserve">) </w:t>
      </w:r>
      <w:r>
        <w:rPr>
          <w:i/>
        </w:rPr>
        <w:t>2026/697.</w:t>
      </w:r>
      <w:r w:rsidRPr="007B7B26">
        <w:rPr>
          <w:i/>
        </w:rPr>
        <w:t>)</w:t>
      </w:r>
    </w:p>
    <w:sectPr w:rsidR="00BC69EB" w:rsidRPr="00BC69EB" w:rsidSect="00E1164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BB6B08" w14:textId="77777777" w:rsidR="00AF00ED" w:rsidRPr="00E11645" w:rsidRDefault="00AF00ED">
      <w:r w:rsidRPr="00E11645">
        <w:separator/>
      </w:r>
    </w:p>
  </w:endnote>
  <w:endnote w:type="continuationSeparator" w:id="0">
    <w:p w14:paraId="6212317B" w14:textId="77777777" w:rsidR="00AF00ED" w:rsidRPr="00E11645" w:rsidRDefault="00AF00ED">
      <w:r w:rsidRPr="00E116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C5733" w14:textId="77777777" w:rsidR="00064002" w:rsidRPr="00E1164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BBC81" w14:textId="77777777" w:rsidR="00064002" w:rsidRPr="00E1164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C711A" w14:textId="77777777" w:rsidR="00064002" w:rsidRPr="00E1164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95BEA0" w14:textId="77777777" w:rsidR="00AF00ED" w:rsidRPr="00E11645" w:rsidRDefault="00AF00ED">
      <w:r w:rsidRPr="00E11645">
        <w:separator/>
      </w:r>
    </w:p>
  </w:footnote>
  <w:footnote w:type="continuationSeparator" w:id="0">
    <w:p w14:paraId="62FB7369" w14:textId="77777777" w:rsidR="00AF00ED" w:rsidRPr="00E11645" w:rsidRDefault="00AF00ED">
      <w:r w:rsidRPr="00E11645">
        <w:continuationSeparator/>
      </w:r>
    </w:p>
  </w:footnote>
  <w:footnote w:id="1">
    <w:p w14:paraId="281AE068" w14:textId="49A34415" w:rsidR="00545F84" w:rsidRPr="000F03B6" w:rsidRDefault="00545F84" w:rsidP="000F03B6">
      <w:pPr>
        <w:pStyle w:val="FootnoteText"/>
        <w:tabs>
          <w:tab w:val="left" w:pos="709"/>
        </w:tabs>
        <w:ind w:left="709" w:hanging="709"/>
        <w:rPr>
          <w:sz w:val="24"/>
          <w:lang w:val="fi-FI"/>
        </w:rPr>
      </w:pPr>
      <w:r w:rsidRPr="00E11645">
        <w:rPr>
          <w:rStyle w:val="FootnoteReference"/>
          <w:rFonts w:eastAsiaTheme="minorHAnsi"/>
          <w:sz w:val="24"/>
          <w:lang w:val="el-GR"/>
        </w:rPr>
        <w:footnoteRef/>
      </w:r>
      <w:r w:rsidR="00E11645" w:rsidRPr="000F03B6">
        <w:rPr>
          <w:sz w:val="24"/>
          <w:lang w:val="fi-FI"/>
        </w:rPr>
        <w:t xml:space="preserve"> </w:t>
      </w:r>
      <w:r w:rsidR="00E11645" w:rsidRPr="000F03B6">
        <w:rPr>
          <w:sz w:val="24"/>
          <w:lang w:val="fi-FI"/>
        </w:rPr>
        <w:tab/>
      </w:r>
      <w:r w:rsidR="00654FA8">
        <w:rPr>
          <w:sz w:val="24"/>
          <w:lang w:val="el-GR"/>
        </w:rPr>
        <w:t>ΕΕ</w:t>
      </w:r>
      <w:r w:rsidR="002F2924" w:rsidRPr="00CF1F66">
        <w:rPr>
          <w:sz w:val="24"/>
          <w:lang w:val="fi-FI"/>
        </w:rPr>
        <w:t xml:space="preserve"> C, C/2025/</w:t>
      </w:r>
      <w:r w:rsidR="002F2924">
        <w:rPr>
          <w:sz w:val="24"/>
          <w:lang w:val="fi-FI"/>
        </w:rPr>
        <w:t>2970</w:t>
      </w:r>
      <w:r w:rsidR="002F2924" w:rsidRPr="00CF1F66">
        <w:rPr>
          <w:sz w:val="24"/>
          <w:lang w:val="fi-FI"/>
        </w:rPr>
        <w:t xml:space="preserve">, </w:t>
      </w:r>
      <w:r w:rsidR="002F2924">
        <w:rPr>
          <w:sz w:val="24"/>
          <w:lang w:val="fi-FI"/>
        </w:rPr>
        <w:t>16.6</w:t>
      </w:r>
      <w:r w:rsidR="002F2924" w:rsidRPr="00CF1F66">
        <w:rPr>
          <w:sz w:val="24"/>
          <w:lang w:val="fi-FI"/>
        </w:rPr>
        <w:t xml:space="preserve">.2025, ELI: </w:t>
      </w:r>
      <w:hyperlink r:id="rId1" w:history="1">
        <w:r w:rsidR="002F2924" w:rsidRPr="002F2924">
          <w:rPr>
            <w:rStyle w:val="Hyperlink"/>
            <w:sz w:val="24"/>
            <w:lang w:val="fi-FI"/>
          </w:rPr>
          <w:t>http://data.europa.eu/eli/C/2025/2970/oj</w:t>
        </w:r>
      </w:hyperlink>
      <w:r w:rsidRPr="000F03B6">
        <w:rPr>
          <w:sz w:val="24"/>
          <w:lang w:val="fi-FI"/>
        </w:rPr>
        <w:t>.</w:t>
      </w:r>
    </w:p>
  </w:footnote>
  <w:footnote w:id="2">
    <w:p w14:paraId="2A1FB672" w14:textId="405E7C54" w:rsidR="00545F84" w:rsidRPr="000F03B6" w:rsidRDefault="00545F84" w:rsidP="000F03B6">
      <w:pPr>
        <w:pStyle w:val="FootnoteText"/>
        <w:tabs>
          <w:tab w:val="left" w:pos="709"/>
        </w:tabs>
        <w:ind w:left="709" w:hanging="709"/>
        <w:rPr>
          <w:sz w:val="24"/>
          <w:lang w:val="fi-FI"/>
        </w:rPr>
      </w:pPr>
      <w:r w:rsidRPr="00E11645">
        <w:rPr>
          <w:rStyle w:val="FootnoteReference"/>
          <w:rFonts w:eastAsiaTheme="minorHAnsi"/>
          <w:sz w:val="24"/>
          <w:lang w:val="el-GR"/>
        </w:rPr>
        <w:footnoteRef/>
      </w:r>
      <w:r w:rsidR="00E11645" w:rsidRPr="000F03B6">
        <w:rPr>
          <w:sz w:val="24"/>
          <w:lang w:val="fi-FI"/>
        </w:rPr>
        <w:t xml:space="preserve"> </w:t>
      </w:r>
      <w:r w:rsidR="00E11645" w:rsidRPr="000F03B6">
        <w:rPr>
          <w:sz w:val="24"/>
          <w:lang w:val="fi-FI"/>
        </w:rPr>
        <w:tab/>
      </w:r>
      <w:r w:rsidR="00654FA8">
        <w:rPr>
          <w:sz w:val="24"/>
          <w:lang w:val="el-GR"/>
        </w:rPr>
        <w:t>ΕΕ</w:t>
      </w:r>
      <w:r w:rsidR="002F2924" w:rsidRPr="00CF1F66">
        <w:rPr>
          <w:sz w:val="24"/>
          <w:lang w:val="fi-FI"/>
        </w:rPr>
        <w:t xml:space="preserve"> C, C/2025/</w:t>
      </w:r>
      <w:r w:rsidR="002F2924">
        <w:rPr>
          <w:sz w:val="24"/>
          <w:lang w:val="fi-FI"/>
        </w:rPr>
        <w:t>3479</w:t>
      </w:r>
      <w:r w:rsidR="002F2924" w:rsidRPr="00CF1F66">
        <w:rPr>
          <w:sz w:val="24"/>
          <w:lang w:val="fi-FI"/>
        </w:rPr>
        <w:t xml:space="preserve">, </w:t>
      </w:r>
      <w:r w:rsidR="002F2924">
        <w:rPr>
          <w:sz w:val="24"/>
          <w:lang w:val="fi-FI"/>
        </w:rPr>
        <w:t>16</w:t>
      </w:r>
      <w:r w:rsidR="002F2924" w:rsidRPr="00CF1F66">
        <w:rPr>
          <w:sz w:val="24"/>
          <w:lang w:val="fi-FI"/>
        </w:rPr>
        <w:t>.</w:t>
      </w:r>
      <w:r w:rsidR="002F2924">
        <w:rPr>
          <w:sz w:val="24"/>
          <w:lang w:val="fi-FI"/>
        </w:rPr>
        <w:t>7</w:t>
      </w:r>
      <w:r w:rsidR="002F2924" w:rsidRPr="00CF1F66">
        <w:rPr>
          <w:sz w:val="24"/>
          <w:lang w:val="fi-FI"/>
        </w:rPr>
        <w:t xml:space="preserve">.2025, ELI: </w:t>
      </w:r>
      <w:r w:rsidR="00477D9E">
        <w:fldChar w:fldCharType="begin"/>
      </w:r>
      <w:r w:rsidR="00477D9E" w:rsidRPr="00477D9E">
        <w:rPr>
          <w:lang w:val="fi-FI"/>
        </w:rPr>
        <w:instrText>HYPERLINK "http://data.europa.eu/eli/C/2025/3479/oj"</w:instrText>
      </w:r>
      <w:r w:rsidR="00477D9E">
        <w:fldChar w:fldCharType="separate"/>
      </w:r>
      <w:r w:rsidR="002F2924" w:rsidRPr="002F2924">
        <w:rPr>
          <w:rStyle w:val="Hyperlink"/>
          <w:sz w:val="24"/>
          <w:lang w:val="fi-FI"/>
        </w:rPr>
        <w:t>http://data.europa.eu/eli/C/2025/3479/oj</w:t>
      </w:r>
      <w:r w:rsidR="00477D9E">
        <w:rPr>
          <w:rStyle w:val="Hyperlink"/>
          <w:sz w:val="24"/>
          <w:lang w:val="fi-FI"/>
        </w:rPr>
        <w:fldChar w:fldCharType="end"/>
      </w:r>
      <w:r w:rsidRPr="000F03B6">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D9C1A" w14:textId="77777777" w:rsidR="00064002" w:rsidRPr="00E1164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778BA" w14:textId="77777777" w:rsidR="00064002" w:rsidRPr="00E1164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268C1" w14:textId="77777777" w:rsidR="00064002" w:rsidRPr="00E1164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89908167">
    <w:abstractNumId w:val="9"/>
  </w:num>
  <w:num w:numId="2" w16cid:durableId="1567718319">
    <w:abstractNumId w:val="9"/>
  </w:num>
  <w:num w:numId="3" w16cid:durableId="678581229">
    <w:abstractNumId w:val="7"/>
  </w:num>
  <w:num w:numId="4" w16cid:durableId="2067139552">
    <w:abstractNumId w:val="7"/>
  </w:num>
  <w:num w:numId="5" w16cid:durableId="511991519">
    <w:abstractNumId w:val="6"/>
  </w:num>
  <w:num w:numId="6" w16cid:durableId="685641393">
    <w:abstractNumId w:val="6"/>
  </w:num>
  <w:num w:numId="7" w16cid:durableId="553665645">
    <w:abstractNumId w:val="5"/>
  </w:num>
  <w:num w:numId="8" w16cid:durableId="174350800">
    <w:abstractNumId w:val="5"/>
  </w:num>
  <w:num w:numId="9" w16cid:durableId="1101030156">
    <w:abstractNumId w:val="4"/>
  </w:num>
  <w:num w:numId="10" w16cid:durableId="1970738404">
    <w:abstractNumId w:val="4"/>
  </w:num>
  <w:num w:numId="11" w16cid:durableId="1701203596">
    <w:abstractNumId w:val="8"/>
  </w:num>
  <w:num w:numId="12" w16cid:durableId="245502136">
    <w:abstractNumId w:val="8"/>
  </w:num>
  <w:num w:numId="13" w16cid:durableId="1561794612">
    <w:abstractNumId w:val="3"/>
  </w:num>
  <w:num w:numId="14" w16cid:durableId="761995139">
    <w:abstractNumId w:val="3"/>
  </w:num>
  <w:num w:numId="15" w16cid:durableId="1986624612">
    <w:abstractNumId w:val="2"/>
  </w:num>
  <w:num w:numId="16" w16cid:durableId="371660235">
    <w:abstractNumId w:val="2"/>
  </w:num>
  <w:num w:numId="17" w16cid:durableId="1346515422">
    <w:abstractNumId w:val="1"/>
  </w:num>
  <w:num w:numId="18" w16cid:durableId="724335367">
    <w:abstractNumId w:val="1"/>
  </w:num>
  <w:num w:numId="19" w16cid:durableId="958998442">
    <w:abstractNumId w:val="0"/>
  </w:num>
  <w:num w:numId="20" w16cid:durableId="67726117">
    <w:abstractNumId w:val="0"/>
  </w:num>
  <w:num w:numId="21" w16cid:durableId="942609849">
    <w:abstractNumId w:val="9"/>
  </w:num>
  <w:num w:numId="22" w16cid:durableId="270282243">
    <w:abstractNumId w:val="7"/>
  </w:num>
  <w:num w:numId="23" w16cid:durableId="47263182">
    <w:abstractNumId w:val="6"/>
  </w:num>
  <w:num w:numId="24" w16cid:durableId="415055608">
    <w:abstractNumId w:val="5"/>
  </w:num>
  <w:num w:numId="25" w16cid:durableId="730688727">
    <w:abstractNumId w:val="4"/>
  </w:num>
  <w:num w:numId="26" w16cid:durableId="577441729">
    <w:abstractNumId w:val="8"/>
  </w:num>
  <w:num w:numId="27" w16cid:durableId="985627115">
    <w:abstractNumId w:val="3"/>
  </w:num>
  <w:num w:numId="28" w16cid:durableId="72313854">
    <w:abstractNumId w:val="2"/>
  </w:num>
  <w:num w:numId="29" w16cid:durableId="1075207191">
    <w:abstractNumId w:val="1"/>
  </w:num>
  <w:num w:numId="30" w16cid:durableId="967512849">
    <w:abstractNumId w:val="0"/>
  </w:num>
  <w:num w:numId="31" w16cid:durableId="1154957102">
    <w:abstractNumId w:val="9"/>
  </w:num>
  <w:num w:numId="32" w16cid:durableId="1507868377">
    <w:abstractNumId w:val="7"/>
  </w:num>
  <w:num w:numId="33" w16cid:durableId="1917125792">
    <w:abstractNumId w:val="6"/>
  </w:num>
  <w:num w:numId="34" w16cid:durableId="1084038094">
    <w:abstractNumId w:val="5"/>
  </w:num>
  <w:num w:numId="35" w16cid:durableId="284771823">
    <w:abstractNumId w:val="4"/>
  </w:num>
  <w:num w:numId="36" w16cid:durableId="495729011">
    <w:abstractNumId w:val="8"/>
  </w:num>
  <w:num w:numId="37" w16cid:durableId="70279520">
    <w:abstractNumId w:val="3"/>
  </w:num>
  <w:num w:numId="38" w16cid:durableId="1533571389">
    <w:abstractNumId w:val="2"/>
  </w:num>
  <w:num w:numId="39" w16cid:durableId="1123420319">
    <w:abstractNumId w:val="1"/>
  </w:num>
  <w:num w:numId="40" w16cid:durableId="814100114">
    <w:abstractNumId w:val="0"/>
  </w:num>
  <w:num w:numId="41" w16cid:durableId="1859156808">
    <w:abstractNumId w:val="10"/>
  </w:num>
  <w:num w:numId="42" w16cid:durableId="1900089440">
    <w:abstractNumId w:val="10"/>
  </w:num>
  <w:num w:numId="43" w16cid:durableId="60950814">
    <w:abstractNumId w:val="10"/>
  </w:num>
  <w:num w:numId="44" w16cid:durableId="2112304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3/2025"/>
    <w:docVar w:name="dvlangue" w:val="EL"/>
    <w:docVar w:name="dvnumam" w:val="150"/>
    <w:docVar w:name="dvpe" w:val="773.115"/>
    <w:docVar w:name="dvrapporteur" w:val="Εισηγητής: "/>
    <w:docVar w:name="dvtitre" w:val="Νομοθετικό ψήφισμα του Ευρωπαϊκού Κοινοβουλίου της ... 2026 σχετικά με την πρόταση κανονισμού του Ευρωπαϊκού Κοινοβουλίου και του Συμβουλίου σχετικά με τη συνεργασία μεταξύ των αρχών επιβολής που είναι αρμόδιες για την επιβολή της οδηγίας (ΕΕ) 2019/633 σχετικά με τις αθέμιτες εμπορικές πρακτικές στις σχέσεις μεταξύ επιχειρήσεων στην αλυσίδα εφοδιασμού γεωργικών προϊόντων και τροφίμων(COM(2024)0576 – C10-0208/2024 – 2024/0318(COD))"/>
  </w:docVars>
  <w:rsids>
    <w:rsidRoot w:val="00AF00ED"/>
    <w:rsid w:val="00002272"/>
    <w:rsid w:val="00032C26"/>
    <w:rsid w:val="00064002"/>
    <w:rsid w:val="000677B9"/>
    <w:rsid w:val="000831BA"/>
    <w:rsid w:val="000A42CC"/>
    <w:rsid w:val="000E7DD9"/>
    <w:rsid w:val="000F03B6"/>
    <w:rsid w:val="0010095E"/>
    <w:rsid w:val="00125B37"/>
    <w:rsid w:val="00187494"/>
    <w:rsid w:val="001F32AE"/>
    <w:rsid w:val="002767FF"/>
    <w:rsid w:val="002B18FE"/>
    <w:rsid w:val="002B5493"/>
    <w:rsid w:val="002D25A0"/>
    <w:rsid w:val="002F2924"/>
    <w:rsid w:val="00343214"/>
    <w:rsid w:val="00361C00"/>
    <w:rsid w:val="00395FA1"/>
    <w:rsid w:val="003E15D4"/>
    <w:rsid w:val="00411CCE"/>
    <w:rsid w:val="0041666E"/>
    <w:rsid w:val="00421060"/>
    <w:rsid w:val="00471C19"/>
    <w:rsid w:val="00477D9E"/>
    <w:rsid w:val="004867E3"/>
    <w:rsid w:val="00494A28"/>
    <w:rsid w:val="004C0004"/>
    <w:rsid w:val="004C5D52"/>
    <w:rsid w:val="0050519A"/>
    <w:rsid w:val="005072A1"/>
    <w:rsid w:val="00514517"/>
    <w:rsid w:val="00545827"/>
    <w:rsid w:val="00545F84"/>
    <w:rsid w:val="00560270"/>
    <w:rsid w:val="00571A87"/>
    <w:rsid w:val="005C2568"/>
    <w:rsid w:val="005F1B17"/>
    <w:rsid w:val="006037C0"/>
    <w:rsid w:val="0060486F"/>
    <w:rsid w:val="00654FA8"/>
    <w:rsid w:val="006631B6"/>
    <w:rsid w:val="00680577"/>
    <w:rsid w:val="006E5991"/>
    <w:rsid w:val="006F74FA"/>
    <w:rsid w:val="00731ADD"/>
    <w:rsid w:val="00734777"/>
    <w:rsid w:val="00747932"/>
    <w:rsid w:val="00751A4A"/>
    <w:rsid w:val="00756632"/>
    <w:rsid w:val="00762C74"/>
    <w:rsid w:val="007860F3"/>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7986"/>
    <w:rsid w:val="00981893"/>
    <w:rsid w:val="00A1687D"/>
    <w:rsid w:val="00A43E52"/>
    <w:rsid w:val="00A4678D"/>
    <w:rsid w:val="00A778C7"/>
    <w:rsid w:val="00AB441E"/>
    <w:rsid w:val="00AB6293"/>
    <w:rsid w:val="00AC354F"/>
    <w:rsid w:val="00AE0928"/>
    <w:rsid w:val="00AF00ED"/>
    <w:rsid w:val="00AF3B82"/>
    <w:rsid w:val="00B12E95"/>
    <w:rsid w:val="00B22876"/>
    <w:rsid w:val="00B432DB"/>
    <w:rsid w:val="00B558F0"/>
    <w:rsid w:val="00B75B52"/>
    <w:rsid w:val="00BC69EB"/>
    <w:rsid w:val="00BD48FE"/>
    <w:rsid w:val="00BD7BD8"/>
    <w:rsid w:val="00BE6ADC"/>
    <w:rsid w:val="00C05BFE"/>
    <w:rsid w:val="00C23CD4"/>
    <w:rsid w:val="00C61C0C"/>
    <w:rsid w:val="00C811D2"/>
    <w:rsid w:val="00C941CB"/>
    <w:rsid w:val="00CC2357"/>
    <w:rsid w:val="00CF071A"/>
    <w:rsid w:val="00D058B8"/>
    <w:rsid w:val="00D56C11"/>
    <w:rsid w:val="00D834A0"/>
    <w:rsid w:val="00D872DF"/>
    <w:rsid w:val="00D91E21"/>
    <w:rsid w:val="00DA7FCD"/>
    <w:rsid w:val="00E11645"/>
    <w:rsid w:val="00E365E1"/>
    <w:rsid w:val="00E820A4"/>
    <w:rsid w:val="00EB006A"/>
    <w:rsid w:val="00EB4772"/>
    <w:rsid w:val="00ED169E"/>
    <w:rsid w:val="00ED4235"/>
    <w:rsid w:val="00F04346"/>
    <w:rsid w:val="00F075DC"/>
    <w:rsid w:val="00F149E9"/>
    <w:rsid w:val="00F156E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8443B3"/>
  <w15:chartTrackingRefBased/>
  <w15:docId w15:val="{E5D86CBD-A44D-41E6-B473-241989F7E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45F84"/>
    <w:rPr>
      <w:b/>
      <w:kern w:val="28"/>
      <w:sz w:val="28"/>
      <w:lang w:val="fr-FR" w:eastAsia="fr-FR"/>
    </w:rPr>
  </w:style>
  <w:style w:type="character" w:customStyle="1" w:styleId="Heading2Char">
    <w:name w:val="Heading 2 Char"/>
    <w:basedOn w:val="DefaultParagraphFont"/>
    <w:link w:val="Heading2"/>
    <w:semiHidden/>
    <w:rsid w:val="00545F84"/>
    <w:rPr>
      <w:sz w:val="24"/>
      <w:lang w:val="fr-FR" w:eastAsia="fr-FR"/>
    </w:rPr>
  </w:style>
  <w:style w:type="character" w:customStyle="1" w:styleId="Heading3Char">
    <w:name w:val="Heading 3 Char"/>
    <w:basedOn w:val="DefaultParagraphFont"/>
    <w:link w:val="Heading3"/>
    <w:semiHidden/>
    <w:rsid w:val="00545F84"/>
    <w:rPr>
      <w:rFonts w:ascii="Arial" w:hAnsi="Arial"/>
      <w:sz w:val="24"/>
      <w:lang w:val="fr-FR" w:eastAsia="fr-FR"/>
    </w:rPr>
  </w:style>
  <w:style w:type="character" w:customStyle="1" w:styleId="Heading4Char">
    <w:name w:val="Heading 4 Char"/>
    <w:basedOn w:val="DefaultParagraphFont"/>
    <w:link w:val="Heading4"/>
    <w:semiHidden/>
    <w:rsid w:val="00545F84"/>
    <w:rPr>
      <w:sz w:val="24"/>
      <w:lang w:val="en-US" w:eastAsia="fr-FR"/>
    </w:rPr>
  </w:style>
  <w:style w:type="character" w:customStyle="1" w:styleId="Heading5Char">
    <w:name w:val="Heading 5 Char"/>
    <w:basedOn w:val="DefaultParagraphFont"/>
    <w:link w:val="Heading5"/>
    <w:semiHidden/>
    <w:rsid w:val="00545F84"/>
    <w:rPr>
      <w:sz w:val="24"/>
      <w:lang w:val="en-US" w:eastAsia="fr-FR"/>
    </w:rPr>
  </w:style>
  <w:style w:type="character" w:customStyle="1" w:styleId="Heading6Char">
    <w:name w:val="Heading 6 Char"/>
    <w:basedOn w:val="DefaultParagraphFont"/>
    <w:link w:val="Heading6"/>
    <w:semiHidden/>
    <w:rsid w:val="00545F84"/>
    <w:rPr>
      <w:i/>
      <w:sz w:val="22"/>
      <w:lang w:val="el-GR"/>
    </w:rPr>
  </w:style>
  <w:style w:type="character" w:customStyle="1" w:styleId="Heading7Char">
    <w:name w:val="Heading 7 Char"/>
    <w:basedOn w:val="DefaultParagraphFont"/>
    <w:link w:val="Heading7"/>
    <w:semiHidden/>
    <w:rsid w:val="00545F84"/>
    <w:rPr>
      <w:rFonts w:ascii="Arial" w:hAnsi="Arial"/>
      <w:sz w:val="24"/>
      <w:lang w:val="el-GR"/>
    </w:rPr>
  </w:style>
  <w:style w:type="character" w:customStyle="1" w:styleId="Heading8Char">
    <w:name w:val="Heading 8 Char"/>
    <w:basedOn w:val="DefaultParagraphFont"/>
    <w:link w:val="Heading8"/>
    <w:semiHidden/>
    <w:rsid w:val="00545F84"/>
    <w:rPr>
      <w:rFonts w:ascii="Arial" w:hAnsi="Arial"/>
      <w:i/>
      <w:sz w:val="24"/>
      <w:lang w:val="el-GR"/>
    </w:rPr>
  </w:style>
  <w:style w:type="character" w:customStyle="1" w:styleId="Heading9Char">
    <w:name w:val="Heading 9 Char"/>
    <w:basedOn w:val="DefaultParagraphFont"/>
    <w:link w:val="Heading9"/>
    <w:semiHidden/>
    <w:rsid w:val="00545F84"/>
    <w:rPr>
      <w:rFonts w:ascii="Arial" w:hAnsi="Arial"/>
      <w:b/>
      <w:i/>
      <w:sz w:val="18"/>
      <w:lang w:val="el-GR"/>
    </w:rPr>
  </w:style>
  <w:style w:type="paragraph" w:styleId="TOCHeading">
    <w:name w:val="TOC Heading"/>
    <w:basedOn w:val="Normal"/>
    <w:next w:val="Normal"/>
    <w:uiPriority w:val="39"/>
    <w:unhideWhenUsed/>
    <w:qFormat/>
    <w:rsid w:val="00545F84"/>
    <w:pPr>
      <w:widowControl/>
      <w:spacing w:after="240"/>
    </w:pPr>
    <w:rPr>
      <w:lang w:val="en-GB"/>
    </w:rPr>
  </w:style>
  <w:style w:type="paragraph" w:customStyle="1" w:styleId="EPFooter2">
    <w:name w:val="EPFooter2"/>
    <w:basedOn w:val="Normal"/>
    <w:next w:val="Normal"/>
    <w:rsid w:val="00545F8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45F84"/>
    <w:pPr>
      <w:keepNext/>
      <w:spacing w:after="240"/>
      <w:jc w:val="right"/>
    </w:pPr>
    <w:rPr>
      <w:rFonts w:ascii="Arial" w:hAnsi="Arial"/>
      <w:b/>
    </w:rPr>
  </w:style>
  <w:style w:type="paragraph" w:customStyle="1" w:styleId="Normal6a">
    <w:name w:val="Normal6a"/>
    <w:basedOn w:val="Normal"/>
    <w:rsid w:val="00545F84"/>
    <w:pPr>
      <w:spacing w:after="120"/>
    </w:pPr>
  </w:style>
  <w:style w:type="paragraph" w:customStyle="1" w:styleId="PageHeading">
    <w:name w:val="PageHeading"/>
    <w:basedOn w:val="Normal"/>
    <w:rsid w:val="00545F84"/>
    <w:pPr>
      <w:keepNext/>
      <w:spacing w:after="480"/>
      <w:jc w:val="center"/>
    </w:pPr>
    <w:rPr>
      <w:rFonts w:ascii="Arial" w:hAnsi="Arial" w:cs="Arial"/>
      <w:b/>
    </w:rPr>
  </w:style>
  <w:style w:type="paragraph" w:customStyle="1" w:styleId="NormalBold">
    <w:name w:val="NormalBold"/>
    <w:basedOn w:val="Normal"/>
    <w:link w:val="NormalBoldChar"/>
    <w:rsid w:val="00545F84"/>
    <w:rPr>
      <w:b/>
    </w:rPr>
  </w:style>
  <w:style w:type="character" w:customStyle="1" w:styleId="NormalBoldChar">
    <w:name w:val="NormalBold Char"/>
    <w:link w:val="NormalBold"/>
    <w:locked/>
    <w:rsid w:val="00545F84"/>
    <w:rPr>
      <w:b/>
      <w:sz w:val="24"/>
      <w:lang w:val="el-GR"/>
    </w:rPr>
  </w:style>
  <w:style w:type="paragraph" w:customStyle="1" w:styleId="NormalBold12a">
    <w:name w:val="NormalBold12a"/>
    <w:basedOn w:val="Normal"/>
    <w:rsid w:val="00545F84"/>
    <w:pPr>
      <w:spacing w:after="240"/>
    </w:pPr>
    <w:rPr>
      <w:b/>
    </w:rPr>
  </w:style>
  <w:style w:type="paragraph" w:customStyle="1" w:styleId="AmJustText">
    <w:name w:val="AmJustText"/>
    <w:basedOn w:val="Normal"/>
    <w:rsid w:val="00545F84"/>
    <w:pPr>
      <w:spacing w:after="240"/>
    </w:pPr>
    <w:rPr>
      <w:i/>
    </w:rPr>
  </w:style>
  <w:style w:type="paragraph" w:customStyle="1" w:styleId="NormalHanging12a">
    <w:name w:val="NormalHanging12a"/>
    <w:basedOn w:val="Normal"/>
    <w:rsid w:val="00545F84"/>
    <w:pPr>
      <w:spacing w:after="240"/>
      <w:ind w:left="567" w:hanging="567"/>
    </w:pPr>
  </w:style>
  <w:style w:type="paragraph" w:customStyle="1" w:styleId="CoverNormal24a">
    <w:name w:val="CoverNormal24a"/>
    <w:basedOn w:val="Normal"/>
    <w:rsid w:val="00545F84"/>
    <w:pPr>
      <w:spacing w:after="480"/>
      <w:ind w:left="1417"/>
    </w:pPr>
  </w:style>
  <w:style w:type="paragraph" w:customStyle="1" w:styleId="CoverNormal">
    <w:name w:val="CoverNormal"/>
    <w:basedOn w:val="Normal"/>
    <w:rsid w:val="00545F84"/>
    <w:pPr>
      <w:ind w:left="1418"/>
    </w:pPr>
  </w:style>
  <w:style w:type="paragraph" w:customStyle="1" w:styleId="AmCrossRef">
    <w:name w:val="AmCrossRef"/>
    <w:basedOn w:val="Normal"/>
    <w:rsid w:val="00545F84"/>
    <w:pPr>
      <w:spacing w:before="240" w:after="240"/>
      <w:jc w:val="center"/>
    </w:pPr>
    <w:rPr>
      <w:i/>
    </w:rPr>
  </w:style>
  <w:style w:type="paragraph" w:customStyle="1" w:styleId="AmJustTitle">
    <w:name w:val="AmJustTitle"/>
    <w:basedOn w:val="Normal"/>
    <w:next w:val="AmJustText"/>
    <w:rsid w:val="00545F84"/>
    <w:pPr>
      <w:keepNext/>
      <w:spacing w:before="240" w:after="240"/>
      <w:jc w:val="center"/>
    </w:pPr>
    <w:rPr>
      <w:i/>
    </w:rPr>
  </w:style>
  <w:style w:type="paragraph" w:customStyle="1" w:styleId="CoverReference">
    <w:name w:val="CoverReference"/>
    <w:basedOn w:val="Normal"/>
    <w:rsid w:val="00545F84"/>
    <w:pPr>
      <w:spacing w:before="1080"/>
      <w:jc w:val="right"/>
    </w:pPr>
    <w:rPr>
      <w:rFonts w:ascii="Arial" w:hAnsi="Arial" w:cs="Arial"/>
      <w:b/>
    </w:rPr>
  </w:style>
  <w:style w:type="paragraph" w:customStyle="1" w:styleId="CoverDocType">
    <w:name w:val="CoverDocType"/>
    <w:basedOn w:val="Normal"/>
    <w:rsid w:val="00545F84"/>
    <w:pPr>
      <w:ind w:left="1418"/>
    </w:pPr>
    <w:rPr>
      <w:rFonts w:ascii="Arial" w:hAnsi="Arial"/>
      <w:b/>
      <w:sz w:val="48"/>
    </w:rPr>
  </w:style>
  <w:style w:type="paragraph" w:customStyle="1" w:styleId="CoverDocType24a">
    <w:name w:val="CoverDocType24a"/>
    <w:basedOn w:val="Normal"/>
    <w:rsid w:val="00545F84"/>
    <w:pPr>
      <w:spacing w:after="480"/>
      <w:ind w:left="1418"/>
    </w:pPr>
    <w:rPr>
      <w:rFonts w:ascii="Arial" w:hAnsi="Arial"/>
      <w:b/>
      <w:sz w:val="48"/>
    </w:rPr>
  </w:style>
  <w:style w:type="paragraph" w:customStyle="1" w:styleId="CoverDate">
    <w:name w:val="CoverDate"/>
    <w:basedOn w:val="Normal"/>
    <w:rsid w:val="00545F84"/>
    <w:pPr>
      <w:spacing w:before="240" w:after="1200"/>
    </w:pPr>
  </w:style>
  <w:style w:type="paragraph" w:styleId="Header">
    <w:name w:val="header"/>
    <w:basedOn w:val="Normal"/>
    <w:link w:val="HeaderChar"/>
    <w:rsid w:val="00545F84"/>
    <w:pPr>
      <w:tabs>
        <w:tab w:val="center" w:pos="4513"/>
        <w:tab w:val="right" w:pos="9026"/>
      </w:tabs>
    </w:pPr>
  </w:style>
  <w:style w:type="character" w:customStyle="1" w:styleId="HeaderChar">
    <w:name w:val="Header Char"/>
    <w:basedOn w:val="DefaultParagraphFont"/>
    <w:link w:val="Header"/>
    <w:rsid w:val="00545F84"/>
    <w:rPr>
      <w:sz w:val="24"/>
      <w:lang w:val="el-GR"/>
    </w:rPr>
  </w:style>
  <w:style w:type="paragraph" w:customStyle="1" w:styleId="AmOrLang">
    <w:name w:val="AmOrLang"/>
    <w:basedOn w:val="Normal"/>
    <w:rsid w:val="00545F84"/>
    <w:pPr>
      <w:spacing w:before="240" w:after="240"/>
      <w:jc w:val="right"/>
    </w:pPr>
  </w:style>
  <w:style w:type="paragraph" w:customStyle="1" w:styleId="AmColumnHeading">
    <w:name w:val="AmColumnHeading"/>
    <w:basedOn w:val="Normal"/>
    <w:rsid w:val="00545F84"/>
    <w:pPr>
      <w:spacing w:after="240"/>
      <w:jc w:val="center"/>
    </w:pPr>
    <w:rPr>
      <w:i/>
    </w:rPr>
  </w:style>
  <w:style w:type="paragraph" w:customStyle="1" w:styleId="AmNumberTabs">
    <w:name w:val="AmNumberTabs"/>
    <w:basedOn w:val="Normal"/>
    <w:rsid w:val="00545F8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45F84"/>
    <w:pPr>
      <w:spacing w:before="240"/>
    </w:pPr>
    <w:rPr>
      <w:b/>
    </w:rPr>
  </w:style>
  <w:style w:type="paragraph" w:customStyle="1" w:styleId="EPBody">
    <w:name w:val="EPBody"/>
    <w:basedOn w:val="Normal"/>
    <w:rsid w:val="00545F84"/>
    <w:pPr>
      <w:jc w:val="center"/>
    </w:pPr>
    <w:rPr>
      <w:rFonts w:ascii="Arial" w:hAnsi="Arial" w:cs="Arial"/>
      <w:i/>
      <w:sz w:val="22"/>
      <w:szCs w:val="22"/>
    </w:rPr>
  </w:style>
  <w:style w:type="paragraph" w:customStyle="1" w:styleId="EPFooter">
    <w:name w:val="EPFooter"/>
    <w:basedOn w:val="Normal"/>
    <w:rsid w:val="00545F84"/>
    <w:pPr>
      <w:tabs>
        <w:tab w:val="center" w:pos="4535"/>
        <w:tab w:val="right" w:pos="9071"/>
      </w:tabs>
      <w:spacing w:before="240" w:after="240"/>
    </w:pPr>
    <w:rPr>
      <w:color w:val="010000"/>
      <w:sz w:val="22"/>
    </w:rPr>
  </w:style>
  <w:style w:type="paragraph" w:customStyle="1" w:styleId="EPComma">
    <w:name w:val="EPComma"/>
    <w:basedOn w:val="Normal"/>
    <w:rsid w:val="00545F84"/>
    <w:pPr>
      <w:spacing w:before="480" w:after="240"/>
    </w:pPr>
  </w:style>
  <w:style w:type="paragraph" w:customStyle="1" w:styleId="Lgendesigne">
    <w:name w:val="Légende signe"/>
    <w:basedOn w:val="Normal"/>
    <w:rsid w:val="00545F84"/>
    <w:pPr>
      <w:tabs>
        <w:tab w:val="right" w:pos="454"/>
        <w:tab w:val="left" w:pos="737"/>
      </w:tabs>
      <w:ind w:left="737" w:hanging="737"/>
    </w:pPr>
    <w:rPr>
      <w:snapToGrid w:val="0"/>
      <w:sz w:val="18"/>
      <w:lang w:eastAsia="en-US"/>
    </w:rPr>
  </w:style>
  <w:style w:type="paragraph" w:customStyle="1" w:styleId="Lgendetitre">
    <w:name w:val="Légende titre"/>
    <w:basedOn w:val="Normal"/>
    <w:rsid w:val="00545F84"/>
    <w:pPr>
      <w:spacing w:before="240" w:after="240"/>
    </w:pPr>
    <w:rPr>
      <w:b/>
      <w:i/>
      <w:snapToGrid w:val="0"/>
      <w:lang w:eastAsia="en-US"/>
    </w:rPr>
  </w:style>
  <w:style w:type="paragraph" w:customStyle="1" w:styleId="Lgendestandard">
    <w:name w:val="Légende standard"/>
    <w:basedOn w:val="Normal"/>
    <w:rsid w:val="00545F84"/>
    <w:rPr>
      <w:sz w:val="18"/>
    </w:rPr>
  </w:style>
  <w:style w:type="paragraph" w:styleId="CommentText">
    <w:name w:val="annotation text"/>
    <w:basedOn w:val="Normal"/>
    <w:link w:val="CommentTextChar"/>
    <w:unhideWhenUsed/>
    <w:rsid w:val="00545F84"/>
    <w:pPr>
      <w:widowControl/>
      <w:spacing w:after="160"/>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rsid w:val="00545F84"/>
    <w:rPr>
      <w:rFonts w:asciiTheme="minorHAnsi" w:eastAsiaTheme="minorHAnsi" w:hAnsiTheme="minorHAnsi" w:cstheme="minorBidi"/>
      <w:lang w:val="el-GR" w:eastAsia="en-US"/>
    </w:rPr>
  </w:style>
  <w:style w:type="character" w:styleId="CommentReference">
    <w:name w:val="annotation reference"/>
    <w:basedOn w:val="DefaultParagraphFont"/>
    <w:unhideWhenUsed/>
    <w:rsid w:val="00545F84"/>
    <w:rPr>
      <w:sz w:val="16"/>
      <w:szCs w:val="16"/>
    </w:rPr>
  </w:style>
  <w:style w:type="paragraph" w:styleId="BalloonText">
    <w:name w:val="Balloon Text"/>
    <w:basedOn w:val="Normal"/>
    <w:link w:val="BalloonTextChar"/>
    <w:unhideWhenUsed/>
    <w:rsid w:val="00545F84"/>
    <w:rPr>
      <w:rFonts w:ascii="Segoe UI" w:hAnsi="Segoe UI" w:cs="Segoe UI"/>
      <w:sz w:val="18"/>
      <w:szCs w:val="18"/>
    </w:rPr>
  </w:style>
  <w:style w:type="character" w:customStyle="1" w:styleId="BalloonTextChar">
    <w:name w:val="Balloon Text Char"/>
    <w:basedOn w:val="DefaultParagraphFont"/>
    <w:link w:val="BalloonText"/>
    <w:rsid w:val="00545F84"/>
    <w:rPr>
      <w:rFonts w:ascii="Segoe UI" w:hAnsi="Segoe UI" w:cs="Segoe UI"/>
      <w:sz w:val="18"/>
      <w:szCs w:val="18"/>
      <w:lang w:val="el-GR"/>
    </w:rPr>
  </w:style>
  <w:style w:type="character" w:customStyle="1" w:styleId="Normal12Char">
    <w:name w:val="Normal12 Char"/>
    <w:link w:val="Normal12"/>
    <w:locked/>
    <w:rsid w:val="00545F84"/>
    <w:rPr>
      <w:noProof/>
      <w:sz w:val="24"/>
    </w:rPr>
  </w:style>
  <w:style w:type="paragraph" w:customStyle="1" w:styleId="Normal12">
    <w:name w:val="Normal12"/>
    <w:basedOn w:val="Normal"/>
    <w:link w:val="Normal12Char"/>
    <w:rsid w:val="00545F84"/>
    <w:pPr>
      <w:spacing w:after="240"/>
    </w:pPr>
    <w:rPr>
      <w:noProof/>
      <w:lang w:val="en-GB"/>
    </w:rPr>
  </w:style>
  <w:style w:type="character" w:customStyle="1" w:styleId="Normal6Char">
    <w:name w:val="Normal6 Char"/>
    <w:link w:val="Normal6"/>
    <w:locked/>
    <w:rsid w:val="00545F84"/>
    <w:rPr>
      <w:sz w:val="24"/>
      <w:lang w:val="el-GR"/>
    </w:rPr>
  </w:style>
  <w:style w:type="paragraph" w:customStyle="1" w:styleId="Normal6">
    <w:name w:val="Normal6"/>
    <w:basedOn w:val="Normal"/>
    <w:link w:val="Normal6Char"/>
    <w:rsid w:val="00545F84"/>
    <w:pPr>
      <w:spacing w:after="120"/>
    </w:pPr>
  </w:style>
  <w:style w:type="paragraph" w:customStyle="1" w:styleId="Normal12Italic">
    <w:name w:val="Normal12Italic"/>
    <w:basedOn w:val="Normal12"/>
    <w:rsid w:val="00545F84"/>
    <w:rPr>
      <w:i/>
    </w:rPr>
  </w:style>
  <w:style w:type="paragraph" w:customStyle="1" w:styleId="EntPE">
    <w:name w:val="EntPE"/>
    <w:basedOn w:val="Normal12"/>
    <w:rsid w:val="00545F84"/>
    <w:pPr>
      <w:jc w:val="center"/>
    </w:pPr>
    <w:rPr>
      <w:noProof w:val="0"/>
      <w:sz w:val="56"/>
    </w:rPr>
  </w:style>
  <w:style w:type="paragraph" w:customStyle="1" w:styleId="Normal24a">
    <w:name w:val="Normal24a"/>
    <w:basedOn w:val="Normal"/>
    <w:rsid w:val="00545F84"/>
    <w:pPr>
      <w:spacing w:after="480"/>
    </w:pPr>
  </w:style>
  <w:style w:type="paragraph" w:customStyle="1" w:styleId="NormalBoldCenter">
    <w:name w:val="NormalBoldCenter"/>
    <w:basedOn w:val="Normal"/>
    <w:rsid w:val="00545F84"/>
    <w:pPr>
      <w:jc w:val="center"/>
    </w:pPr>
    <w:rPr>
      <w:b/>
    </w:rPr>
  </w:style>
  <w:style w:type="paragraph" w:customStyle="1" w:styleId="Footprint12b">
    <w:name w:val="Footprint12b"/>
    <w:basedOn w:val="Normal"/>
    <w:rsid w:val="00545F84"/>
    <w:pPr>
      <w:spacing w:before="240"/>
    </w:pPr>
    <w:rPr>
      <w:szCs w:val="24"/>
    </w:rPr>
  </w:style>
  <w:style w:type="paragraph" w:customStyle="1" w:styleId="NormalSingle">
    <w:name w:val="NormalSingle"/>
    <w:basedOn w:val="Normal"/>
    <w:qFormat/>
    <w:rsid w:val="00545F84"/>
    <w:rPr>
      <w:szCs w:val="24"/>
    </w:rPr>
  </w:style>
  <w:style w:type="character" w:styleId="Hyperlink">
    <w:name w:val="Hyperlink"/>
    <w:basedOn w:val="DefaultParagraphFont"/>
    <w:rsid w:val="00545F84"/>
    <w:rPr>
      <w:color w:val="0563C1" w:themeColor="hyperlink"/>
      <w:u w:val="single"/>
    </w:rPr>
  </w:style>
  <w:style w:type="paragraph" w:customStyle="1" w:styleId="AMNumberTabs0">
    <w:name w:val="AMNumberTabs"/>
    <w:basedOn w:val="Normal"/>
    <w:rsid w:val="00545F8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545F84"/>
    <w:pPr>
      <w:spacing w:after="240"/>
      <w:jc w:val="center"/>
    </w:pPr>
    <w:rPr>
      <w:i/>
    </w:rPr>
  </w:style>
  <w:style w:type="paragraph" w:customStyle="1" w:styleId="Olang">
    <w:name w:val="Olang"/>
    <w:basedOn w:val="Normal"/>
    <w:rsid w:val="00545F84"/>
    <w:pPr>
      <w:spacing w:before="240" w:after="240"/>
      <w:jc w:val="right"/>
    </w:pPr>
    <w:rPr>
      <w:noProof/>
      <w:szCs w:val="24"/>
    </w:rPr>
  </w:style>
  <w:style w:type="character" w:styleId="FollowedHyperlink">
    <w:name w:val="FollowedHyperlink"/>
    <w:basedOn w:val="DefaultParagraphFont"/>
    <w:rsid w:val="00545F84"/>
    <w:rPr>
      <w:color w:val="954F72" w:themeColor="followedHyperlink"/>
      <w:u w:val="single"/>
    </w:rPr>
  </w:style>
  <w:style w:type="paragraph" w:styleId="CommentSubject">
    <w:name w:val="annotation subject"/>
    <w:basedOn w:val="CommentText"/>
    <w:next w:val="CommentText"/>
    <w:link w:val="CommentSubjectChar"/>
    <w:unhideWhenUsed/>
    <w:rsid w:val="00545F84"/>
    <w:pPr>
      <w:widowControl w:val="0"/>
      <w:spacing w:after="0"/>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rsid w:val="00545F84"/>
    <w:rPr>
      <w:rFonts w:asciiTheme="minorHAnsi" w:eastAsiaTheme="minorHAnsi" w:hAnsiTheme="minorHAnsi" w:cstheme="minorBidi"/>
      <w:b/>
      <w:bCs/>
      <w:lang w:val="el-GR" w:eastAsia="en-US"/>
    </w:rPr>
  </w:style>
  <w:style w:type="paragraph" w:customStyle="1" w:styleId="Normal12a">
    <w:name w:val="Normal12a"/>
    <w:basedOn w:val="Normal"/>
    <w:rsid w:val="00545F84"/>
    <w:pPr>
      <w:spacing w:after="240"/>
    </w:pPr>
  </w:style>
  <w:style w:type="paragraph" w:customStyle="1" w:styleId="RollCallVotes">
    <w:name w:val="RollCallVotes"/>
    <w:basedOn w:val="Normal"/>
    <w:rsid w:val="00545F84"/>
    <w:pPr>
      <w:spacing w:before="120" w:after="120"/>
      <w:jc w:val="center"/>
    </w:pPr>
    <w:rPr>
      <w:b/>
      <w:bCs/>
      <w:snapToGrid w:val="0"/>
      <w:sz w:val="16"/>
      <w:lang w:eastAsia="en-US"/>
    </w:rPr>
  </w:style>
  <w:style w:type="paragraph" w:customStyle="1" w:styleId="RollCallTabs">
    <w:name w:val="RollCallTabs"/>
    <w:basedOn w:val="Normal"/>
    <w:qFormat/>
    <w:rsid w:val="00545F84"/>
    <w:pPr>
      <w:tabs>
        <w:tab w:val="center" w:pos="284"/>
        <w:tab w:val="left" w:pos="426"/>
      </w:tabs>
    </w:pPr>
    <w:rPr>
      <w:snapToGrid w:val="0"/>
      <w:lang w:eastAsia="en-US"/>
    </w:rPr>
  </w:style>
  <w:style w:type="paragraph" w:customStyle="1" w:styleId="RollCallSymbols14pt">
    <w:name w:val="RollCallSymbols14pt"/>
    <w:basedOn w:val="Normal"/>
    <w:rsid w:val="00545F84"/>
    <w:pPr>
      <w:spacing w:before="120" w:after="120"/>
      <w:jc w:val="center"/>
    </w:pPr>
    <w:rPr>
      <w:rFonts w:ascii="Arial" w:hAnsi="Arial"/>
      <w:b/>
      <w:bCs/>
      <w:snapToGrid w:val="0"/>
      <w:sz w:val="28"/>
      <w:lang w:eastAsia="en-US"/>
    </w:rPr>
  </w:style>
  <w:style w:type="paragraph" w:customStyle="1" w:styleId="RollCallTable">
    <w:name w:val="RollCallTable"/>
    <w:basedOn w:val="Normal"/>
    <w:rsid w:val="00545F84"/>
    <w:pPr>
      <w:spacing w:before="120" w:after="120"/>
    </w:pPr>
    <w:rPr>
      <w:snapToGrid w:val="0"/>
      <w:sz w:val="16"/>
      <w:lang w:eastAsia="en-US"/>
    </w:rPr>
  </w:style>
  <w:style w:type="paragraph" w:styleId="Revision">
    <w:name w:val="Revision"/>
    <w:hidden/>
    <w:uiPriority w:val="99"/>
    <w:semiHidden/>
    <w:rsid w:val="00545F84"/>
    <w:rPr>
      <w:sz w:val="24"/>
      <w:lang w:val="el-GR"/>
    </w:rPr>
  </w:style>
  <w:style w:type="paragraph" w:customStyle="1" w:styleId="PageHeadingNotTOC">
    <w:name w:val="PageHeadingNotTOC"/>
    <w:basedOn w:val="Normal"/>
    <w:rsid w:val="00545F84"/>
    <w:pPr>
      <w:keepNext/>
      <w:spacing w:after="480"/>
      <w:jc w:val="center"/>
    </w:pPr>
    <w:rPr>
      <w:rFonts w:ascii="Arial" w:hAnsi="Arial" w:cs="Arial"/>
      <w:b/>
    </w:rPr>
  </w:style>
  <w:style w:type="paragraph" w:customStyle="1" w:styleId="AmHeadingPA">
    <w:name w:val="AmHeadingPA"/>
    <w:basedOn w:val="Normal"/>
    <w:next w:val="Normal"/>
    <w:rsid w:val="00545F84"/>
    <w:pPr>
      <w:spacing w:before="480" w:after="240"/>
      <w:jc w:val="center"/>
    </w:pPr>
    <w:rPr>
      <w:rFonts w:ascii="Arial" w:hAnsi="Arial"/>
      <w:b/>
      <w:caps/>
      <w:snapToGrid w:val="0"/>
      <w:szCs w:val="24"/>
      <w:lang w:eastAsia="en-US"/>
    </w:rPr>
  </w:style>
  <w:style w:type="paragraph" w:customStyle="1" w:styleId="msonormal0">
    <w:name w:val="msonormal"/>
    <w:basedOn w:val="Normal"/>
    <w:rsid w:val="00545F84"/>
    <w:pPr>
      <w:widowControl/>
      <w:spacing w:before="100" w:beforeAutospacing="1" w:after="100" w:afterAutospacing="1"/>
    </w:pPr>
    <w:rPr>
      <w:szCs w:val="24"/>
    </w:rPr>
  </w:style>
  <w:style w:type="paragraph" w:customStyle="1" w:styleId="CommitteeAM">
    <w:name w:val="CommitteeAM"/>
    <w:basedOn w:val="Normal"/>
    <w:rsid w:val="00545F84"/>
    <w:pPr>
      <w:spacing w:before="240" w:after="600"/>
      <w:jc w:val="center"/>
    </w:pPr>
    <w:rPr>
      <w:i/>
    </w:rPr>
  </w:style>
  <w:style w:type="paragraph" w:customStyle="1" w:styleId="ZDateAM">
    <w:name w:val="ZDateAM"/>
    <w:basedOn w:val="Normal"/>
    <w:rsid w:val="00545F84"/>
    <w:pPr>
      <w:tabs>
        <w:tab w:val="right" w:pos="9356"/>
      </w:tabs>
      <w:spacing w:after="480"/>
    </w:pPr>
    <w:rPr>
      <w:noProof/>
    </w:rPr>
  </w:style>
  <w:style w:type="paragraph" w:customStyle="1" w:styleId="ProjRap">
    <w:name w:val="ProjRap"/>
    <w:basedOn w:val="Normal"/>
    <w:rsid w:val="00545F84"/>
    <w:pPr>
      <w:tabs>
        <w:tab w:val="right" w:pos="9356"/>
      </w:tabs>
    </w:pPr>
    <w:rPr>
      <w:b/>
      <w:noProof/>
    </w:rPr>
  </w:style>
  <w:style w:type="paragraph" w:customStyle="1" w:styleId="PELeft">
    <w:name w:val="PELeft"/>
    <w:basedOn w:val="Normal"/>
    <w:rsid w:val="00545F84"/>
    <w:pPr>
      <w:spacing w:before="40" w:after="40"/>
    </w:pPr>
    <w:rPr>
      <w:rFonts w:ascii="Arial" w:hAnsi="Arial" w:cs="Arial"/>
      <w:sz w:val="22"/>
      <w:szCs w:val="22"/>
    </w:rPr>
  </w:style>
  <w:style w:type="paragraph" w:customStyle="1" w:styleId="PERight">
    <w:name w:val="PERight"/>
    <w:basedOn w:val="Normal"/>
    <w:next w:val="Normal"/>
    <w:rsid w:val="00545F84"/>
    <w:pPr>
      <w:jc w:val="right"/>
    </w:pPr>
    <w:rPr>
      <w:rFonts w:ascii="Arial" w:hAnsi="Arial" w:cs="Arial"/>
      <w:sz w:val="22"/>
      <w:szCs w:val="22"/>
    </w:rPr>
  </w:style>
  <w:style w:type="paragraph" w:customStyle="1" w:styleId="JustificationTitle">
    <w:name w:val="JustificationTitle"/>
    <w:basedOn w:val="Normal"/>
    <w:next w:val="Normal12"/>
    <w:rsid w:val="00545F84"/>
    <w:pPr>
      <w:keepNext/>
      <w:spacing w:before="240" w:after="240"/>
      <w:jc w:val="center"/>
    </w:pPr>
    <w:rPr>
      <w:i/>
      <w:noProof/>
    </w:rPr>
  </w:style>
  <w:style w:type="paragraph" w:customStyle="1" w:styleId="CrossRef">
    <w:name w:val="CrossRef"/>
    <w:basedOn w:val="Normal"/>
    <w:rsid w:val="00545F84"/>
    <w:pPr>
      <w:spacing w:before="240"/>
      <w:jc w:val="center"/>
    </w:pPr>
    <w:rPr>
      <w:i/>
    </w:rPr>
  </w:style>
  <w:style w:type="character" w:customStyle="1" w:styleId="Footer2Middle">
    <w:name w:val="Footer2Middle"/>
    <w:rsid w:val="00545F84"/>
    <w:rPr>
      <w:rFonts w:ascii="Arial" w:hAnsi="Arial" w:cs="Arial" w:hint="default"/>
      <w:b w:val="0"/>
      <w:bCs w:val="0"/>
      <w:i/>
      <w:iCs w:val="0"/>
      <w:color w:val="C0C0C0"/>
      <w:sz w:val="22"/>
    </w:rPr>
  </w:style>
  <w:style w:type="paragraph" w:styleId="NoSpacing">
    <w:name w:val="No Spacing"/>
    <w:uiPriority w:val="1"/>
    <w:qFormat/>
    <w:rsid w:val="00545F84"/>
    <w:pPr>
      <w:widowControl w:val="0"/>
    </w:pPr>
    <w:rPr>
      <w:sz w:val="24"/>
      <w:szCs w:val="24"/>
      <w:lang w:val="el-GR"/>
    </w:rPr>
  </w:style>
  <w:style w:type="paragraph" w:styleId="HTMLPreformatted">
    <w:name w:val="HTML Preformatted"/>
    <w:basedOn w:val="Normal"/>
    <w:link w:val="HTMLPreformattedChar"/>
    <w:uiPriority w:val="99"/>
    <w:unhideWhenUsed/>
    <w:rsid w:val="00545F8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uiPriority w:val="99"/>
    <w:rsid w:val="00545F84"/>
    <w:rPr>
      <w:rFonts w:ascii="Courier New" w:hAnsi="Courier New" w:cs="Courier New"/>
      <w:lang w:val="el-GR"/>
    </w:rPr>
  </w:style>
  <w:style w:type="character" w:customStyle="1" w:styleId="y2iqfc">
    <w:name w:val="y2iqfc"/>
    <w:basedOn w:val="DefaultParagraphFont"/>
    <w:rsid w:val="00545F84"/>
  </w:style>
  <w:style w:type="paragraph" w:customStyle="1" w:styleId="titrearticle">
    <w:name w:val="titrearticle"/>
    <w:basedOn w:val="Normal"/>
    <w:rsid w:val="00545F84"/>
    <w:pPr>
      <w:widowControl/>
      <w:spacing w:before="100" w:beforeAutospacing="1" w:after="100" w:afterAutospacing="1"/>
    </w:pPr>
    <w:rPr>
      <w:szCs w:val="24"/>
    </w:rPr>
  </w:style>
  <w:style w:type="paragraph" w:customStyle="1" w:styleId="Normal1">
    <w:name w:val="Normal1"/>
    <w:basedOn w:val="Normal"/>
    <w:rsid w:val="00545F84"/>
    <w:pPr>
      <w:widowControl/>
      <w:spacing w:before="100" w:beforeAutospacing="1" w:after="100" w:afterAutospacing="1"/>
    </w:pPr>
    <w:rPr>
      <w:szCs w:val="24"/>
    </w:rPr>
  </w:style>
  <w:style w:type="paragraph" w:styleId="Footer">
    <w:name w:val="footer"/>
    <w:basedOn w:val="Normal"/>
    <w:link w:val="FooterChar"/>
    <w:rsid w:val="00545F84"/>
    <w:pPr>
      <w:tabs>
        <w:tab w:val="center" w:pos="4513"/>
        <w:tab w:val="right" w:pos="9026"/>
      </w:tabs>
    </w:pPr>
  </w:style>
  <w:style w:type="character" w:customStyle="1" w:styleId="FooterChar">
    <w:name w:val="Footer Char"/>
    <w:basedOn w:val="DefaultParagraphFont"/>
    <w:link w:val="Footer"/>
    <w:rsid w:val="00545F84"/>
    <w:rPr>
      <w:sz w:val="24"/>
      <w:lang w:val="el-GR"/>
    </w:rPr>
  </w:style>
  <w:style w:type="paragraph" w:customStyle="1" w:styleId="Titreobjet">
    <w:name w:val="Titre objet"/>
    <w:basedOn w:val="Normal"/>
    <w:next w:val="Normal"/>
    <w:rsid w:val="00545F84"/>
    <w:pPr>
      <w:widowControl/>
      <w:spacing w:before="360" w:after="360"/>
      <w:jc w:val="center"/>
    </w:pPr>
    <w:rPr>
      <w:rFonts w:eastAsiaTheme="minorHAnsi"/>
      <w:b/>
      <w:szCs w:val="22"/>
      <w:lang w:eastAsia="en-US"/>
    </w:rPr>
  </w:style>
  <w:style w:type="character" w:styleId="UnresolvedMention">
    <w:name w:val="Unresolved Mention"/>
    <w:basedOn w:val="DefaultParagraphFont"/>
    <w:uiPriority w:val="99"/>
    <w:semiHidden/>
    <w:unhideWhenUsed/>
    <w:rsid w:val="002F2924"/>
    <w:rPr>
      <w:color w:val="605E5C"/>
      <w:shd w:val="clear" w:color="auto" w:fill="E1DFDD"/>
    </w:rPr>
  </w:style>
  <w:style w:type="character" w:customStyle="1" w:styleId="Hyperlink1">
    <w:name w:val="Hyperlink1"/>
    <w:basedOn w:val="DefaultParagraphFont"/>
    <w:uiPriority w:val="99"/>
    <w:unhideWhenUsed/>
    <w:rsid w:val="00BC69E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297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414</Words>
  <Characters>2641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2026-03-23T14:19:00Z</dcterms:created>
  <dcterms:modified xsi:type="dcterms:W3CDTF">2026-03-23T14:19:00Z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P10_TA(2026)0048_</vt:lpwstr>
  </property>
  <property fmtid="{D5CDD505-2E9C-101B-9397-08002B2CF9AE}" pid="4" name="&lt;Type&gt;">
    <vt:lpwstr>RR</vt:lpwstr>
  </property>
</Properties>
</file>