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123B" w14:paraId="273814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572C4D" w14:textId="65B8B8B5" w:rsidR="00751A4A" w:rsidRPr="00A8123B" w:rsidRDefault="00E2722A" w:rsidP="0010095E">
            <w:pPr>
              <w:pStyle w:val="EPName"/>
            </w:pPr>
            <w:r w:rsidRPr="00A8123B">
              <w:t>Europos Parlamentas</w:t>
            </w:r>
          </w:p>
          <w:p w14:paraId="5A4B8008" w14:textId="77777777" w:rsidR="00751A4A" w:rsidRPr="00A812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123B">
              <w:t>2024</w:t>
            </w:r>
            <w:r w:rsidR="00817416" w:rsidRPr="00A8123B">
              <w:t>-202</w:t>
            </w:r>
            <w:r w:rsidRPr="00A8123B">
              <w:t>9</w:t>
            </w:r>
          </w:p>
        </w:tc>
        <w:tc>
          <w:tcPr>
            <w:tcW w:w="2268" w:type="dxa"/>
            <w:shd w:val="clear" w:color="auto" w:fill="auto"/>
          </w:tcPr>
          <w:p w14:paraId="1D7B88B4" w14:textId="77777777" w:rsidR="00751A4A" w:rsidRPr="00A8123B" w:rsidRDefault="00187494" w:rsidP="0010095E">
            <w:pPr>
              <w:pStyle w:val="EPLogo"/>
            </w:pPr>
            <w:r w:rsidRPr="00A8123B">
              <w:rPr>
                <w:noProof/>
                <w:lang w:eastAsia="ja-JP"/>
              </w:rPr>
              <w:drawing>
                <wp:inline distT="0" distB="0" distL="0" distR="0" wp14:anchorId="3BE19E78" wp14:editId="598928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65BBBF" w14:textId="77777777" w:rsidR="00D058B8" w:rsidRPr="00A8123B" w:rsidRDefault="00D058B8" w:rsidP="004C5D52">
      <w:pPr>
        <w:pStyle w:val="LineTop"/>
      </w:pPr>
    </w:p>
    <w:p w14:paraId="32E04862" w14:textId="6DE87121" w:rsidR="00680577" w:rsidRPr="00A8123B" w:rsidRDefault="00E2722A" w:rsidP="00680577">
      <w:pPr>
        <w:pStyle w:val="EPBodyTA1"/>
      </w:pPr>
      <w:r w:rsidRPr="00A8123B">
        <w:t>PRIIMTI TEKSTAI</w:t>
      </w:r>
    </w:p>
    <w:p w14:paraId="6145A1B4" w14:textId="77777777" w:rsidR="00D058B8" w:rsidRPr="00A8123B" w:rsidRDefault="00D058B8" w:rsidP="00D058B8">
      <w:pPr>
        <w:pStyle w:val="LineBottom"/>
      </w:pPr>
    </w:p>
    <w:p w14:paraId="33D10088" w14:textId="3313A394" w:rsidR="00E2722A" w:rsidRPr="00A8123B" w:rsidRDefault="00E2722A" w:rsidP="00E2722A">
      <w:pPr>
        <w:pStyle w:val="ATHeading1"/>
      </w:pPr>
      <w:bookmarkStart w:id="0" w:name="TANumber"/>
      <w:r w:rsidRPr="00A8123B">
        <w:t>P10_TA(2026)00</w:t>
      </w:r>
      <w:r w:rsidR="00CA708B">
        <w:t>48</w:t>
      </w:r>
      <w:bookmarkEnd w:id="0"/>
    </w:p>
    <w:p w14:paraId="177BE5DD" w14:textId="77777777" w:rsidR="00E2722A" w:rsidRPr="00A8123B" w:rsidRDefault="00E2722A" w:rsidP="00E2722A">
      <w:pPr>
        <w:pStyle w:val="ATHeading2"/>
      </w:pPr>
      <w:bookmarkStart w:id="1" w:name="title"/>
      <w:r w:rsidRPr="00A8123B">
        <w:t>Vykdymo užtikrinimo institucijų bendradarbiavimas nesąžiningos prekybos praktikos žemės ūkio ir maisto produktų tiekimo grandinėje klausimais</w:t>
      </w:r>
      <w:bookmarkEnd w:id="1"/>
    </w:p>
    <w:p w14:paraId="74E7D1A1" w14:textId="77777777" w:rsidR="00E2722A" w:rsidRPr="00A8123B" w:rsidRDefault="00E2722A" w:rsidP="00E2722A">
      <w:pPr>
        <w:rPr>
          <w:i/>
          <w:vanish/>
        </w:rPr>
      </w:pPr>
      <w:r w:rsidRPr="00A8123B">
        <w:rPr>
          <w:i/>
        </w:rPr>
        <w:fldChar w:fldCharType="begin"/>
      </w:r>
      <w:r w:rsidRPr="00A8123B">
        <w:rPr>
          <w:i/>
        </w:rPr>
        <w:instrText xml:space="preserve"> TC"(</w:instrText>
      </w:r>
      <w:bookmarkStart w:id="2" w:name="DocNumber"/>
      <w:r w:rsidRPr="00A8123B">
        <w:rPr>
          <w:i/>
        </w:rPr>
        <w:instrText>A10-0153/2025</w:instrText>
      </w:r>
      <w:bookmarkEnd w:id="2"/>
      <w:r w:rsidRPr="00A8123B">
        <w:rPr>
          <w:i/>
        </w:rPr>
        <w:instrText xml:space="preserve"> - Pranešėjas: Stefano Bonaccini)"\l3 \n&gt; \* MERGEFORMAT </w:instrText>
      </w:r>
      <w:r w:rsidRPr="00A8123B">
        <w:rPr>
          <w:i/>
        </w:rPr>
        <w:fldChar w:fldCharType="end"/>
      </w:r>
    </w:p>
    <w:p w14:paraId="4A59DCDE" w14:textId="77777777" w:rsidR="00E2722A" w:rsidRPr="00A8123B" w:rsidRDefault="00E2722A" w:rsidP="00E2722A">
      <w:pPr>
        <w:rPr>
          <w:vanish/>
        </w:rPr>
      </w:pPr>
      <w:bookmarkStart w:id="3" w:name="Commission"/>
      <w:r w:rsidRPr="00A8123B">
        <w:rPr>
          <w:vanish/>
        </w:rPr>
        <w:t>Žemės ūkio ir kaimo plėtros komitetas</w:t>
      </w:r>
      <w:bookmarkEnd w:id="3"/>
    </w:p>
    <w:p w14:paraId="72E06BA5" w14:textId="77777777" w:rsidR="00E2722A" w:rsidRPr="00A8123B" w:rsidRDefault="00E2722A" w:rsidP="00E2722A">
      <w:pPr>
        <w:rPr>
          <w:vanish/>
        </w:rPr>
      </w:pPr>
      <w:bookmarkStart w:id="4" w:name="PE"/>
      <w:r w:rsidRPr="00A8123B">
        <w:rPr>
          <w:vanish/>
        </w:rPr>
        <w:t>PE773.115</w:t>
      </w:r>
      <w:bookmarkEnd w:id="4"/>
    </w:p>
    <w:p w14:paraId="0FAB7164" w14:textId="7B4D185B" w:rsidR="00E2722A" w:rsidRPr="00A8123B" w:rsidRDefault="00E2722A" w:rsidP="00E2722A">
      <w:pPr>
        <w:pStyle w:val="ATHeading3"/>
      </w:pPr>
      <w:bookmarkStart w:id="5" w:name="Sujet"/>
      <w:r w:rsidRPr="00A8123B">
        <w:t xml:space="preserve">2026 m. </w:t>
      </w:r>
      <w:r w:rsidR="009C6EDE">
        <w:t>vasario</w:t>
      </w:r>
      <w:r w:rsidR="009C6EDE" w:rsidRPr="00A8123B">
        <w:t xml:space="preserve"> </w:t>
      </w:r>
      <w:r w:rsidR="00511EAC">
        <w:t>1</w:t>
      </w:r>
      <w:r w:rsidR="00B904C6">
        <w:t>2</w:t>
      </w:r>
      <w:r w:rsidR="00511EAC" w:rsidRPr="00A8123B">
        <w:t xml:space="preserve"> </w:t>
      </w:r>
      <w:r w:rsidRPr="00A8123B">
        <w:t>d. Europos Parlamento teisėkūros rezoliucija dėl pasiūlymo dėl Europos Parlamento ir Tarybos reglamento dėl vykdymo užtikrinimo institucijų, atsakingų už Direktyvos (ES) 2019/633 dėl įmonių vienų kitoms taikomos nesąžiningos prekybos praktikos žemės ūkio ir maisto produktų tiekimo grandinėje vykdymo užtikrinimą, bendradarbiavimo</w:t>
      </w:r>
      <w:bookmarkEnd w:id="5"/>
      <w:r w:rsidRPr="00A8123B">
        <w:t xml:space="preserve"> </w:t>
      </w:r>
      <w:bookmarkStart w:id="6" w:name="References"/>
      <w:r w:rsidRPr="00A8123B">
        <w:t>(COM(2024)0576 – C10-0208/2024</w:t>
      </w:r>
      <w:r w:rsidR="00221D8C">
        <w:t xml:space="preserve"> </w:t>
      </w:r>
      <w:r w:rsidRPr="00A8123B">
        <w:t>– 2024/0318(COD))</w:t>
      </w:r>
      <w:bookmarkEnd w:id="6"/>
    </w:p>
    <w:p w14:paraId="4198A159" w14:textId="77777777" w:rsidR="00E2722A" w:rsidRPr="00A8123B" w:rsidRDefault="00E2722A" w:rsidP="00E2722A"/>
    <w:p w14:paraId="42A81C6B" w14:textId="77777777" w:rsidR="007B7069" w:rsidRPr="00A8123B" w:rsidRDefault="007B7069" w:rsidP="007B7069">
      <w:pPr>
        <w:pStyle w:val="NormalBold"/>
        <w:jc w:val="both"/>
      </w:pPr>
      <w:bookmarkStart w:id="7" w:name="TextBodyBegin"/>
      <w:bookmarkEnd w:id="7"/>
      <w:r w:rsidRPr="00A8123B">
        <w:t>(Įprasta teisėkūros procedūra: pirmasis svarstymas)</w:t>
      </w:r>
    </w:p>
    <w:p w14:paraId="4656FF93" w14:textId="77777777" w:rsidR="007B7069" w:rsidRPr="00A8123B" w:rsidRDefault="007B7069" w:rsidP="007B7069">
      <w:pPr>
        <w:pStyle w:val="EPComma"/>
        <w:jc w:val="both"/>
      </w:pPr>
      <w:r w:rsidRPr="00A8123B">
        <w:rPr>
          <w:i/>
        </w:rPr>
        <w:t>Europos Parlamentas</w:t>
      </w:r>
      <w:r w:rsidRPr="00A8123B">
        <w:t>,</w:t>
      </w:r>
    </w:p>
    <w:p w14:paraId="129787EA" w14:textId="77777777" w:rsidR="007B7069" w:rsidRPr="00A8123B" w:rsidRDefault="007B7069" w:rsidP="007B7069">
      <w:pPr>
        <w:pStyle w:val="NormalHanging12a"/>
      </w:pPr>
      <w:r w:rsidRPr="00A8123B">
        <w:t>–</w:t>
      </w:r>
      <w:r w:rsidRPr="00A8123B">
        <w:tab/>
        <w:t>atsižvelgdamas į Komisijos pasiūlymą Parlamentui ir Tarybai (COM(2024)0576),</w:t>
      </w:r>
    </w:p>
    <w:p w14:paraId="5A45E9DB" w14:textId="77777777" w:rsidR="007B7069" w:rsidRPr="00A8123B" w:rsidRDefault="007B7069" w:rsidP="007B7069">
      <w:pPr>
        <w:pStyle w:val="NormalHanging12a"/>
      </w:pPr>
      <w:r w:rsidRPr="00A8123B">
        <w:t>–</w:t>
      </w:r>
      <w:r w:rsidRPr="00A8123B">
        <w:tab/>
        <w:t>atsižvelgdamas į Sutarties dėl Europos Sąjungos veikimo 294 straipsnio 2 dalį ir 43 straipsnio 2 dalį, pagal kurias Komisija pateikė pasiūlymą Parlamentui (C10</w:t>
      </w:r>
      <w:r w:rsidRPr="00A8123B">
        <w:noBreakHyphen/>
        <w:t>0208/2024),</w:t>
      </w:r>
    </w:p>
    <w:p w14:paraId="47296C32" w14:textId="77777777" w:rsidR="007B7069" w:rsidRPr="00A8123B" w:rsidRDefault="007B7069" w:rsidP="007B7069">
      <w:pPr>
        <w:pStyle w:val="NormalHanging12a"/>
      </w:pPr>
      <w:r w:rsidRPr="00A8123B">
        <w:rPr>
          <w:rFonts w:ascii="Symbol" w:hAnsi="Symbol"/>
        </w:rPr>
        <w:sym w:font="Symbol" w:char="F02D"/>
      </w:r>
      <w:r w:rsidRPr="00A8123B">
        <w:tab/>
        <w:t>atsižvelgdamas į Sutarties dėl Europos Sąjungos veikimo 294 straipsnio 3 dalį,</w:t>
      </w:r>
    </w:p>
    <w:p w14:paraId="1B289AC0" w14:textId="77777777" w:rsidR="007B7069" w:rsidRPr="00A8123B" w:rsidRDefault="007B7069" w:rsidP="007B7069">
      <w:pPr>
        <w:pStyle w:val="NormalHanging12a"/>
      </w:pPr>
      <w:r w:rsidRPr="00A8123B">
        <w:t>–</w:t>
      </w:r>
      <w:r w:rsidRPr="00A8123B">
        <w:tab/>
        <w:t>atsižvelgdamas į 2025 m. kovo 27 d. Europos ekonomikos ir socialinių reikalų komiteto nuomonę</w:t>
      </w:r>
      <w:r w:rsidRPr="00A8123B">
        <w:rPr>
          <w:rStyle w:val="FootnoteReference"/>
        </w:rPr>
        <w:footnoteReference w:id="1"/>
      </w:r>
      <w:r w:rsidRPr="00A8123B">
        <w:t>,</w:t>
      </w:r>
    </w:p>
    <w:p w14:paraId="7FC57064" w14:textId="77777777" w:rsidR="007B7069" w:rsidRDefault="007B7069" w:rsidP="007B7069">
      <w:pPr>
        <w:pStyle w:val="NormalHanging12a"/>
      </w:pPr>
      <w:r w:rsidRPr="00A8123B">
        <w:t>–</w:t>
      </w:r>
      <w:r w:rsidRPr="00A8123B">
        <w:tab/>
        <w:t>atsižvelgdamas į 2025 m. gegužės 15 d. Regionų komiteto nuomonę</w:t>
      </w:r>
      <w:r w:rsidRPr="00A8123B">
        <w:rPr>
          <w:rStyle w:val="FootnoteReference"/>
        </w:rPr>
        <w:footnoteReference w:id="2"/>
      </w:r>
      <w:r w:rsidRPr="00A8123B">
        <w:t xml:space="preserve">, </w:t>
      </w:r>
    </w:p>
    <w:p w14:paraId="5C294CD0" w14:textId="0BCBAEC6" w:rsidR="00221D8C" w:rsidRPr="00271681" w:rsidRDefault="00221D8C" w:rsidP="00221D8C">
      <w:pPr>
        <w:pStyle w:val="NormalHanging12a"/>
      </w:pPr>
      <w:r w:rsidRPr="00271681">
        <w:t>–</w:t>
      </w:r>
      <w:r w:rsidRPr="00271681">
        <w:tab/>
        <w:t xml:space="preserve">atsižvelgdamas į preliminarų susitarimą, kurį atsakingas komitetas patvirtino pagal Darbo tvarkos taisyklių 75 straipsnio 4 dalį, ir į 2025 m. </w:t>
      </w:r>
      <w:r>
        <w:t>gruodžio</w:t>
      </w:r>
      <w:r w:rsidRPr="00271681">
        <w:t xml:space="preserve"> 1 d. laišku Tarybos atstovo prisiimtą įsipareigojimą pritarti Parlamento pozicijai pagal Sutarties dėl Europos Sąjungos veikimo 294 straipsnio 4 dalį,</w:t>
      </w:r>
    </w:p>
    <w:p w14:paraId="5475B8D1" w14:textId="77777777" w:rsidR="007B7069" w:rsidRPr="00A8123B" w:rsidRDefault="007B7069" w:rsidP="007B7069">
      <w:pPr>
        <w:pStyle w:val="NormalHanging12a"/>
      </w:pPr>
      <w:r w:rsidRPr="00A8123B">
        <w:lastRenderedPageBreak/>
        <w:t>–</w:t>
      </w:r>
      <w:r w:rsidRPr="00A8123B">
        <w:tab/>
        <w:t>atsižvelgdamas į Darbo tvarkos taisyklių 60 straipsnį,</w:t>
      </w:r>
    </w:p>
    <w:p w14:paraId="434019F2" w14:textId="77777777" w:rsidR="007B7069" w:rsidRPr="00A8123B" w:rsidRDefault="007B7069" w:rsidP="007B7069">
      <w:pPr>
        <w:pStyle w:val="NormalHanging12a"/>
      </w:pPr>
      <w:r w:rsidRPr="00A8123B">
        <w:t>–</w:t>
      </w:r>
      <w:r w:rsidRPr="00A8123B">
        <w:tab/>
        <w:t>atsižvelgdamas į Vidaus rinkos ir vartotojų apsaugos komiteto nuomonę,</w:t>
      </w:r>
    </w:p>
    <w:p w14:paraId="0D302199" w14:textId="77777777" w:rsidR="007B7069" w:rsidRPr="00A8123B" w:rsidRDefault="007B7069" w:rsidP="007B7069">
      <w:pPr>
        <w:pStyle w:val="NormalHanging12a"/>
      </w:pPr>
      <w:r w:rsidRPr="00A8123B">
        <w:t>–</w:t>
      </w:r>
      <w:r w:rsidRPr="00A8123B">
        <w:tab/>
        <w:t>atsižvelgdamas į Žemės ūkio ir kaimo plėtros komiteto pranešimą (A10-0153/2025),</w:t>
      </w:r>
    </w:p>
    <w:p w14:paraId="0A85A568" w14:textId="77777777" w:rsidR="007B7069" w:rsidRPr="00A8123B" w:rsidRDefault="007B7069" w:rsidP="007B7069">
      <w:pPr>
        <w:pStyle w:val="NormalHanging12a"/>
        <w:jc w:val="both"/>
      </w:pPr>
      <w:r w:rsidRPr="00A8123B">
        <w:t>1.</w:t>
      </w:r>
      <w:r w:rsidRPr="00A8123B">
        <w:tab/>
        <w:t>priima per pirmąjį svarstymą toliau pateiktą poziciją;</w:t>
      </w:r>
    </w:p>
    <w:p w14:paraId="44272A72" w14:textId="77777777" w:rsidR="007B7069" w:rsidRPr="00A8123B" w:rsidRDefault="007B7069" w:rsidP="007B7069">
      <w:pPr>
        <w:pStyle w:val="NormalHanging12a"/>
        <w:jc w:val="both"/>
      </w:pPr>
      <w:r w:rsidRPr="00A8123B">
        <w:t>2.</w:t>
      </w:r>
      <w:r w:rsidRPr="00A8123B">
        <w:tab/>
        <w:t>ragina Komisiją dar kartą perduoti klausimą svarstyti Parlamentui, jei ji savo pasiūlymą pakeičia nauju tekstu, jį keičia iš esmės arba ketina jį keisti iš esmės;</w:t>
      </w:r>
    </w:p>
    <w:p w14:paraId="2BD8BDC4" w14:textId="45E7C056" w:rsidR="007B7069" w:rsidRPr="00A8123B" w:rsidRDefault="007B7069" w:rsidP="007B7069">
      <w:pPr>
        <w:pStyle w:val="NormalHanging12a"/>
        <w:jc w:val="both"/>
      </w:pPr>
      <w:r w:rsidRPr="00A8123B">
        <w:t>3.</w:t>
      </w:r>
      <w:r w:rsidRPr="00A8123B">
        <w:tab/>
        <w:t>paveda Pirmininkei perduoti Parlamento poziciją Tarybai, Komisijai ir nacionaliniams parlamentams.</w:t>
      </w:r>
    </w:p>
    <w:p w14:paraId="500726C5" w14:textId="77777777" w:rsidR="00D47233" w:rsidRDefault="00D47233" w:rsidP="00BC1F0E">
      <w:pPr>
        <w:widowControl/>
        <w:spacing w:after="240"/>
        <w:jc w:val="both"/>
        <w:sectPr w:rsidR="00D47233" w:rsidSect="00A812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389931" w14:textId="3D672EC1" w:rsidR="00BC1F0E" w:rsidRPr="00BC1F0E" w:rsidRDefault="00BC1F0E" w:rsidP="00BC1F0E">
      <w:pPr>
        <w:widowControl/>
        <w:spacing w:after="240"/>
        <w:jc w:val="both"/>
        <w:rPr>
          <w:b/>
          <w:bCs/>
        </w:rPr>
      </w:pPr>
      <w:r w:rsidRPr="00BC1F0E">
        <w:rPr>
          <w:b/>
          <w:bCs/>
        </w:rPr>
        <w:lastRenderedPageBreak/>
        <w:t>P10_TC1-COD(202</w:t>
      </w:r>
      <w:r>
        <w:rPr>
          <w:b/>
          <w:bCs/>
        </w:rPr>
        <w:t>4</w:t>
      </w:r>
      <w:r w:rsidRPr="00BC1F0E">
        <w:rPr>
          <w:b/>
          <w:bCs/>
        </w:rPr>
        <w:t>)0</w:t>
      </w:r>
      <w:r>
        <w:rPr>
          <w:b/>
          <w:bCs/>
        </w:rPr>
        <w:t>318</w:t>
      </w:r>
    </w:p>
    <w:p w14:paraId="4FC31001" w14:textId="48D8BCAD" w:rsidR="00511EAC" w:rsidRDefault="00BC1F0E" w:rsidP="00511EAC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BC1F0E">
        <w:rPr>
          <w:b/>
        </w:rPr>
        <w:t xml:space="preserve">Europos </w:t>
      </w:r>
      <w:r w:rsidRPr="00BC1F0E">
        <w:rPr>
          <w:b/>
          <w:bCs/>
        </w:rPr>
        <w:t>Parlamento</w:t>
      </w:r>
      <w:r w:rsidRPr="00BC1F0E">
        <w:rPr>
          <w:b/>
        </w:rPr>
        <w:t xml:space="preserve"> pozicija, priimta 202</w:t>
      </w:r>
      <w:r>
        <w:rPr>
          <w:b/>
        </w:rPr>
        <w:t>6</w:t>
      </w:r>
      <w:r w:rsidRPr="00BC1F0E">
        <w:rPr>
          <w:b/>
        </w:rPr>
        <w:t xml:space="preserve"> m. </w:t>
      </w:r>
      <w:r>
        <w:rPr>
          <w:b/>
        </w:rPr>
        <w:t>vasario</w:t>
      </w:r>
      <w:r w:rsidRPr="00BC1F0E">
        <w:rPr>
          <w:b/>
        </w:rPr>
        <w:t xml:space="preserve"> 1</w:t>
      </w:r>
      <w:r w:rsidR="00B904C6">
        <w:rPr>
          <w:b/>
        </w:rPr>
        <w:t>2</w:t>
      </w:r>
      <w:r w:rsidRPr="00BC1F0E">
        <w:rPr>
          <w:b/>
        </w:rPr>
        <w:t> d. per pirmąjį svarstymą, siekiant priimti Europos Parlamento ir Tarybos reglamentą (ES) 202</w:t>
      </w:r>
      <w:r>
        <w:rPr>
          <w:b/>
        </w:rPr>
        <w:t>6</w:t>
      </w:r>
      <w:r w:rsidRPr="00BC1F0E">
        <w:rPr>
          <w:b/>
        </w:rPr>
        <w:t xml:space="preserve">/... </w:t>
      </w:r>
      <w:r w:rsidR="00511EAC" w:rsidRPr="00544DF8">
        <w:rPr>
          <w:rFonts w:eastAsia="Calibri"/>
          <w:b/>
          <w:szCs w:val="22"/>
          <w:lang w:eastAsia="en-US"/>
        </w:rPr>
        <w:t>dėl vykdymo užtikrinimo institucijų, atsakingų už Direktyvos (ES) 2019/633 dėl įmonių vienų kitoms taikomos nesąžiningos prekybos praktikos žemės ūkio ir maisto produktų tiekimo grandinėje vykdymo užtikrinimą, bendradarbiavimo</w:t>
      </w:r>
    </w:p>
    <w:p w14:paraId="763FB1C8" w14:textId="2680EB39" w:rsidR="00811845" w:rsidRDefault="004A05C9" w:rsidP="00511EAC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4A05C9">
        <w:rPr>
          <w:i/>
          <w:iCs/>
          <w:color w:val="000000"/>
          <w:szCs w:val="24"/>
        </w:rPr>
        <w:t>(Kadangi Parlamentas ir Taryba pasiekė susitarimą, Parlamento pozicija atitinka galutinį teisės aktą, Reglamentą (ES) 2026/</w:t>
      </w:r>
      <w:r w:rsidRPr="004A05C9">
        <w:rPr>
          <w:i/>
          <w:iCs/>
          <w:color w:val="000000"/>
          <w:szCs w:val="24"/>
        </w:rPr>
        <w:t>697</w:t>
      </w:r>
      <w:r w:rsidRPr="004A05C9">
        <w:rPr>
          <w:i/>
          <w:iCs/>
          <w:color w:val="000000"/>
          <w:szCs w:val="24"/>
        </w:rPr>
        <w:t>.)</w:t>
      </w:r>
    </w:p>
    <w:sectPr w:rsidR="00811845" w:rsidSect="00A812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F3FCD" w14:textId="77777777" w:rsidR="00E2722A" w:rsidRPr="00A8123B" w:rsidRDefault="00E2722A">
      <w:r w:rsidRPr="00A8123B">
        <w:separator/>
      </w:r>
    </w:p>
  </w:endnote>
  <w:endnote w:type="continuationSeparator" w:id="0">
    <w:p w14:paraId="3E164D8D" w14:textId="77777777" w:rsidR="00E2722A" w:rsidRPr="00A8123B" w:rsidRDefault="00E2722A">
      <w:r w:rsidRPr="00A812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3C22" w14:textId="77777777" w:rsidR="00064002" w:rsidRPr="00A812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6D74E" w14:textId="77777777" w:rsidR="00064002" w:rsidRPr="00A812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AC1E" w14:textId="77777777" w:rsidR="00064002" w:rsidRPr="00A812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C5778" w14:textId="77777777" w:rsidR="00E2722A" w:rsidRPr="00A8123B" w:rsidRDefault="00E2722A">
      <w:r w:rsidRPr="00A8123B">
        <w:separator/>
      </w:r>
    </w:p>
  </w:footnote>
  <w:footnote w:type="continuationSeparator" w:id="0">
    <w:p w14:paraId="7DFA1370" w14:textId="77777777" w:rsidR="00E2722A" w:rsidRPr="00A8123B" w:rsidRDefault="00E2722A">
      <w:r w:rsidRPr="00A8123B">
        <w:continuationSeparator/>
      </w:r>
    </w:p>
  </w:footnote>
  <w:footnote w:id="1">
    <w:p w14:paraId="1FCCA5DF" w14:textId="2DDB12AB" w:rsidR="007B7069" w:rsidRPr="00A8123B" w:rsidRDefault="007B7069" w:rsidP="00A8123B">
      <w:pPr>
        <w:pStyle w:val="FootnoteText"/>
        <w:ind w:left="567" w:hanging="567"/>
        <w:rPr>
          <w:sz w:val="24"/>
          <w:lang w:val="lt-LT"/>
        </w:rPr>
      </w:pPr>
      <w:r w:rsidRPr="00A8123B">
        <w:rPr>
          <w:rStyle w:val="FootnoteReference"/>
          <w:sz w:val="24"/>
          <w:lang w:val="lt-LT"/>
        </w:rPr>
        <w:footnoteRef/>
      </w:r>
      <w:r w:rsidR="00A8123B" w:rsidRPr="00A8123B">
        <w:rPr>
          <w:sz w:val="24"/>
          <w:lang w:val="lt-LT"/>
        </w:rPr>
        <w:t xml:space="preserve"> </w:t>
      </w:r>
      <w:r w:rsidR="00A8123B" w:rsidRPr="00A8123B">
        <w:rPr>
          <w:sz w:val="24"/>
          <w:lang w:val="lt-LT"/>
        </w:rPr>
        <w:tab/>
      </w:r>
      <w:r w:rsidR="000F35CF" w:rsidRPr="00A73E13">
        <w:rPr>
          <w:sz w:val="24"/>
          <w:lang w:val="fi-FI"/>
        </w:rPr>
        <w:t>O</w:t>
      </w:r>
      <w:r w:rsidR="000F35CF">
        <w:rPr>
          <w:sz w:val="24"/>
          <w:lang w:val="fi-FI"/>
        </w:rPr>
        <w:t>L</w:t>
      </w:r>
      <w:r w:rsidR="000F35CF" w:rsidRPr="00A73E13">
        <w:rPr>
          <w:sz w:val="24"/>
          <w:lang w:val="fi-FI"/>
        </w:rPr>
        <w:t xml:space="preserve"> C, C/2025/</w:t>
      </w:r>
      <w:r w:rsidR="000F35CF">
        <w:rPr>
          <w:sz w:val="24"/>
          <w:lang w:val="fi-FI"/>
        </w:rPr>
        <w:t>2970</w:t>
      </w:r>
      <w:r w:rsidR="000F35CF" w:rsidRPr="00A73E13">
        <w:rPr>
          <w:sz w:val="24"/>
          <w:lang w:val="fi-FI"/>
        </w:rPr>
        <w:t>, 2025</w:t>
      </w:r>
      <w:r w:rsidR="000F35CF">
        <w:rPr>
          <w:sz w:val="24"/>
          <w:lang w:val="fi-FI"/>
        </w:rPr>
        <w:t xml:space="preserve"> 6 16</w:t>
      </w:r>
      <w:r w:rsidR="000F35CF" w:rsidRPr="00A73E13">
        <w:rPr>
          <w:sz w:val="24"/>
          <w:lang w:val="fi-FI"/>
        </w:rPr>
        <w:t xml:space="preserve">, ELI: </w:t>
      </w:r>
      <w:hyperlink r:id="rId1" w:history="1">
        <w:r w:rsidR="000F35CF" w:rsidRPr="000F35CF">
          <w:rPr>
            <w:rStyle w:val="Hyperlink"/>
            <w:sz w:val="24"/>
            <w:lang w:val="fi-FI"/>
          </w:rPr>
          <w:t>http://data.europa.eu/eli/C/2025/2970/oj</w:t>
        </w:r>
      </w:hyperlink>
      <w:r w:rsidR="000F35CF" w:rsidRPr="00A73E13">
        <w:rPr>
          <w:sz w:val="24"/>
          <w:lang w:val="fi-FI"/>
        </w:rPr>
        <w:t>.</w:t>
      </w:r>
    </w:p>
  </w:footnote>
  <w:footnote w:id="2">
    <w:p w14:paraId="090418C8" w14:textId="35D1829E" w:rsidR="007B7069" w:rsidRPr="00A8123B" w:rsidRDefault="007B7069" w:rsidP="00A8123B">
      <w:pPr>
        <w:pStyle w:val="FootnoteText"/>
        <w:ind w:left="567" w:hanging="567"/>
        <w:rPr>
          <w:sz w:val="24"/>
          <w:lang w:val="lt-LT"/>
        </w:rPr>
      </w:pPr>
      <w:r w:rsidRPr="00A8123B">
        <w:rPr>
          <w:rStyle w:val="FootnoteReference"/>
          <w:sz w:val="24"/>
          <w:lang w:val="lt-LT"/>
        </w:rPr>
        <w:footnoteRef/>
      </w:r>
      <w:r w:rsidR="00A8123B" w:rsidRPr="00A8123B">
        <w:rPr>
          <w:sz w:val="24"/>
          <w:lang w:val="lt-LT"/>
        </w:rPr>
        <w:t xml:space="preserve"> </w:t>
      </w:r>
      <w:r w:rsidR="00A8123B" w:rsidRPr="00A8123B">
        <w:rPr>
          <w:sz w:val="24"/>
          <w:lang w:val="lt-LT"/>
        </w:rPr>
        <w:tab/>
      </w:r>
      <w:r w:rsidR="000F35CF" w:rsidRPr="00A73E13">
        <w:rPr>
          <w:sz w:val="24"/>
          <w:lang w:val="fi-FI"/>
        </w:rPr>
        <w:t>O</w:t>
      </w:r>
      <w:r w:rsidR="000F35CF">
        <w:rPr>
          <w:sz w:val="24"/>
          <w:lang w:val="fi-FI"/>
        </w:rPr>
        <w:t>L</w:t>
      </w:r>
      <w:r w:rsidR="000F35CF" w:rsidRPr="00A73E13">
        <w:rPr>
          <w:sz w:val="24"/>
          <w:lang w:val="fi-FI"/>
        </w:rPr>
        <w:t xml:space="preserve"> C, C/2025/</w:t>
      </w:r>
      <w:r w:rsidR="000F35CF">
        <w:rPr>
          <w:sz w:val="24"/>
          <w:lang w:val="fi-FI"/>
        </w:rPr>
        <w:t>3479</w:t>
      </w:r>
      <w:r w:rsidR="000F35CF" w:rsidRPr="00A73E13">
        <w:rPr>
          <w:sz w:val="24"/>
          <w:lang w:val="fi-FI"/>
        </w:rPr>
        <w:t>, 2025</w:t>
      </w:r>
      <w:r w:rsidR="000F35CF">
        <w:rPr>
          <w:sz w:val="24"/>
          <w:lang w:val="fi-FI"/>
        </w:rPr>
        <w:t xml:space="preserve"> 7 1</w:t>
      </w:r>
      <w:r w:rsidR="00D0156C">
        <w:rPr>
          <w:sz w:val="24"/>
          <w:lang w:val="fi-FI"/>
        </w:rPr>
        <w:t>6</w:t>
      </w:r>
      <w:r w:rsidR="000F35CF" w:rsidRPr="00A73E13">
        <w:rPr>
          <w:sz w:val="24"/>
          <w:lang w:val="fi-FI"/>
        </w:rPr>
        <w:t xml:space="preserve">, ELI: </w:t>
      </w:r>
      <w:hyperlink r:id="rId2" w:history="1">
        <w:r w:rsidR="000F35CF" w:rsidRPr="000F35CF">
          <w:rPr>
            <w:rStyle w:val="Hyperlink"/>
            <w:sz w:val="24"/>
            <w:lang w:val="fi-FI"/>
          </w:rPr>
          <w:t>http://data.europa.eu/eli/C/2025/3479/oj</w:t>
        </w:r>
      </w:hyperlink>
      <w:r w:rsidR="000F35CF" w:rsidRPr="00A73E1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453E" w14:textId="77777777" w:rsidR="00064002" w:rsidRPr="00A812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72288" w14:textId="77777777" w:rsidR="00064002" w:rsidRPr="00A812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A346" w14:textId="77777777" w:rsidR="00064002" w:rsidRPr="00A812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9142654">
    <w:abstractNumId w:val="9"/>
  </w:num>
  <w:num w:numId="2" w16cid:durableId="1844969510">
    <w:abstractNumId w:val="9"/>
  </w:num>
  <w:num w:numId="3" w16cid:durableId="292836228">
    <w:abstractNumId w:val="7"/>
  </w:num>
  <w:num w:numId="4" w16cid:durableId="1060177342">
    <w:abstractNumId w:val="7"/>
  </w:num>
  <w:num w:numId="5" w16cid:durableId="1876502449">
    <w:abstractNumId w:val="6"/>
  </w:num>
  <w:num w:numId="6" w16cid:durableId="578557302">
    <w:abstractNumId w:val="6"/>
  </w:num>
  <w:num w:numId="7" w16cid:durableId="287203950">
    <w:abstractNumId w:val="5"/>
  </w:num>
  <w:num w:numId="8" w16cid:durableId="537935499">
    <w:abstractNumId w:val="5"/>
  </w:num>
  <w:num w:numId="9" w16cid:durableId="563565122">
    <w:abstractNumId w:val="4"/>
  </w:num>
  <w:num w:numId="10" w16cid:durableId="1766922235">
    <w:abstractNumId w:val="4"/>
  </w:num>
  <w:num w:numId="11" w16cid:durableId="441457121">
    <w:abstractNumId w:val="8"/>
  </w:num>
  <w:num w:numId="12" w16cid:durableId="1282759055">
    <w:abstractNumId w:val="8"/>
  </w:num>
  <w:num w:numId="13" w16cid:durableId="2142530964">
    <w:abstractNumId w:val="3"/>
  </w:num>
  <w:num w:numId="14" w16cid:durableId="106782595">
    <w:abstractNumId w:val="3"/>
  </w:num>
  <w:num w:numId="15" w16cid:durableId="434207496">
    <w:abstractNumId w:val="2"/>
  </w:num>
  <w:num w:numId="16" w16cid:durableId="354577364">
    <w:abstractNumId w:val="2"/>
  </w:num>
  <w:num w:numId="17" w16cid:durableId="1794909512">
    <w:abstractNumId w:val="1"/>
  </w:num>
  <w:num w:numId="18" w16cid:durableId="1689136771">
    <w:abstractNumId w:val="1"/>
  </w:num>
  <w:num w:numId="19" w16cid:durableId="2104062371">
    <w:abstractNumId w:val="0"/>
  </w:num>
  <w:num w:numId="20" w16cid:durableId="285745092">
    <w:abstractNumId w:val="0"/>
  </w:num>
  <w:num w:numId="21" w16cid:durableId="701637108">
    <w:abstractNumId w:val="9"/>
  </w:num>
  <w:num w:numId="22" w16cid:durableId="449789711">
    <w:abstractNumId w:val="7"/>
  </w:num>
  <w:num w:numId="23" w16cid:durableId="1557620816">
    <w:abstractNumId w:val="6"/>
  </w:num>
  <w:num w:numId="24" w16cid:durableId="1297569829">
    <w:abstractNumId w:val="5"/>
  </w:num>
  <w:num w:numId="25" w16cid:durableId="400296574">
    <w:abstractNumId w:val="4"/>
  </w:num>
  <w:num w:numId="26" w16cid:durableId="804660820">
    <w:abstractNumId w:val="8"/>
  </w:num>
  <w:num w:numId="27" w16cid:durableId="1916470042">
    <w:abstractNumId w:val="3"/>
  </w:num>
  <w:num w:numId="28" w16cid:durableId="2146241419">
    <w:abstractNumId w:val="2"/>
  </w:num>
  <w:num w:numId="29" w16cid:durableId="596980895">
    <w:abstractNumId w:val="1"/>
  </w:num>
  <w:num w:numId="30" w16cid:durableId="1411076488">
    <w:abstractNumId w:val="0"/>
  </w:num>
  <w:num w:numId="31" w16cid:durableId="1411657578">
    <w:abstractNumId w:val="9"/>
  </w:num>
  <w:num w:numId="32" w16cid:durableId="139002292">
    <w:abstractNumId w:val="7"/>
  </w:num>
  <w:num w:numId="33" w16cid:durableId="671297488">
    <w:abstractNumId w:val="6"/>
  </w:num>
  <w:num w:numId="34" w16cid:durableId="306712558">
    <w:abstractNumId w:val="5"/>
  </w:num>
  <w:num w:numId="35" w16cid:durableId="1798332034">
    <w:abstractNumId w:val="4"/>
  </w:num>
  <w:num w:numId="36" w16cid:durableId="300768688">
    <w:abstractNumId w:val="8"/>
  </w:num>
  <w:num w:numId="37" w16cid:durableId="1739129530">
    <w:abstractNumId w:val="3"/>
  </w:num>
  <w:num w:numId="38" w16cid:durableId="1406681789">
    <w:abstractNumId w:val="2"/>
  </w:num>
  <w:num w:numId="39" w16cid:durableId="1666279686">
    <w:abstractNumId w:val="1"/>
  </w:num>
  <w:num w:numId="40" w16cid:durableId="713890652">
    <w:abstractNumId w:val="0"/>
  </w:num>
  <w:num w:numId="41" w16cid:durableId="1668746455">
    <w:abstractNumId w:val="10"/>
  </w:num>
  <w:num w:numId="42" w16cid:durableId="812411642">
    <w:abstractNumId w:val="10"/>
  </w:num>
  <w:num w:numId="43" w16cid:durableId="18626283">
    <w:abstractNumId w:val="10"/>
  </w:num>
  <w:num w:numId="44" w16cid:durableId="843934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LT"/>
    <w:docVar w:name="dvnumam" w:val="150"/>
    <w:docVar w:name="dvpe" w:val="773.115"/>
    <w:docVar w:name="dvrapporteur" w:val="Pranešėjas: "/>
    <w:docVar w:name="dvstar" w:val="***I"/>
    <w:docVar w:name="dvtitre" w:val="2026 m. ... ... d. Europos Parlamento teisėkūros rezoliucija dėl pasiūlymo dėl Europos Parlamento ir Tarybos reglamento dėl vykdymo užtikrinimo institucijų, atsakingų už Direktyvos (ES) 2019/633 dėl įmonių vienų kitoms taikomos nesąžiningos prekybos praktikos žemės ūkio ir maisto produktų tiekimo grandinėje vykdymo užtikrinimą, bendradarbiavimo(COM(2024)0576 – C10-0208/2024– 2024/0318(COD))"/>
  </w:docVars>
  <w:rsids>
    <w:rsidRoot w:val="00E2722A"/>
    <w:rsid w:val="00002272"/>
    <w:rsid w:val="00064002"/>
    <w:rsid w:val="000677B9"/>
    <w:rsid w:val="000831BA"/>
    <w:rsid w:val="000A42CC"/>
    <w:rsid w:val="000E7DD9"/>
    <w:rsid w:val="000F35CF"/>
    <w:rsid w:val="0010095E"/>
    <w:rsid w:val="00125B37"/>
    <w:rsid w:val="00187494"/>
    <w:rsid w:val="001E1B46"/>
    <w:rsid w:val="001F32AE"/>
    <w:rsid w:val="00221D8C"/>
    <w:rsid w:val="002767FF"/>
    <w:rsid w:val="002B18FE"/>
    <w:rsid w:val="002B5493"/>
    <w:rsid w:val="00343214"/>
    <w:rsid w:val="003554B0"/>
    <w:rsid w:val="00361C00"/>
    <w:rsid w:val="00395FA1"/>
    <w:rsid w:val="003E15D4"/>
    <w:rsid w:val="00411CCE"/>
    <w:rsid w:val="0041666E"/>
    <w:rsid w:val="00421060"/>
    <w:rsid w:val="00444801"/>
    <w:rsid w:val="00471C19"/>
    <w:rsid w:val="00476A3B"/>
    <w:rsid w:val="004867E3"/>
    <w:rsid w:val="00494A28"/>
    <w:rsid w:val="004A05C9"/>
    <w:rsid w:val="004C0004"/>
    <w:rsid w:val="004C5D52"/>
    <w:rsid w:val="0050519A"/>
    <w:rsid w:val="005072A1"/>
    <w:rsid w:val="00511EA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069"/>
    <w:rsid w:val="007D1690"/>
    <w:rsid w:val="007E22AD"/>
    <w:rsid w:val="00811845"/>
    <w:rsid w:val="00817416"/>
    <w:rsid w:val="00834449"/>
    <w:rsid w:val="00842779"/>
    <w:rsid w:val="0084719A"/>
    <w:rsid w:val="00865F67"/>
    <w:rsid w:val="00881A7B"/>
    <w:rsid w:val="008840E5"/>
    <w:rsid w:val="00887B3E"/>
    <w:rsid w:val="0089761E"/>
    <w:rsid w:val="008C2AC6"/>
    <w:rsid w:val="008E15CA"/>
    <w:rsid w:val="00930C23"/>
    <w:rsid w:val="0093193B"/>
    <w:rsid w:val="009509D8"/>
    <w:rsid w:val="00950B64"/>
    <w:rsid w:val="00981893"/>
    <w:rsid w:val="009B56B4"/>
    <w:rsid w:val="009C6EDE"/>
    <w:rsid w:val="00A1687D"/>
    <w:rsid w:val="00A43E52"/>
    <w:rsid w:val="00A4678D"/>
    <w:rsid w:val="00A778C7"/>
    <w:rsid w:val="00A8123B"/>
    <w:rsid w:val="00AB441E"/>
    <w:rsid w:val="00AB6293"/>
    <w:rsid w:val="00AE0928"/>
    <w:rsid w:val="00AF3B82"/>
    <w:rsid w:val="00B0141B"/>
    <w:rsid w:val="00B12E95"/>
    <w:rsid w:val="00B22876"/>
    <w:rsid w:val="00B558F0"/>
    <w:rsid w:val="00B904C6"/>
    <w:rsid w:val="00BC1F0E"/>
    <w:rsid w:val="00BD48FE"/>
    <w:rsid w:val="00BD7BD8"/>
    <w:rsid w:val="00BE6ADC"/>
    <w:rsid w:val="00BF16B8"/>
    <w:rsid w:val="00C05BFE"/>
    <w:rsid w:val="00C23CD4"/>
    <w:rsid w:val="00C61C0C"/>
    <w:rsid w:val="00C941CB"/>
    <w:rsid w:val="00CA2A4A"/>
    <w:rsid w:val="00CA708B"/>
    <w:rsid w:val="00CC2357"/>
    <w:rsid w:val="00CF071A"/>
    <w:rsid w:val="00D0156C"/>
    <w:rsid w:val="00D058B8"/>
    <w:rsid w:val="00D47233"/>
    <w:rsid w:val="00D56C11"/>
    <w:rsid w:val="00D834A0"/>
    <w:rsid w:val="00D872DF"/>
    <w:rsid w:val="00D91E21"/>
    <w:rsid w:val="00DA7FCD"/>
    <w:rsid w:val="00DE024A"/>
    <w:rsid w:val="00E13207"/>
    <w:rsid w:val="00E2722A"/>
    <w:rsid w:val="00E365E1"/>
    <w:rsid w:val="00E820A4"/>
    <w:rsid w:val="00EB006A"/>
    <w:rsid w:val="00EB4772"/>
    <w:rsid w:val="00ED169E"/>
    <w:rsid w:val="00ED4235"/>
    <w:rsid w:val="00F03B70"/>
    <w:rsid w:val="00F04346"/>
    <w:rsid w:val="00F075DC"/>
    <w:rsid w:val="00F149E9"/>
    <w:rsid w:val="00F5134D"/>
    <w:rsid w:val="00F74202"/>
    <w:rsid w:val="00F87713"/>
    <w:rsid w:val="00FB4360"/>
    <w:rsid w:val="00FD0C70"/>
    <w:rsid w:val="00FD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A133B"/>
  <w15:chartTrackingRefBased/>
  <w15:docId w15:val="{764801FE-D8CB-4BAC-B14F-CC1B331C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B706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B706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B706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B706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B706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B7069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7B7069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7B7069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7B7069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7B706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B70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B706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B7069"/>
    <w:pPr>
      <w:spacing w:after="120"/>
    </w:pPr>
  </w:style>
  <w:style w:type="paragraph" w:customStyle="1" w:styleId="PageHeading">
    <w:name w:val="PageHeading"/>
    <w:basedOn w:val="Normal"/>
    <w:rsid w:val="007B70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B7069"/>
    <w:rPr>
      <w:b/>
    </w:rPr>
  </w:style>
  <w:style w:type="character" w:customStyle="1" w:styleId="NormalBoldChar">
    <w:name w:val="NormalBold Char"/>
    <w:link w:val="NormalBold"/>
    <w:locked/>
    <w:rsid w:val="007B7069"/>
    <w:rPr>
      <w:b/>
      <w:sz w:val="24"/>
      <w:lang w:val="lt-LT"/>
    </w:rPr>
  </w:style>
  <w:style w:type="paragraph" w:customStyle="1" w:styleId="NormalBold12a">
    <w:name w:val="NormalBold12a"/>
    <w:basedOn w:val="Normal"/>
    <w:rsid w:val="007B7069"/>
    <w:pPr>
      <w:spacing w:after="240"/>
    </w:pPr>
    <w:rPr>
      <w:b/>
    </w:rPr>
  </w:style>
  <w:style w:type="paragraph" w:customStyle="1" w:styleId="AmJustText">
    <w:name w:val="AmJustText"/>
    <w:basedOn w:val="Normal"/>
    <w:rsid w:val="007B706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B706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B7069"/>
    <w:pPr>
      <w:spacing w:after="480"/>
      <w:ind w:left="1417"/>
    </w:pPr>
  </w:style>
  <w:style w:type="paragraph" w:customStyle="1" w:styleId="CoverNormal">
    <w:name w:val="CoverNormal"/>
    <w:basedOn w:val="Normal"/>
    <w:rsid w:val="007B7069"/>
    <w:pPr>
      <w:ind w:left="1418"/>
    </w:pPr>
  </w:style>
  <w:style w:type="paragraph" w:customStyle="1" w:styleId="AmCrossRef">
    <w:name w:val="AmCrossRef"/>
    <w:basedOn w:val="Normal"/>
    <w:rsid w:val="007B706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B706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B70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B706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B706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B7069"/>
    <w:pPr>
      <w:spacing w:before="240" w:after="1200"/>
    </w:pPr>
  </w:style>
  <w:style w:type="paragraph" w:styleId="Header">
    <w:name w:val="header"/>
    <w:basedOn w:val="Normal"/>
    <w:link w:val="HeaderChar"/>
    <w:rsid w:val="007B70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7069"/>
    <w:rPr>
      <w:sz w:val="24"/>
      <w:lang w:val="lt-LT"/>
    </w:rPr>
  </w:style>
  <w:style w:type="paragraph" w:customStyle="1" w:styleId="AmOrLang">
    <w:name w:val="AmOrLang"/>
    <w:basedOn w:val="Normal"/>
    <w:rsid w:val="007B706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B706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B70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B7069"/>
    <w:pPr>
      <w:spacing w:before="240"/>
    </w:pPr>
    <w:rPr>
      <w:b/>
    </w:rPr>
  </w:style>
  <w:style w:type="paragraph" w:customStyle="1" w:styleId="EPBody">
    <w:name w:val="EPBody"/>
    <w:basedOn w:val="Normal"/>
    <w:rsid w:val="007B706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B70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7069"/>
    <w:pPr>
      <w:spacing w:before="480" w:after="240"/>
    </w:pPr>
  </w:style>
  <w:style w:type="paragraph" w:customStyle="1" w:styleId="Lgendesigne">
    <w:name w:val="Légende signe"/>
    <w:basedOn w:val="Normal"/>
    <w:rsid w:val="007B70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B70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B7069"/>
    <w:rPr>
      <w:sz w:val="18"/>
    </w:rPr>
  </w:style>
  <w:style w:type="paragraph" w:styleId="CommentText">
    <w:name w:val="annotation text"/>
    <w:basedOn w:val="Normal"/>
    <w:link w:val="CommentTextChar"/>
    <w:unhideWhenUsed/>
    <w:rsid w:val="007B7069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7B7069"/>
    <w:rPr>
      <w:rFonts w:asciiTheme="minorHAnsi" w:eastAsiaTheme="minorHAnsi" w:hAnsiTheme="minorHAnsi" w:cstheme="minorBidi"/>
      <w:lang w:val="lt-LT" w:eastAsia="en-US"/>
    </w:rPr>
  </w:style>
  <w:style w:type="character" w:styleId="CommentReference">
    <w:name w:val="annotation reference"/>
    <w:basedOn w:val="DefaultParagraphFont"/>
    <w:unhideWhenUsed/>
    <w:rsid w:val="007B7069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7B70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7069"/>
    <w:rPr>
      <w:rFonts w:ascii="Segoe UI" w:hAnsi="Segoe UI" w:cs="Segoe UI"/>
      <w:sz w:val="18"/>
      <w:szCs w:val="18"/>
      <w:lang w:val="lt-LT"/>
    </w:rPr>
  </w:style>
  <w:style w:type="paragraph" w:styleId="Footer">
    <w:name w:val="footer"/>
    <w:basedOn w:val="Normal"/>
    <w:link w:val="FooterChar"/>
    <w:rsid w:val="007B70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B7069"/>
    <w:rPr>
      <w:sz w:val="24"/>
      <w:lang w:val="lt-LT"/>
    </w:rPr>
  </w:style>
  <w:style w:type="character" w:customStyle="1" w:styleId="Normal12Char">
    <w:name w:val="Normal12 Char"/>
    <w:link w:val="Normal12"/>
    <w:locked/>
    <w:rsid w:val="007B7069"/>
    <w:rPr>
      <w:noProof/>
      <w:sz w:val="24"/>
    </w:rPr>
  </w:style>
  <w:style w:type="paragraph" w:customStyle="1" w:styleId="Normal12">
    <w:name w:val="Normal12"/>
    <w:basedOn w:val="Normal"/>
    <w:link w:val="Normal12Char"/>
    <w:rsid w:val="007B7069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7B7069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7B7069"/>
    <w:pPr>
      <w:spacing w:after="120"/>
    </w:pPr>
  </w:style>
  <w:style w:type="paragraph" w:customStyle="1" w:styleId="Normal12Italic">
    <w:name w:val="Normal12Italic"/>
    <w:basedOn w:val="Normal12"/>
    <w:rsid w:val="007B7069"/>
    <w:rPr>
      <w:i/>
    </w:rPr>
  </w:style>
  <w:style w:type="paragraph" w:customStyle="1" w:styleId="EntPE">
    <w:name w:val="EntPE"/>
    <w:basedOn w:val="Normal12"/>
    <w:rsid w:val="007B7069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7B7069"/>
    <w:pPr>
      <w:spacing w:after="480"/>
    </w:pPr>
  </w:style>
  <w:style w:type="paragraph" w:customStyle="1" w:styleId="NormalBoldCenter">
    <w:name w:val="NormalBoldCenter"/>
    <w:basedOn w:val="Normal"/>
    <w:rsid w:val="007B7069"/>
    <w:pPr>
      <w:jc w:val="center"/>
    </w:pPr>
    <w:rPr>
      <w:b/>
    </w:rPr>
  </w:style>
  <w:style w:type="paragraph" w:customStyle="1" w:styleId="Footprint12b">
    <w:name w:val="Footprint12b"/>
    <w:basedOn w:val="Normal"/>
    <w:rsid w:val="007B706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B7069"/>
    <w:rPr>
      <w:szCs w:val="24"/>
    </w:rPr>
  </w:style>
  <w:style w:type="character" w:styleId="Hyperlink">
    <w:name w:val="Hyperlink"/>
    <w:basedOn w:val="DefaultParagraphFont"/>
    <w:rsid w:val="007B7069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7B70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B706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B7069"/>
    <w:pPr>
      <w:spacing w:before="240" w:after="240"/>
      <w:jc w:val="right"/>
    </w:pPr>
    <w:rPr>
      <w:noProof/>
      <w:szCs w:val="24"/>
    </w:rPr>
  </w:style>
  <w:style w:type="character" w:styleId="FollowedHyperlink">
    <w:name w:val="FollowedHyperlink"/>
    <w:basedOn w:val="DefaultParagraphFont"/>
    <w:rsid w:val="007B7069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B7069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7B7069"/>
    <w:rPr>
      <w:rFonts w:asciiTheme="minorHAnsi" w:eastAsiaTheme="minorHAnsi" w:hAnsiTheme="minorHAnsi" w:cstheme="minorBidi"/>
      <w:b/>
      <w:bCs/>
      <w:lang w:val="lt-LT" w:eastAsia="en-US"/>
    </w:rPr>
  </w:style>
  <w:style w:type="paragraph" w:customStyle="1" w:styleId="Normal12a">
    <w:name w:val="Normal12a"/>
    <w:basedOn w:val="Normal"/>
    <w:rsid w:val="007B7069"/>
    <w:pPr>
      <w:spacing w:after="240"/>
    </w:pPr>
  </w:style>
  <w:style w:type="paragraph" w:customStyle="1" w:styleId="RollCallVotes">
    <w:name w:val="RollCallVotes"/>
    <w:basedOn w:val="Normal"/>
    <w:rsid w:val="007B706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B706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B706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B7069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B7069"/>
    <w:rPr>
      <w:sz w:val="24"/>
      <w:lang w:val="lt-LT"/>
    </w:rPr>
  </w:style>
  <w:style w:type="paragraph" w:customStyle="1" w:styleId="PageHeadingNotTOC">
    <w:name w:val="PageHeadingNotTOC"/>
    <w:basedOn w:val="Normal"/>
    <w:rsid w:val="007B70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B706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7B7069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7B706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B706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B706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B706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B7069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7B7069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7B7069"/>
    <w:pPr>
      <w:spacing w:before="240"/>
      <w:jc w:val="center"/>
    </w:pPr>
    <w:rPr>
      <w:i/>
    </w:rPr>
  </w:style>
  <w:style w:type="character" w:customStyle="1" w:styleId="Footer2Middle">
    <w:name w:val="Footer2Middle"/>
    <w:rsid w:val="007B706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7B7069"/>
    <w:pPr>
      <w:widowControl w:val="0"/>
    </w:pPr>
    <w:rPr>
      <w:sz w:val="24"/>
      <w:szCs w:val="24"/>
      <w:lang w:val="lt-L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B706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B7069"/>
    <w:rPr>
      <w:rFonts w:ascii="Courier New" w:hAnsi="Courier New" w:cs="Courier New"/>
      <w:lang w:val="lt-LT"/>
    </w:rPr>
  </w:style>
  <w:style w:type="character" w:customStyle="1" w:styleId="y2iqfc">
    <w:name w:val="y2iqfc"/>
    <w:basedOn w:val="DefaultParagraphFont"/>
    <w:rsid w:val="007B7069"/>
  </w:style>
  <w:style w:type="paragraph" w:customStyle="1" w:styleId="titrearticle">
    <w:name w:val="titrearticle"/>
    <w:basedOn w:val="Normal"/>
    <w:rsid w:val="007B706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7B7069"/>
    <w:pPr>
      <w:widowControl/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F35CF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511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479/oj" TargetMode="External"/><Relationship Id="rId1" Type="http://schemas.openxmlformats.org/officeDocument/2006/relationships/hyperlink" Target="http://data.europa.eu/eli/C/2025/297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2026-03-23T15:32:00Z</dcterms:created>
  <dcterms:modified xsi:type="dcterms:W3CDTF">2026-03-23T15:32:00Z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