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FA1" w14:paraId="74B86D51" w14:textId="77777777" w:rsidTr="0010095E">
        <w:trPr>
          <w:trHeight w:hRule="exact" w:val="1418"/>
        </w:trPr>
        <w:tc>
          <w:tcPr>
            <w:tcW w:w="6804" w:type="dxa"/>
            <w:shd w:val="clear" w:color="auto" w:fill="auto"/>
            <w:vAlign w:val="center"/>
          </w:tcPr>
          <w:p w14:paraId="377271DC" w14:textId="497AC9A2" w:rsidR="00751A4A" w:rsidRPr="00B93FA1" w:rsidRDefault="009E2E37" w:rsidP="0010095E">
            <w:pPr>
              <w:pStyle w:val="EPName"/>
            </w:pPr>
            <w:r w:rsidRPr="00B93FA1">
              <w:t>Evropský parlament</w:t>
            </w:r>
          </w:p>
          <w:p w14:paraId="3C86DA6A" w14:textId="77777777" w:rsidR="00751A4A" w:rsidRPr="00B93FA1" w:rsidRDefault="005F1B17" w:rsidP="005F1B17">
            <w:pPr>
              <w:pStyle w:val="EPTerm"/>
              <w:rPr>
                <w:rStyle w:val="HideTWBExt"/>
                <w:noProof w:val="0"/>
                <w:vanish w:val="0"/>
                <w:color w:val="auto"/>
              </w:rPr>
            </w:pPr>
            <w:r w:rsidRPr="00B93FA1">
              <w:t>2024</w:t>
            </w:r>
            <w:r w:rsidR="00817416" w:rsidRPr="00B93FA1">
              <w:t>-202</w:t>
            </w:r>
            <w:r w:rsidRPr="00B93FA1">
              <w:t>9</w:t>
            </w:r>
          </w:p>
        </w:tc>
        <w:tc>
          <w:tcPr>
            <w:tcW w:w="2268" w:type="dxa"/>
            <w:shd w:val="clear" w:color="auto" w:fill="auto"/>
          </w:tcPr>
          <w:p w14:paraId="1C75F804" w14:textId="77777777" w:rsidR="00751A4A" w:rsidRPr="00B93FA1" w:rsidRDefault="00187494" w:rsidP="0010095E">
            <w:pPr>
              <w:pStyle w:val="EPLogo"/>
            </w:pPr>
            <w:r w:rsidRPr="00B93FA1">
              <w:rPr>
                <w:noProof/>
                <w:lang w:eastAsia="ja-JP"/>
              </w:rPr>
              <w:drawing>
                <wp:inline distT="0" distB="0" distL="0" distR="0" wp14:anchorId="53C6E799" wp14:editId="10AFC0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46C1A6" w14:textId="77777777" w:rsidR="00D058B8" w:rsidRPr="00B93FA1" w:rsidRDefault="00D058B8" w:rsidP="004C5D52">
      <w:pPr>
        <w:pStyle w:val="LineTop"/>
      </w:pPr>
    </w:p>
    <w:p w14:paraId="4F7FD5A5" w14:textId="49AC6369" w:rsidR="00680577" w:rsidRPr="00B93FA1" w:rsidRDefault="009E2E37" w:rsidP="00680577">
      <w:pPr>
        <w:pStyle w:val="EPBodyTA1"/>
      </w:pPr>
      <w:r w:rsidRPr="00B93FA1">
        <w:t>PŘIJATÉ TEXTY</w:t>
      </w:r>
    </w:p>
    <w:p w14:paraId="7633FAB2" w14:textId="77777777" w:rsidR="00D058B8" w:rsidRPr="00B93FA1" w:rsidRDefault="00D058B8" w:rsidP="00D058B8">
      <w:pPr>
        <w:pStyle w:val="LineBottom"/>
      </w:pPr>
    </w:p>
    <w:p w14:paraId="606DA42C" w14:textId="018E466D" w:rsidR="009E2E37" w:rsidRPr="00B93FA1" w:rsidRDefault="009E2E37" w:rsidP="009E2E37">
      <w:pPr>
        <w:pStyle w:val="ATHeading1"/>
      </w:pPr>
      <w:bookmarkStart w:id="0" w:name="TANumber"/>
      <w:r w:rsidRPr="00B93FA1">
        <w:t>P10_TA(2026)00</w:t>
      </w:r>
      <w:r w:rsidR="005A1762">
        <w:t>49</w:t>
      </w:r>
      <w:bookmarkEnd w:id="0"/>
    </w:p>
    <w:p w14:paraId="6B6A1881" w14:textId="77777777" w:rsidR="009E2E37" w:rsidRPr="00B93FA1" w:rsidRDefault="009E2E37" w:rsidP="009E2E37">
      <w:pPr>
        <w:pStyle w:val="ATHeading2"/>
      </w:pPr>
      <w:bookmarkStart w:id="1" w:name="title"/>
      <w:r w:rsidRPr="00B93FA1">
        <w:t>Vypracování nové strategie EU pro boj proti chudobě</w:t>
      </w:r>
      <w:bookmarkEnd w:id="1"/>
    </w:p>
    <w:p w14:paraId="20875069" w14:textId="77777777" w:rsidR="009E2E37" w:rsidRPr="00B93FA1" w:rsidRDefault="009E2E37" w:rsidP="009E2E37">
      <w:pPr>
        <w:rPr>
          <w:i/>
          <w:vanish/>
        </w:rPr>
      </w:pPr>
      <w:r w:rsidRPr="00B93FA1">
        <w:rPr>
          <w:i/>
        </w:rPr>
        <w:fldChar w:fldCharType="begin"/>
      </w:r>
      <w:r w:rsidRPr="00B93FA1">
        <w:rPr>
          <w:i/>
        </w:rPr>
        <w:instrText xml:space="preserve"> TC"(</w:instrText>
      </w:r>
      <w:bookmarkStart w:id="2" w:name="DocNumber"/>
      <w:r w:rsidRPr="00B93FA1">
        <w:rPr>
          <w:i/>
        </w:rPr>
        <w:instrText>A10-0260/2025</w:instrText>
      </w:r>
      <w:bookmarkEnd w:id="2"/>
      <w:r w:rsidRPr="00B93FA1">
        <w:rPr>
          <w:i/>
        </w:rPr>
        <w:instrText xml:space="preserve"> - Zpravodaj: João Oliveira)"\l3 \n&gt; \* MERGEFORMAT </w:instrText>
      </w:r>
      <w:r w:rsidRPr="00B93FA1">
        <w:rPr>
          <w:i/>
        </w:rPr>
        <w:fldChar w:fldCharType="end"/>
      </w:r>
    </w:p>
    <w:p w14:paraId="2FC2C324" w14:textId="77777777" w:rsidR="009E2E37" w:rsidRPr="00B93FA1" w:rsidRDefault="009E2E37" w:rsidP="009E2E37">
      <w:pPr>
        <w:rPr>
          <w:vanish/>
        </w:rPr>
      </w:pPr>
      <w:bookmarkStart w:id="3" w:name="Commission"/>
      <w:r w:rsidRPr="00B93FA1">
        <w:rPr>
          <w:vanish/>
        </w:rPr>
        <w:t>Výbor pro zaměstnanost a sociální věci</w:t>
      </w:r>
      <w:bookmarkEnd w:id="3"/>
    </w:p>
    <w:p w14:paraId="553075DA" w14:textId="77777777" w:rsidR="009E2E37" w:rsidRPr="00B93FA1" w:rsidRDefault="009E2E37" w:rsidP="009E2E37">
      <w:pPr>
        <w:rPr>
          <w:vanish/>
        </w:rPr>
      </w:pPr>
      <w:bookmarkStart w:id="4" w:name="PE"/>
      <w:r w:rsidRPr="00B93FA1">
        <w:rPr>
          <w:vanish/>
        </w:rPr>
        <w:t>PE774.256</w:t>
      </w:r>
      <w:bookmarkEnd w:id="4"/>
    </w:p>
    <w:p w14:paraId="58586A5D" w14:textId="77777777" w:rsidR="009E2E37" w:rsidRPr="00B93FA1" w:rsidRDefault="009E2E37" w:rsidP="009E2E37">
      <w:pPr>
        <w:pStyle w:val="ATHeading3"/>
      </w:pPr>
      <w:bookmarkStart w:id="5" w:name="Sujet"/>
      <w:r w:rsidRPr="00B93FA1">
        <w:t>Usnesení Evropského parlamentu ze dne 12. února 2026 o vypracování nové strategie EU pro boj proti chudobě</w:t>
      </w:r>
      <w:bookmarkEnd w:id="5"/>
      <w:r w:rsidRPr="00B93FA1">
        <w:t xml:space="preserve"> </w:t>
      </w:r>
      <w:bookmarkStart w:id="6" w:name="References"/>
      <w:r w:rsidRPr="00B93FA1">
        <w:t>(2025/2095(INI))</w:t>
      </w:r>
      <w:bookmarkEnd w:id="6"/>
    </w:p>
    <w:p w14:paraId="0EF79A3D" w14:textId="77777777" w:rsidR="002C52D3" w:rsidRPr="00B93FA1" w:rsidRDefault="002C52D3" w:rsidP="002C52D3">
      <w:pPr>
        <w:pStyle w:val="EPComma"/>
        <w:rPr>
          <w:szCs w:val="24"/>
        </w:rPr>
      </w:pPr>
      <w:r w:rsidRPr="00B93FA1">
        <w:rPr>
          <w:i/>
        </w:rPr>
        <w:t>Evropský parlament,</w:t>
      </w:r>
    </w:p>
    <w:p w14:paraId="4BE4D241" w14:textId="77777777" w:rsidR="002C52D3" w:rsidRPr="00B93FA1" w:rsidRDefault="002C52D3" w:rsidP="00B93FA1">
      <w:pPr>
        <w:pStyle w:val="NormalHanging12a"/>
        <w:rPr>
          <w:b/>
          <w:i/>
          <w:szCs w:val="24"/>
        </w:rPr>
      </w:pPr>
      <w:r w:rsidRPr="00B93FA1">
        <w:rPr>
          <w:b/>
          <w:i/>
        </w:rPr>
        <w:t>–</w:t>
      </w:r>
      <w:r w:rsidRPr="00B93FA1">
        <w:rPr>
          <w:b/>
          <w:i/>
        </w:rPr>
        <w:tab/>
      </w:r>
      <w:r w:rsidRPr="00B93FA1">
        <w:t>s ohledem na článek</w:t>
      </w:r>
      <w:r w:rsidRPr="00B93FA1">
        <w:rPr>
          <w:szCs w:val="24"/>
        </w:rPr>
        <w:t> 2 a čl. 3 odst. 3 Smlouvy o Evropské unii,</w:t>
      </w:r>
    </w:p>
    <w:p w14:paraId="2462D504" w14:textId="77777777" w:rsidR="002C52D3" w:rsidRPr="00B93FA1" w:rsidRDefault="002C52D3" w:rsidP="00B93FA1">
      <w:pPr>
        <w:pStyle w:val="NormalHanging12a"/>
        <w:rPr>
          <w:bCs/>
          <w:iCs/>
          <w:szCs w:val="24"/>
        </w:rPr>
      </w:pPr>
      <w:r w:rsidRPr="00B93FA1">
        <w:rPr>
          <w:b/>
          <w:i/>
          <w:szCs w:val="24"/>
        </w:rPr>
        <w:t>–</w:t>
      </w:r>
      <w:r w:rsidRPr="00B93FA1">
        <w:rPr>
          <w:b/>
          <w:i/>
          <w:szCs w:val="24"/>
        </w:rPr>
        <w:tab/>
      </w:r>
      <w:r w:rsidRPr="00B93FA1">
        <w:rPr>
          <w:szCs w:val="24"/>
        </w:rPr>
        <w:t>s ohledem na články 145 až 161 Smlouvy o fungování Evropské unie,</w:t>
      </w:r>
    </w:p>
    <w:p w14:paraId="7E92C647" w14:textId="77777777" w:rsidR="002C52D3" w:rsidRPr="00B93FA1" w:rsidRDefault="002C52D3" w:rsidP="00B93FA1">
      <w:pPr>
        <w:pStyle w:val="NormalHanging12a"/>
        <w:rPr>
          <w:szCs w:val="24"/>
        </w:rPr>
      </w:pPr>
      <w:r w:rsidRPr="00B93FA1">
        <w:rPr>
          <w:rStyle w:val="doceo-font-family-base"/>
          <w:szCs w:val="24"/>
          <w:shd w:val="clear" w:color="auto" w:fill="FFFFFF"/>
        </w:rPr>
        <w:t>–</w:t>
      </w:r>
      <w:r w:rsidRPr="00B93FA1">
        <w:rPr>
          <w:rStyle w:val="doceo-font-family-base"/>
          <w:szCs w:val="24"/>
          <w:shd w:val="clear" w:color="auto" w:fill="FFFFFF"/>
        </w:rPr>
        <w:tab/>
      </w:r>
      <w:r w:rsidRPr="00B93FA1">
        <w:rPr>
          <w:szCs w:val="24"/>
        </w:rPr>
        <w:t>s ohledem na Listinu základních práv Evropské unie,</w:t>
      </w:r>
    </w:p>
    <w:p w14:paraId="5FCD8B1A" w14:textId="77777777" w:rsidR="002C52D3" w:rsidRPr="00B93FA1" w:rsidRDefault="002C52D3" w:rsidP="00B93FA1">
      <w:pPr>
        <w:pStyle w:val="NormalHanging12a"/>
        <w:rPr>
          <w:szCs w:val="24"/>
        </w:rPr>
      </w:pPr>
      <w:r w:rsidRPr="00B93FA1">
        <w:rPr>
          <w:szCs w:val="24"/>
        </w:rPr>
        <w:t>–</w:t>
      </w:r>
      <w:r w:rsidRPr="00B93FA1">
        <w:rPr>
          <w:szCs w:val="24"/>
        </w:rPr>
        <w:tab/>
        <w:t>s ohledem na evropský pilíř sociálních práv a jeho akční plán, s jeho cíli do roku 2030 a srovnávacím přehledem sociálních ukazatelů EU a jeho hlavními a druhotnými ukazateli,</w:t>
      </w:r>
    </w:p>
    <w:p w14:paraId="6B5E4147" w14:textId="77777777" w:rsidR="002C52D3" w:rsidRPr="00B93FA1" w:rsidRDefault="002C52D3" w:rsidP="00B93FA1">
      <w:pPr>
        <w:pStyle w:val="NormalHanging12a"/>
        <w:rPr>
          <w:szCs w:val="24"/>
        </w:rPr>
      </w:pPr>
      <w:r w:rsidRPr="00B93FA1">
        <w:rPr>
          <w:szCs w:val="24"/>
        </w:rPr>
        <w:t>–</w:t>
      </w:r>
      <w:r w:rsidRPr="00B93FA1">
        <w:rPr>
          <w:szCs w:val="24"/>
        </w:rPr>
        <w:tab/>
        <w:t xml:space="preserve">s ohledem na Portské prohlášení ze dne 8. května 2021, obnovené závazky ze Sociálního fóra v Portu 2023 a na prohlášení z La </w:t>
      </w:r>
      <w:proofErr w:type="spellStart"/>
      <w:r w:rsidRPr="00B93FA1">
        <w:rPr>
          <w:szCs w:val="24"/>
        </w:rPr>
        <w:t>Hulpe</w:t>
      </w:r>
      <w:proofErr w:type="spellEnd"/>
      <w:r w:rsidRPr="00B93FA1">
        <w:rPr>
          <w:szCs w:val="24"/>
        </w:rPr>
        <w:t xml:space="preserve"> ze dne 16. dubna 2024,</w:t>
      </w:r>
    </w:p>
    <w:p w14:paraId="19FB4305" w14:textId="77777777" w:rsidR="002C52D3" w:rsidRPr="00B93FA1" w:rsidRDefault="002C52D3" w:rsidP="00B93FA1">
      <w:pPr>
        <w:pStyle w:val="NormalHanging12a"/>
        <w:rPr>
          <w:szCs w:val="24"/>
        </w:rPr>
      </w:pPr>
      <w:r w:rsidRPr="00B93FA1">
        <w:rPr>
          <w:szCs w:val="24"/>
        </w:rPr>
        <w:t>–</w:t>
      </w:r>
      <w:r w:rsidRPr="00B93FA1">
        <w:rPr>
          <w:szCs w:val="24"/>
        </w:rPr>
        <w:tab/>
        <w:t>s ohledem na cíle udržitelného rozvoje Agendy OSN pro udržitelný rozvoj 2030 přijaté v New Yorku v září 2015,</w:t>
      </w:r>
    </w:p>
    <w:p w14:paraId="5746E4F7" w14:textId="0EBA9925"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zprávu o udržitelném rozvoji z roku 2025</w:t>
      </w:r>
      <w:r w:rsidRPr="00B93FA1">
        <w:rPr>
          <w:rStyle w:val="FootnoteReference"/>
          <w:bCs/>
          <w:iCs/>
          <w:szCs w:val="24"/>
        </w:rPr>
        <w:footnoteReference w:id="1"/>
      </w:r>
      <w:r w:rsidRPr="00B93FA1">
        <w:rPr>
          <w:szCs w:val="24"/>
        </w:rPr>
        <w:t>, která byla zveřejněna dne 24.</w:t>
      </w:r>
      <w:r w:rsidR="003E1F3A" w:rsidRPr="00B93FA1">
        <w:rPr>
          <w:szCs w:val="24"/>
        </w:rPr>
        <w:t> </w:t>
      </w:r>
      <w:r w:rsidRPr="00B93FA1">
        <w:rPr>
          <w:szCs w:val="24"/>
        </w:rPr>
        <w:t>června 2025,</w:t>
      </w:r>
    </w:p>
    <w:p w14:paraId="55CAC2E0" w14:textId="77777777" w:rsidR="002C52D3" w:rsidRPr="00B93FA1" w:rsidRDefault="002C52D3" w:rsidP="00B93FA1">
      <w:pPr>
        <w:pStyle w:val="NormalHanging12a"/>
        <w:rPr>
          <w:bCs/>
          <w:iCs/>
          <w:szCs w:val="24"/>
        </w:rPr>
      </w:pPr>
      <w:r w:rsidRPr="00B93FA1">
        <w:rPr>
          <w:b/>
          <w:i/>
          <w:szCs w:val="24"/>
        </w:rPr>
        <w:t>–</w:t>
      </w:r>
      <w:r w:rsidRPr="00B93FA1">
        <w:rPr>
          <w:b/>
          <w:i/>
          <w:szCs w:val="24"/>
        </w:rPr>
        <w:tab/>
      </w:r>
      <w:r w:rsidRPr="00B93FA1">
        <w:rPr>
          <w:szCs w:val="24"/>
        </w:rPr>
        <w:t>s ohledem na Úmluvu OSN o odstranění všech forem diskriminace žen, která byla přijata v roce 1979,</w:t>
      </w:r>
    </w:p>
    <w:p w14:paraId="5EA301D6"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Úmluvu Rady Evropy o prevenci a potírání násilí vůči ženám a domácího násilí („Istanbulská úmluva“) přijatou dne 11. května 2011,</w:t>
      </w:r>
    </w:p>
    <w:p w14:paraId="2E8A4F40" w14:textId="77777777" w:rsidR="002C52D3" w:rsidRPr="00B93FA1" w:rsidRDefault="002C52D3" w:rsidP="00B93FA1">
      <w:pPr>
        <w:pStyle w:val="NormalHanging12a"/>
        <w:rPr>
          <w:szCs w:val="24"/>
        </w:rPr>
      </w:pPr>
      <w:r w:rsidRPr="00B93FA1">
        <w:rPr>
          <w:szCs w:val="24"/>
        </w:rPr>
        <w:t>–</w:t>
      </w:r>
      <w:r w:rsidRPr="00B93FA1">
        <w:rPr>
          <w:szCs w:val="24"/>
        </w:rPr>
        <w:tab/>
        <w:t>s ohledem na Mezinárodní pakt OSN o hospodářských, sociálních a kulturních právech přijatý v New Yorku dne 16. prosince 1966,</w:t>
      </w:r>
    </w:p>
    <w:p w14:paraId="0B0F224B" w14:textId="77777777" w:rsidR="002C52D3" w:rsidRPr="00B93FA1" w:rsidRDefault="002C52D3" w:rsidP="00B93FA1">
      <w:pPr>
        <w:pStyle w:val="NormalHanging12a"/>
        <w:rPr>
          <w:szCs w:val="24"/>
        </w:rPr>
      </w:pPr>
      <w:r w:rsidRPr="00B93FA1">
        <w:rPr>
          <w:szCs w:val="24"/>
        </w:rPr>
        <w:t>–</w:t>
      </w:r>
      <w:r w:rsidRPr="00B93FA1">
        <w:rPr>
          <w:szCs w:val="24"/>
        </w:rPr>
        <w:tab/>
        <w:t xml:space="preserve">s ohledem na Úmluvu OSN o právech dítěte přijatou v New Yorku dne 20. listopadu </w:t>
      </w:r>
      <w:r w:rsidRPr="00B93FA1">
        <w:rPr>
          <w:szCs w:val="24"/>
        </w:rPr>
        <w:lastRenderedPageBreak/>
        <w:t>1989 a obecné připomínky Výboru OSN pro práva dítěte,</w:t>
      </w:r>
    </w:p>
    <w:p w14:paraId="5EA35B21" w14:textId="77777777" w:rsidR="002C52D3" w:rsidRPr="00B93FA1" w:rsidRDefault="002C52D3" w:rsidP="00B93FA1">
      <w:pPr>
        <w:pStyle w:val="NormalHanging12a"/>
        <w:rPr>
          <w:szCs w:val="24"/>
        </w:rPr>
      </w:pPr>
      <w:r w:rsidRPr="00B93FA1">
        <w:rPr>
          <w:szCs w:val="24"/>
        </w:rPr>
        <w:t>–</w:t>
      </w:r>
      <w:r w:rsidRPr="00B93FA1">
        <w:rPr>
          <w:szCs w:val="24"/>
        </w:rPr>
        <w:tab/>
        <w:t>s ohledem na Úmluvu OSN o právech osob se zdravotním postižením přijatou v New Yorku dne 12. prosince 2006,</w:t>
      </w:r>
    </w:p>
    <w:p w14:paraId="3BEBF08F" w14:textId="77777777" w:rsidR="002C52D3" w:rsidRPr="00B93FA1" w:rsidRDefault="002C52D3" w:rsidP="00B93FA1">
      <w:pPr>
        <w:pStyle w:val="NormalHanging12a"/>
        <w:rPr>
          <w:szCs w:val="24"/>
        </w:rPr>
      </w:pPr>
      <w:r w:rsidRPr="00B93FA1">
        <w:rPr>
          <w:szCs w:val="24"/>
        </w:rPr>
        <w:t>–</w:t>
      </w:r>
      <w:r w:rsidRPr="00B93FA1">
        <w:rPr>
          <w:szCs w:val="24"/>
        </w:rPr>
        <w:tab/>
        <w:t>s ohledem na rezoluci Valného shromáždění OSN ze dne 18. prosince 2019 o právech dítěte,</w:t>
      </w:r>
    </w:p>
    <w:p w14:paraId="6578632E"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úmluvy Mezinárodní organizace práce, včetně úmluvy č. 102 o sociálním zabezpečení (minimální standardy), úmluvy č. 111 o diskriminaci v zaměstnání a povolání a úmluvy č. 189 o důstojné práci pro pracovníky v cizí domácnosti,</w:t>
      </w:r>
    </w:p>
    <w:p w14:paraId="5681D59E" w14:textId="77777777" w:rsidR="002C52D3" w:rsidRPr="00B93FA1" w:rsidRDefault="002C52D3" w:rsidP="00B93FA1">
      <w:pPr>
        <w:pStyle w:val="NormalHanging12a"/>
        <w:rPr>
          <w:szCs w:val="24"/>
        </w:rPr>
      </w:pPr>
      <w:r w:rsidRPr="00B93FA1">
        <w:rPr>
          <w:szCs w:val="24"/>
        </w:rPr>
        <w:t>–</w:t>
      </w:r>
      <w:r w:rsidRPr="00B93FA1">
        <w:rPr>
          <w:szCs w:val="24"/>
        </w:rPr>
        <w:tab/>
        <w:t>s ohledem na Evropskou sociální chartu přijatou v Turíně v roce 1961,</w:t>
      </w:r>
    </w:p>
    <w:p w14:paraId="4DECFC8B" w14:textId="77777777" w:rsidR="002C52D3" w:rsidRPr="00B93FA1" w:rsidRDefault="002C52D3" w:rsidP="00B93FA1">
      <w:pPr>
        <w:pStyle w:val="NormalHanging12a"/>
        <w:rPr>
          <w:bCs/>
          <w:iCs/>
          <w:szCs w:val="24"/>
        </w:rPr>
      </w:pPr>
      <w:r w:rsidRPr="00B93FA1">
        <w:rPr>
          <w:b/>
          <w:i/>
          <w:szCs w:val="24"/>
        </w:rPr>
        <w:t>–</w:t>
      </w:r>
      <w:r w:rsidRPr="00B93FA1">
        <w:rPr>
          <w:b/>
          <w:i/>
          <w:szCs w:val="24"/>
        </w:rPr>
        <w:tab/>
      </w:r>
      <w:r w:rsidRPr="00B93FA1">
        <w:rPr>
          <w:szCs w:val="24"/>
        </w:rPr>
        <w:t>s ohledem na směrnici Rady 2000/43/ES ze dne 29. června 2000, kterou se zavádí zásada rovného zacházení s osobami bez ohledu na jejich rasu nebo etnický původ</w:t>
      </w:r>
      <w:r w:rsidRPr="00B93FA1">
        <w:rPr>
          <w:rStyle w:val="FootnoteReference"/>
          <w:bCs/>
          <w:iCs/>
          <w:szCs w:val="24"/>
        </w:rPr>
        <w:footnoteReference w:id="2"/>
      </w:r>
      <w:r w:rsidRPr="00B93FA1">
        <w:rPr>
          <w:szCs w:val="24"/>
        </w:rPr>
        <w:t>,</w:t>
      </w:r>
    </w:p>
    <w:p w14:paraId="17A13ACA"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směrnici Rady 2000/78/ES ze dne 27. listopadu 2000, kterou se stanoví obecný rámec pro rovné zacházení v zaměstnání a povolání</w:t>
      </w:r>
      <w:r w:rsidRPr="00B93FA1">
        <w:rPr>
          <w:rStyle w:val="FootnoteReference"/>
          <w:bCs/>
          <w:iCs/>
          <w:szCs w:val="24"/>
        </w:rPr>
        <w:footnoteReference w:id="3"/>
      </w:r>
      <w:r w:rsidRPr="00B93FA1">
        <w:rPr>
          <w:szCs w:val="24"/>
        </w:rPr>
        <w:t>,</w:t>
      </w:r>
    </w:p>
    <w:p w14:paraId="1F590624" w14:textId="2791CD2D" w:rsidR="002C52D3" w:rsidRPr="00B93FA1" w:rsidRDefault="002C52D3" w:rsidP="00B93FA1">
      <w:pPr>
        <w:pStyle w:val="NormalHanging12a"/>
        <w:rPr>
          <w:szCs w:val="24"/>
        </w:rPr>
      </w:pPr>
      <w:r w:rsidRPr="00B93FA1">
        <w:rPr>
          <w:szCs w:val="24"/>
        </w:rPr>
        <w:t>–</w:t>
      </w:r>
      <w:r w:rsidRPr="00B93FA1">
        <w:rPr>
          <w:szCs w:val="24"/>
        </w:rPr>
        <w:tab/>
        <w:t>s ohledem na směrnici Evropského parlamentu a Rady (EU) 2019/1158 ze dne 20.</w:t>
      </w:r>
      <w:r w:rsidR="003E1F3A" w:rsidRPr="00B93FA1">
        <w:rPr>
          <w:szCs w:val="24"/>
        </w:rPr>
        <w:t> </w:t>
      </w:r>
      <w:r w:rsidRPr="00B93FA1">
        <w:rPr>
          <w:szCs w:val="24"/>
        </w:rPr>
        <w:t>června 2019 o rovnováze mezi pracovním a soukromým životem rodičů a pečujících osob a o zrušení směrnice Rady 2010/18/EU</w:t>
      </w:r>
      <w:r w:rsidRPr="00B93FA1">
        <w:rPr>
          <w:rStyle w:val="FootnoteReference"/>
          <w:szCs w:val="24"/>
        </w:rPr>
        <w:footnoteReference w:id="4"/>
      </w:r>
      <w:r w:rsidRPr="00B93FA1">
        <w:rPr>
          <w:szCs w:val="24"/>
        </w:rPr>
        <w:t>,</w:t>
      </w:r>
    </w:p>
    <w:p w14:paraId="354D53BE"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směrnici Evropského parlamentu a Rady (EU) 2022/2041 ze dne 19. října 2022 o přiměřených minimálních mzdách v Evropské unii</w:t>
      </w:r>
      <w:r w:rsidRPr="00B93FA1">
        <w:rPr>
          <w:rStyle w:val="FootnoteReference"/>
          <w:bCs/>
          <w:iCs/>
          <w:szCs w:val="24"/>
        </w:rPr>
        <w:footnoteReference w:id="5"/>
      </w:r>
      <w:r w:rsidRPr="00B93FA1">
        <w:rPr>
          <w:szCs w:val="24"/>
        </w:rPr>
        <w:t>,</w:t>
      </w:r>
    </w:p>
    <w:p w14:paraId="7292707E"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směrnici Evropského parlamentu a Rady (EU) 2023/970 ze dne 10. května 2023, kterou se posiluje uplatňování zásady stejné odměny mužů a žen za stejnou práci nebo práci stejné hodnoty prostřednictvím transparentnosti odměňování a mechanismů prosazování</w:t>
      </w:r>
      <w:r w:rsidRPr="00B93FA1">
        <w:rPr>
          <w:rStyle w:val="FootnoteReference"/>
          <w:bCs/>
          <w:iCs/>
          <w:szCs w:val="24"/>
        </w:rPr>
        <w:footnoteReference w:id="6"/>
      </w:r>
      <w:r w:rsidRPr="00B93FA1">
        <w:rPr>
          <w:szCs w:val="24"/>
        </w:rPr>
        <w:t>,</w:t>
      </w:r>
    </w:p>
    <w:p w14:paraId="76F2951F"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nařízení Evropského parlamentu a Rady (EU) 2023/955 ze dne 10. května 2023, kterým se zřizuje Sociální klimatický fond a mění nařízení (EU) 2021/1060</w:t>
      </w:r>
      <w:r w:rsidRPr="00B93FA1">
        <w:rPr>
          <w:rStyle w:val="FootnoteReference"/>
          <w:bCs/>
          <w:iCs/>
          <w:szCs w:val="24"/>
        </w:rPr>
        <w:footnoteReference w:id="7"/>
      </w:r>
      <w:r w:rsidRPr="00B93FA1">
        <w:rPr>
          <w:szCs w:val="24"/>
        </w:rPr>
        <w:t>,</w:t>
      </w:r>
    </w:p>
    <w:p w14:paraId="534FB022" w14:textId="1F78FBAF"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směrnici Evropského parlamentu a Rady (EU) 2024/1385 ze dne 14.</w:t>
      </w:r>
      <w:r w:rsidR="003E1F3A" w:rsidRPr="00B93FA1">
        <w:rPr>
          <w:szCs w:val="24"/>
        </w:rPr>
        <w:t> </w:t>
      </w:r>
      <w:r w:rsidRPr="00B93FA1">
        <w:rPr>
          <w:szCs w:val="24"/>
        </w:rPr>
        <w:t>května 2024 o potírání násilí na ženách a domácího násilí</w:t>
      </w:r>
      <w:r w:rsidRPr="00B93FA1">
        <w:rPr>
          <w:rStyle w:val="FootnoteReference"/>
          <w:bCs/>
          <w:iCs/>
          <w:szCs w:val="24"/>
        </w:rPr>
        <w:footnoteReference w:id="8"/>
      </w:r>
      <w:r w:rsidRPr="00B93FA1">
        <w:rPr>
          <w:szCs w:val="24"/>
        </w:rPr>
        <w:t>,</w:t>
      </w:r>
    </w:p>
    <w:p w14:paraId="3324FB84" w14:textId="77777777" w:rsidR="002C52D3" w:rsidRPr="00B93FA1" w:rsidRDefault="002C52D3" w:rsidP="00B93FA1">
      <w:pPr>
        <w:pStyle w:val="NormalHanging12a"/>
        <w:rPr>
          <w:bCs/>
          <w:iCs/>
          <w:szCs w:val="24"/>
        </w:rPr>
      </w:pPr>
      <w:r w:rsidRPr="00B93FA1">
        <w:rPr>
          <w:b/>
          <w:i/>
          <w:szCs w:val="24"/>
        </w:rPr>
        <w:t>–</w:t>
      </w:r>
      <w:r w:rsidRPr="00B93FA1">
        <w:rPr>
          <w:b/>
          <w:i/>
          <w:szCs w:val="24"/>
        </w:rPr>
        <w:tab/>
      </w:r>
      <w:r w:rsidRPr="00B93FA1">
        <w:rPr>
          <w:szCs w:val="24"/>
        </w:rPr>
        <w:t>s ohledem na sdělení Komise ze dne 7. března 2025 nazvané „Plán pro práva žen“ (COM(2025)0097),</w:t>
      </w:r>
    </w:p>
    <w:p w14:paraId="2CD1D7C3" w14:textId="77777777" w:rsidR="002C52D3" w:rsidRPr="00B93FA1" w:rsidRDefault="002C52D3" w:rsidP="00B93FA1">
      <w:pPr>
        <w:pStyle w:val="NormalHanging12a"/>
        <w:rPr>
          <w:bCs/>
          <w:iCs/>
          <w:szCs w:val="24"/>
        </w:rPr>
      </w:pPr>
      <w:r w:rsidRPr="00B93FA1">
        <w:rPr>
          <w:b/>
          <w:i/>
          <w:szCs w:val="24"/>
        </w:rPr>
        <w:t>–</w:t>
      </w:r>
      <w:r w:rsidRPr="00B93FA1">
        <w:rPr>
          <w:b/>
          <w:i/>
          <w:szCs w:val="24"/>
        </w:rPr>
        <w:tab/>
      </w:r>
      <w:r w:rsidRPr="00B93FA1">
        <w:rPr>
          <w:szCs w:val="24"/>
        </w:rPr>
        <w:t>s ohledem na své usnesení ze dne 30. ledna 2020 o rozdílech v odměňování žen a mužů</w:t>
      </w:r>
      <w:r w:rsidRPr="00B93FA1">
        <w:rPr>
          <w:rStyle w:val="FootnoteReference"/>
          <w:bCs/>
          <w:iCs/>
          <w:szCs w:val="24"/>
        </w:rPr>
        <w:footnoteReference w:id="9"/>
      </w:r>
      <w:r w:rsidRPr="00B93FA1">
        <w:rPr>
          <w:szCs w:val="24"/>
        </w:rPr>
        <w:t>,</w:t>
      </w:r>
    </w:p>
    <w:p w14:paraId="094F2165" w14:textId="77777777" w:rsidR="002C52D3" w:rsidRPr="00B93FA1" w:rsidRDefault="002C52D3" w:rsidP="00B93FA1">
      <w:pPr>
        <w:pStyle w:val="NormalHanging12a"/>
        <w:rPr>
          <w:szCs w:val="24"/>
        </w:rPr>
      </w:pPr>
      <w:r w:rsidRPr="00B93FA1">
        <w:rPr>
          <w:szCs w:val="24"/>
        </w:rPr>
        <w:lastRenderedPageBreak/>
        <w:t>–</w:t>
      </w:r>
      <w:r w:rsidRPr="00B93FA1">
        <w:rPr>
          <w:szCs w:val="24"/>
        </w:rPr>
        <w:tab/>
        <w:t>s ohledem na své usnesení ze dne 21. ledna 2021 o přístupu k důstojnému a dostupnému bydlení pro všechny</w:t>
      </w:r>
      <w:r w:rsidRPr="00B93FA1">
        <w:rPr>
          <w:rStyle w:val="FootnoteReference"/>
          <w:szCs w:val="24"/>
        </w:rPr>
        <w:footnoteReference w:id="10"/>
      </w:r>
      <w:r w:rsidRPr="00B93FA1">
        <w:rPr>
          <w:szCs w:val="24"/>
        </w:rPr>
        <w:t>,</w:t>
      </w:r>
    </w:p>
    <w:p w14:paraId="3BC0D318" w14:textId="77777777" w:rsidR="002C52D3" w:rsidRPr="00B93FA1" w:rsidRDefault="002C52D3" w:rsidP="00B93FA1">
      <w:pPr>
        <w:pStyle w:val="NormalHanging12a"/>
        <w:rPr>
          <w:szCs w:val="24"/>
        </w:rPr>
      </w:pPr>
      <w:r w:rsidRPr="00B93FA1">
        <w:rPr>
          <w:szCs w:val="24"/>
        </w:rPr>
        <w:t>–</w:t>
      </w:r>
      <w:r w:rsidRPr="00B93FA1">
        <w:rPr>
          <w:szCs w:val="24"/>
        </w:rPr>
        <w:tab/>
        <w:t>s ohledem na své usnesení ze dne 10. února 2021 o snižování nerovností se zvláštním zaměřením na chudobu pracujících</w:t>
      </w:r>
      <w:r w:rsidRPr="00B93FA1">
        <w:rPr>
          <w:rStyle w:val="FootnoteReference"/>
          <w:szCs w:val="24"/>
        </w:rPr>
        <w:footnoteReference w:id="11"/>
      </w:r>
      <w:r w:rsidRPr="00B93FA1">
        <w:rPr>
          <w:szCs w:val="24"/>
        </w:rPr>
        <w:t>,</w:t>
      </w:r>
    </w:p>
    <w:p w14:paraId="6F6F0A6B" w14:textId="77777777" w:rsidR="002C52D3" w:rsidRPr="00B93FA1" w:rsidRDefault="002C52D3" w:rsidP="00B93FA1">
      <w:pPr>
        <w:pStyle w:val="NormalHanging12a"/>
        <w:rPr>
          <w:bCs/>
          <w:iCs/>
          <w:szCs w:val="24"/>
        </w:rPr>
      </w:pPr>
      <w:r w:rsidRPr="00B93FA1">
        <w:rPr>
          <w:b/>
          <w:i/>
          <w:szCs w:val="24"/>
        </w:rPr>
        <w:t>–</w:t>
      </w:r>
      <w:r w:rsidRPr="00B93FA1">
        <w:rPr>
          <w:b/>
          <w:i/>
          <w:szCs w:val="24"/>
        </w:rPr>
        <w:tab/>
      </w:r>
      <w:r w:rsidRPr="00B93FA1">
        <w:rPr>
          <w:szCs w:val="24"/>
        </w:rPr>
        <w:t>s ohledem na své usnesení ze dne 11. března 2021 o právech dítěte s ohledem na strategii EU pro práva dítěte</w:t>
      </w:r>
      <w:r w:rsidRPr="00B93FA1">
        <w:rPr>
          <w:rStyle w:val="FootnoteReference"/>
          <w:bCs/>
          <w:iCs/>
          <w:szCs w:val="24"/>
        </w:rPr>
        <w:footnoteReference w:id="12"/>
      </w:r>
      <w:r w:rsidRPr="00B93FA1">
        <w:rPr>
          <w:szCs w:val="24"/>
        </w:rPr>
        <w:t>,</w:t>
      </w:r>
    </w:p>
    <w:p w14:paraId="11EFAEBF" w14:textId="77777777" w:rsidR="002C52D3" w:rsidRPr="00B93FA1" w:rsidRDefault="002C52D3" w:rsidP="00B93FA1">
      <w:pPr>
        <w:pStyle w:val="NormalHanging12a"/>
        <w:rPr>
          <w:szCs w:val="24"/>
        </w:rPr>
      </w:pPr>
      <w:r w:rsidRPr="00B93FA1">
        <w:rPr>
          <w:szCs w:val="24"/>
        </w:rPr>
        <w:t>–</w:t>
      </w:r>
      <w:r w:rsidRPr="00B93FA1">
        <w:rPr>
          <w:szCs w:val="24"/>
        </w:rPr>
        <w:tab/>
        <w:t>s ohledem na své usnesení ze dne 29. dubna 2021 o Evropské záruce pro děti</w:t>
      </w:r>
      <w:r w:rsidRPr="00B93FA1">
        <w:rPr>
          <w:rStyle w:val="FootnoteReference"/>
          <w:szCs w:val="24"/>
        </w:rPr>
        <w:footnoteReference w:id="13"/>
      </w:r>
      <w:r w:rsidRPr="00B93FA1">
        <w:rPr>
          <w:szCs w:val="24"/>
        </w:rPr>
        <w:t>,</w:t>
      </w:r>
    </w:p>
    <w:p w14:paraId="330FA33D" w14:textId="77777777" w:rsidR="002C52D3" w:rsidRPr="00B93FA1" w:rsidRDefault="002C52D3" w:rsidP="00B93FA1">
      <w:pPr>
        <w:pStyle w:val="NormalHanging12a"/>
        <w:rPr>
          <w:bCs/>
          <w:iCs/>
          <w:szCs w:val="24"/>
        </w:rPr>
      </w:pPr>
      <w:r w:rsidRPr="00B93FA1">
        <w:rPr>
          <w:b/>
          <w:i/>
          <w:szCs w:val="24"/>
        </w:rPr>
        <w:t>–</w:t>
      </w:r>
      <w:r w:rsidRPr="00B93FA1">
        <w:rPr>
          <w:b/>
          <w:i/>
          <w:szCs w:val="24"/>
        </w:rPr>
        <w:tab/>
      </w:r>
      <w:r w:rsidRPr="00B93FA1">
        <w:rPr>
          <w:szCs w:val="24"/>
        </w:rPr>
        <w:t>s ohledem na své usnesení ze dne 5. července 2022 o chudobě žen v Evropě</w:t>
      </w:r>
      <w:r w:rsidRPr="00B93FA1">
        <w:rPr>
          <w:rStyle w:val="FootnoteReference"/>
          <w:bCs/>
          <w:iCs/>
          <w:szCs w:val="24"/>
        </w:rPr>
        <w:footnoteReference w:id="14"/>
      </w:r>
      <w:r w:rsidRPr="00B93FA1">
        <w:rPr>
          <w:szCs w:val="24"/>
        </w:rPr>
        <w:t>,</w:t>
      </w:r>
    </w:p>
    <w:p w14:paraId="79F62A6E"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své usnesení ze dne 5. října 2022 o situaci Romů žijících v osadách v EU</w:t>
      </w:r>
      <w:r w:rsidRPr="00B93FA1">
        <w:rPr>
          <w:rStyle w:val="FootnoteReference"/>
          <w:bCs/>
          <w:iCs/>
          <w:szCs w:val="24"/>
        </w:rPr>
        <w:footnoteReference w:id="15"/>
      </w:r>
      <w:r w:rsidRPr="00B93FA1">
        <w:rPr>
          <w:szCs w:val="24"/>
        </w:rPr>
        <w:t>,</w:t>
      </w:r>
    </w:p>
    <w:p w14:paraId="73C6C4E7"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své usnesení ze dne 15. března 2023 o přiměřeném minimálním příjmu zajišťujícím aktivní začlenění</w:t>
      </w:r>
      <w:r w:rsidRPr="00B93FA1">
        <w:rPr>
          <w:rStyle w:val="FootnoteReference"/>
          <w:bCs/>
          <w:iCs/>
          <w:szCs w:val="24"/>
        </w:rPr>
        <w:footnoteReference w:id="16"/>
      </w:r>
      <w:r w:rsidRPr="00B93FA1">
        <w:rPr>
          <w:szCs w:val="24"/>
        </w:rPr>
        <w:t>,</w:t>
      </w:r>
    </w:p>
    <w:p w14:paraId="2B7CD75E"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své usnesení ze dne 9. května 2023 o provádění projektu „Ovoce, zelenina, mléko a mléčné výrobky do škol“ podle nařízení o společné organizaci trhů</w:t>
      </w:r>
      <w:r w:rsidRPr="00B93FA1">
        <w:rPr>
          <w:rStyle w:val="FootnoteReference"/>
          <w:bCs/>
          <w:iCs/>
          <w:szCs w:val="24"/>
        </w:rPr>
        <w:footnoteReference w:id="17"/>
      </w:r>
      <w:r w:rsidRPr="00B93FA1">
        <w:rPr>
          <w:szCs w:val="24"/>
        </w:rPr>
        <w:t>,</w:t>
      </w:r>
    </w:p>
    <w:p w14:paraId="6F5EF7F4" w14:textId="77777777" w:rsidR="002C52D3" w:rsidRPr="00B93FA1" w:rsidRDefault="002C52D3" w:rsidP="00B93FA1">
      <w:pPr>
        <w:pStyle w:val="NormalHanging12a"/>
        <w:rPr>
          <w:szCs w:val="24"/>
        </w:rPr>
      </w:pPr>
      <w:r w:rsidRPr="00B93FA1">
        <w:rPr>
          <w:szCs w:val="24"/>
        </w:rPr>
        <w:t>–</w:t>
      </w:r>
      <w:r w:rsidRPr="00B93FA1">
        <w:rPr>
          <w:szCs w:val="24"/>
        </w:rPr>
        <w:tab/>
        <w:t>s ohledem na své usnesení ze dne 21. listopadu 2023 o snižování nerovností a podpoře sociálního začlenění dětí a jejich rodin v době krize</w:t>
      </w:r>
      <w:r w:rsidRPr="00B93FA1">
        <w:rPr>
          <w:rStyle w:val="FootnoteReference"/>
          <w:szCs w:val="24"/>
        </w:rPr>
        <w:footnoteReference w:id="18"/>
      </w:r>
      <w:r w:rsidRPr="00B93FA1">
        <w:rPr>
          <w:szCs w:val="24"/>
        </w:rPr>
        <w:t>,</w:t>
      </w:r>
    </w:p>
    <w:p w14:paraId="295B3E6F"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své usnesení ze dne 21. listopadu 2023 nazvané „Děti na prvním místě – posílení rámce záruky pro děti dva roky po jejím přijetí“</w:t>
      </w:r>
      <w:r w:rsidRPr="00B93FA1">
        <w:rPr>
          <w:rStyle w:val="FootnoteReference"/>
          <w:bCs/>
          <w:iCs/>
          <w:szCs w:val="24"/>
        </w:rPr>
        <w:footnoteReference w:id="19"/>
      </w:r>
      <w:r w:rsidRPr="00B93FA1">
        <w:rPr>
          <w:szCs w:val="24"/>
        </w:rPr>
        <w:t>,</w:t>
      </w:r>
    </w:p>
    <w:p w14:paraId="2C76E64B"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své usnesení ze dne 23. listopadu 2023 o tvorbě pracovních míst: spravedlivá transformace a společensky odpovědné investování</w:t>
      </w:r>
      <w:r w:rsidRPr="00B93FA1">
        <w:rPr>
          <w:rStyle w:val="FootnoteReference"/>
          <w:bCs/>
          <w:iCs/>
          <w:szCs w:val="24"/>
        </w:rPr>
        <w:footnoteReference w:id="20"/>
      </w:r>
      <w:r w:rsidRPr="00B93FA1">
        <w:rPr>
          <w:szCs w:val="24"/>
        </w:rPr>
        <w:t>,</w:t>
      </w:r>
    </w:p>
    <w:p w14:paraId="686D8709"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doporučení Rady ze dne 22. května 2019 o vysoce kvalitních systémech předškolního vzdělávání a péče</w:t>
      </w:r>
      <w:r w:rsidRPr="00B93FA1">
        <w:rPr>
          <w:rStyle w:val="FootnoteReference"/>
          <w:bCs/>
          <w:iCs/>
          <w:szCs w:val="24"/>
        </w:rPr>
        <w:footnoteReference w:id="21"/>
      </w:r>
      <w:r w:rsidRPr="00B93FA1">
        <w:rPr>
          <w:szCs w:val="24"/>
        </w:rPr>
        <w:t>,</w:t>
      </w:r>
    </w:p>
    <w:p w14:paraId="4CE26286"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doporučení Komise 2013/112/EU ze dne 20. února 2013 nazvané „Investice do dětí: východisko z bludného kruhu znevýhodnění“</w:t>
      </w:r>
      <w:r w:rsidRPr="00B93FA1">
        <w:rPr>
          <w:rStyle w:val="FootnoteReference"/>
          <w:szCs w:val="24"/>
        </w:rPr>
        <w:footnoteReference w:id="22"/>
      </w:r>
      <w:r w:rsidRPr="00B93FA1">
        <w:rPr>
          <w:szCs w:val="24"/>
        </w:rPr>
        <w:t>,</w:t>
      </w:r>
    </w:p>
    <w:p w14:paraId="23EA8AFE" w14:textId="77777777" w:rsidR="002C52D3" w:rsidRPr="00B93FA1" w:rsidRDefault="002C52D3" w:rsidP="00B93FA1">
      <w:pPr>
        <w:pStyle w:val="NormalHanging12a"/>
        <w:rPr>
          <w:szCs w:val="24"/>
        </w:rPr>
      </w:pPr>
      <w:r w:rsidRPr="00B93FA1">
        <w:rPr>
          <w:szCs w:val="24"/>
        </w:rPr>
        <w:t>–</w:t>
      </w:r>
      <w:r w:rsidRPr="00B93FA1">
        <w:rPr>
          <w:szCs w:val="24"/>
        </w:rPr>
        <w:tab/>
        <w:t xml:space="preserve">s ohledem na sdělení Komise ze dne 24. března 2021 nazvané „Strategie EU pro práva </w:t>
      </w:r>
      <w:r w:rsidRPr="00B93FA1">
        <w:rPr>
          <w:szCs w:val="24"/>
        </w:rPr>
        <w:lastRenderedPageBreak/>
        <w:t>dítěte“ (COM(2021)0142),</w:t>
      </w:r>
    </w:p>
    <w:p w14:paraId="77E303B8"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doporučení Komise (EU) 2024/1238 ze dne 23. dubna 2024 týkající se rozvoje a posílení integrovaných systémů ochrany dětí v nejlepším zájmu dítěte</w:t>
      </w:r>
      <w:r w:rsidRPr="00B93FA1">
        <w:rPr>
          <w:rStyle w:val="FootnoteReference"/>
          <w:bCs/>
          <w:iCs/>
          <w:szCs w:val="24"/>
        </w:rPr>
        <w:footnoteReference w:id="23"/>
      </w:r>
      <w:r w:rsidRPr="00B93FA1">
        <w:rPr>
          <w:szCs w:val="24"/>
        </w:rPr>
        <w:t>,</w:t>
      </w:r>
    </w:p>
    <w:p w14:paraId="5B1294B1" w14:textId="77777777" w:rsidR="002C52D3" w:rsidRPr="00B93FA1" w:rsidRDefault="002C52D3" w:rsidP="00B93FA1">
      <w:pPr>
        <w:pStyle w:val="NormalHanging12a"/>
        <w:rPr>
          <w:szCs w:val="24"/>
        </w:rPr>
      </w:pPr>
      <w:r w:rsidRPr="00B93FA1">
        <w:rPr>
          <w:szCs w:val="24"/>
        </w:rPr>
        <w:t>–</w:t>
      </w:r>
      <w:r w:rsidRPr="00B93FA1">
        <w:rPr>
          <w:szCs w:val="24"/>
        </w:rPr>
        <w:tab/>
        <w:t>s ohledem na doporučení Rady (EU) 2021/1004 ze dne 14. června 2021, kterým se zavádí evropská záruka pro děti</w:t>
      </w:r>
      <w:r w:rsidRPr="00B93FA1">
        <w:rPr>
          <w:rStyle w:val="FootnoteReference"/>
          <w:szCs w:val="24"/>
        </w:rPr>
        <w:footnoteReference w:id="24"/>
      </w:r>
      <w:r w:rsidRPr="00B93FA1">
        <w:rPr>
          <w:szCs w:val="24"/>
        </w:rPr>
        <w:t>,</w:t>
      </w:r>
    </w:p>
    <w:p w14:paraId="72DF2509" w14:textId="77777777" w:rsidR="002C52D3" w:rsidRPr="00B93FA1" w:rsidRDefault="002C52D3" w:rsidP="00B93FA1">
      <w:pPr>
        <w:pStyle w:val="NormalHanging12a"/>
        <w:rPr>
          <w:szCs w:val="24"/>
        </w:rPr>
      </w:pPr>
      <w:r w:rsidRPr="00B93FA1">
        <w:rPr>
          <w:szCs w:val="24"/>
        </w:rPr>
        <w:t>–</w:t>
      </w:r>
      <w:r w:rsidRPr="00B93FA1">
        <w:rPr>
          <w:szCs w:val="24"/>
        </w:rPr>
        <w:tab/>
        <w:t>s ohledem na sdělení Komise ze dne 7. června 2023 o komplexním přístupu k duševnímu zdraví (COM(2023)0298),</w:t>
      </w:r>
    </w:p>
    <w:p w14:paraId="759CC932" w14:textId="77777777" w:rsidR="002C52D3" w:rsidRPr="00B93FA1" w:rsidRDefault="002C52D3" w:rsidP="00B93FA1">
      <w:pPr>
        <w:pStyle w:val="NormalHanging12a"/>
        <w:rPr>
          <w:szCs w:val="24"/>
        </w:rPr>
      </w:pPr>
      <w:r w:rsidRPr="00B93FA1">
        <w:rPr>
          <w:szCs w:val="24"/>
        </w:rPr>
        <w:t>–</w:t>
      </w:r>
      <w:r w:rsidRPr="00B93FA1">
        <w:rPr>
          <w:szCs w:val="24"/>
        </w:rPr>
        <w:tab/>
        <w:t>s ohledem na sdělení Komise ze dne 5. března 2020 nazvané „Unie rovnosti: Strategie pro rovnost žen a mužů na období 2020–2025“ (COM(2020)0152),</w:t>
      </w:r>
    </w:p>
    <w:p w14:paraId="1ADF77FB"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sdělení Komise ze dne 18. září 2020 nazvané „Unie rovnosti: Akční plán EU proti rasismu na období 2020–2025“ (COM(2020)0565),</w:t>
      </w:r>
    </w:p>
    <w:p w14:paraId="0A0A928E"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sdělení Komise ze dne 12. listopadu 2020 nazvané „Unie rovnosti: Strategie pro rovnost LGBTIQ osob na období 2020–2025“ (COM(2020)0698),</w:t>
      </w:r>
    </w:p>
    <w:p w14:paraId="52A5182B" w14:textId="7F5C3539" w:rsidR="002C52D3" w:rsidRPr="00B93FA1" w:rsidRDefault="002C52D3" w:rsidP="00B93FA1">
      <w:pPr>
        <w:pStyle w:val="NormalHanging12a"/>
        <w:rPr>
          <w:szCs w:val="24"/>
        </w:rPr>
      </w:pPr>
      <w:r w:rsidRPr="00B93FA1">
        <w:rPr>
          <w:szCs w:val="24"/>
        </w:rPr>
        <w:t>–</w:t>
      </w:r>
      <w:r w:rsidRPr="00B93FA1">
        <w:rPr>
          <w:szCs w:val="24"/>
        </w:rPr>
        <w:tab/>
        <w:t>s ohledem na sdělení Komise ze dne 7. října 2020 nazvané „Unie rovnosti: Strategický rámec EU pro rovnost, začlenění a účast Romů (COM(2020)0620),</w:t>
      </w:r>
    </w:p>
    <w:p w14:paraId="229D0782"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doporučení Rady ze dne 12. března 2021 o rovnosti, začlenění a účasti Romů</w:t>
      </w:r>
      <w:r w:rsidRPr="00B93FA1">
        <w:rPr>
          <w:rStyle w:val="FootnoteReference"/>
          <w:bCs/>
          <w:iCs/>
          <w:szCs w:val="24"/>
        </w:rPr>
        <w:footnoteReference w:id="25"/>
      </w:r>
      <w:r w:rsidRPr="00B93FA1">
        <w:rPr>
          <w:szCs w:val="24"/>
        </w:rPr>
        <w:t>,</w:t>
      </w:r>
    </w:p>
    <w:p w14:paraId="7D35D08D" w14:textId="77777777" w:rsidR="002C52D3" w:rsidRPr="00B93FA1" w:rsidRDefault="002C52D3" w:rsidP="00B93FA1">
      <w:pPr>
        <w:pStyle w:val="NormalHanging12a"/>
        <w:rPr>
          <w:szCs w:val="24"/>
        </w:rPr>
      </w:pPr>
      <w:r w:rsidRPr="00B93FA1">
        <w:rPr>
          <w:szCs w:val="24"/>
        </w:rPr>
        <w:t>–</w:t>
      </w:r>
      <w:r w:rsidRPr="00B93FA1">
        <w:rPr>
          <w:szCs w:val="24"/>
        </w:rPr>
        <w:tab/>
        <w:t>s ohledem na sdělení Komise ze dne 3. března 2021 nazvané „Unie rovnosti: strategie práv osob se zdravotním postižením na období 2021–2030“ (COM(2021)0101),</w:t>
      </w:r>
    </w:p>
    <w:p w14:paraId="148EB89F"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sdělení Komise ze dne 27. ledna 2021 nazvanou: „Zelená kniha o stárnutí – Podpora mezigenerační solidarity a odpovědnosti“ (COM(2021)0050),</w:t>
      </w:r>
    </w:p>
    <w:p w14:paraId="424D67EE" w14:textId="7D0EDA49"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sdělení Komise ze dne 9. prosince 2021 nazvané „Rozvoj hospodářství ve prospěch lidí: akční plán pro sociální ekonomiku“ (COM(2021)</w:t>
      </w:r>
      <w:r w:rsidR="00F93C53">
        <w:rPr>
          <w:szCs w:val="24"/>
        </w:rPr>
        <w:t>0</w:t>
      </w:r>
      <w:r w:rsidRPr="00B93FA1">
        <w:rPr>
          <w:szCs w:val="24"/>
        </w:rPr>
        <w:t>778),</w:t>
      </w:r>
    </w:p>
    <w:p w14:paraId="2E98E9D5"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doporučení Rady ze dne 8. listopadu 2019 o přístupu pracovníků a osob samostatně výdělečně činných k sociální ochraně</w:t>
      </w:r>
      <w:r w:rsidRPr="00B93FA1">
        <w:rPr>
          <w:rStyle w:val="FootnoteReference"/>
          <w:bCs/>
          <w:iCs/>
          <w:szCs w:val="24"/>
        </w:rPr>
        <w:footnoteReference w:id="26"/>
      </w:r>
      <w:r w:rsidRPr="00B93FA1">
        <w:rPr>
          <w:szCs w:val="24"/>
        </w:rPr>
        <w:t>,</w:t>
      </w:r>
    </w:p>
    <w:p w14:paraId="3B4F5816" w14:textId="5818777F"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zprávu Komise</w:t>
      </w:r>
      <w:r w:rsidR="00F93C53">
        <w:rPr>
          <w:szCs w:val="24"/>
        </w:rPr>
        <w:t xml:space="preserve"> ze dne 28. června 2023</w:t>
      </w:r>
      <w:r w:rsidRPr="00B93FA1">
        <w:rPr>
          <w:szCs w:val="24"/>
        </w:rPr>
        <w:t xml:space="preserve"> o přístupu k základním službám v EU,</w:t>
      </w:r>
    </w:p>
    <w:p w14:paraId="6DF3174F" w14:textId="77777777" w:rsidR="002C52D3" w:rsidRPr="00B93FA1" w:rsidRDefault="002C52D3" w:rsidP="00B93FA1">
      <w:pPr>
        <w:pStyle w:val="NormalHanging12a"/>
        <w:rPr>
          <w:szCs w:val="24"/>
        </w:rPr>
      </w:pPr>
      <w:r w:rsidRPr="00B93FA1">
        <w:rPr>
          <w:szCs w:val="24"/>
        </w:rPr>
        <w:t>–</w:t>
      </w:r>
      <w:r w:rsidRPr="00B93FA1">
        <w:rPr>
          <w:szCs w:val="24"/>
        </w:rPr>
        <w:tab/>
        <w:t>s ohledem na doporučení Rady ze dne 30. ledna 2023 o přiměřeném minimálním příjmu zajišťujícím aktivní začlenění</w:t>
      </w:r>
      <w:r w:rsidRPr="00B93FA1">
        <w:rPr>
          <w:rStyle w:val="FootnoteReference"/>
          <w:szCs w:val="24"/>
        </w:rPr>
        <w:footnoteReference w:id="27"/>
      </w:r>
      <w:r w:rsidRPr="00B93FA1">
        <w:rPr>
          <w:szCs w:val="24"/>
        </w:rPr>
        <w:t>,</w:t>
      </w:r>
    </w:p>
    <w:p w14:paraId="21D2314E"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s ohledem na platformu EU pro boj proti bezdomovectví, jejíž činnost byla zahájena v roce 2021,</w:t>
      </w:r>
    </w:p>
    <w:p w14:paraId="17BA3DB4" w14:textId="77777777" w:rsidR="002C52D3" w:rsidRPr="00B93FA1" w:rsidRDefault="002C52D3" w:rsidP="00B93FA1">
      <w:pPr>
        <w:pStyle w:val="NormalHanging12a"/>
        <w:rPr>
          <w:b/>
          <w:i/>
          <w:szCs w:val="24"/>
        </w:rPr>
      </w:pPr>
      <w:r w:rsidRPr="00B93FA1">
        <w:rPr>
          <w:b/>
          <w:i/>
          <w:szCs w:val="24"/>
        </w:rPr>
        <w:lastRenderedPageBreak/>
        <w:t>–</w:t>
      </w:r>
      <w:r w:rsidRPr="00B93FA1">
        <w:rPr>
          <w:b/>
          <w:i/>
          <w:szCs w:val="24"/>
        </w:rPr>
        <w:tab/>
      </w:r>
      <w:r w:rsidRPr="00B93FA1">
        <w:rPr>
          <w:szCs w:val="24"/>
        </w:rPr>
        <w:t>s ohledem na sdělení Komise ze dne 30. června 2021 nazvané „Dlouhodobá vize pro venkovské oblasti EU – na cestě k posílenému, propojenému, odolnému a prosperujícímu venkovu do roku 2040“ (COM(2021)0345) a ze dne 27. března 2024 nazvané „Dlouhodobá vize pro venkovské oblasti EU: hlavní úspěchy a další vývoj“ (COM(2024)0450),</w:t>
      </w:r>
    </w:p>
    <w:p w14:paraId="5EDDD6FD" w14:textId="77777777" w:rsidR="002C52D3" w:rsidRPr="00B93FA1" w:rsidRDefault="002C52D3" w:rsidP="00B93FA1">
      <w:pPr>
        <w:pStyle w:val="NormalHanging12a"/>
        <w:rPr>
          <w:szCs w:val="24"/>
        </w:rPr>
      </w:pPr>
      <w:r w:rsidRPr="00B93FA1">
        <w:rPr>
          <w:szCs w:val="24"/>
        </w:rPr>
        <w:t>–</w:t>
      </w:r>
      <w:r w:rsidRPr="00B93FA1">
        <w:rPr>
          <w:szCs w:val="24"/>
        </w:rPr>
        <w:tab/>
        <w:t>s ohledem na stanovisko Evropského výboru regionů ze dne 14. října 2025 ke strategii EU pro boj proti chudobě</w:t>
      </w:r>
      <w:r w:rsidRPr="00B93FA1">
        <w:rPr>
          <w:rStyle w:val="FootnoteReference"/>
          <w:szCs w:val="24"/>
        </w:rPr>
        <w:footnoteReference w:id="28"/>
      </w:r>
      <w:r w:rsidRPr="00B93FA1">
        <w:rPr>
          <w:szCs w:val="24"/>
        </w:rPr>
        <w:t>,</w:t>
      </w:r>
    </w:p>
    <w:p w14:paraId="7F8D9560" w14:textId="77777777" w:rsidR="002C52D3" w:rsidRPr="00B93FA1" w:rsidRDefault="002C52D3" w:rsidP="00B93FA1">
      <w:pPr>
        <w:pStyle w:val="NormalHanging12a"/>
        <w:rPr>
          <w:szCs w:val="24"/>
        </w:rPr>
      </w:pPr>
      <w:r w:rsidRPr="00B93FA1">
        <w:rPr>
          <w:szCs w:val="24"/>
        </w:rPr>
        <w:t>–</w:t>
      </w:r>
      <w:r w:rsidRPr="00B93FA1">
        <w:rPr>
          <w:szCs w:val="24"/>
        </w:rPr>
        <w:tab/>
        <w:t>s ohledem na příslušné zprávy zvláštního zpravodaje OSN pro extrémní chudobu a lidská práva,</w:t>
      </w:r>
    </w:p>
    <w:p w14:paraId="75A89289" w14:textId="77777777" w:rsidR="002C52D3" w:rsidRPr="00B93FA1" w:rsidRDefault="002C52D3" w:rsidP="00B93FA1">
      <w:pPr>
        <w:pStyle w:val="NormalHanging12a"/>
        <w:rPr>
          <w:szCs w:val="24"/>
        </w:rPr>
      </w:pPr>
      <w:r w:rsidRPr="00B93FA1">
        <w:rPr>
          <w:szCs w:val="24"/>
        </w:rPr>
        <w:t>–</w:t>
      </w:r>
      <w:r w:rsidRPr="00B93FA1">
        <w:rPr>
          <w:szCs w:val="24"/>
        </w:rPr>
        <w:tab/>
        <w:t>s ohledem na stanovisko Evropské sítě pro boj proti chudobě (EAPN) nazvané „</w:t>
      </w:r>
      <w:proofErr w:type="spellStart"/>
      <w:r w:rsidRPr="00B93FA1">
        <w:rPr>
          <w:szCs w:val="24"/>
        </w:rPr>
        <w:t>Towards</w:t>
      </w:r>
      <w:proofErr w:type="spellEnd"/>
      <w:r w:rsidRPr="00B93FA1">
        <w:rPr>
          <w:szCs w:val="24"/>
        </w:rPr>
        <w:t xml:space="preserve"> </w:t>
      </w:r>
      <w:proofErr w:type="spellStart"/>
      <w:r w:rsidRPr="00B93FA1">
        <w:rPr>
          <w:szCs w:val="24"/>
        </w:rPr>
        <w:t>the</w:t>
      </w:r>
      <w:proofErr w:type="spellEnd"/>
      <w:r w:rsidRPr="00B93FA1">
        <w:rPr>
          <w:szCs w:val="24"/>
        </w:rPr>
        <w:t xml:space="preserve"> </w:t>
      </w:r>
      <w:proofErr w:type="spellStart"/>
      <w:r w:rsidRPr="00B93FA1">
        <w:rPr>
          <w:szCs w:val="24"/>
        </w:rPr>
        <w:t>Eradication</w:t>
      </w:r>
      <w:proofErr w:type="spellEnd"/>
      <w:r w:rsidRPr="00B93FA1">
        <w:rPr>
          <w:szCs w:val="24"/>
        </w:rPr>
        <w:t xml:space="preserve"> </w:t>
      </w:r>
      <w:proofErr w:type="spellStart"/>
      <w:r w:rsidRPr="00B93FA1">
        <w:rPr>
          <w:szCs w:val="24"/>
        </w:rPr>
        <w:t>of</w:t>
      </w:r>
      <w:proofErr w:type="spellEnd"/>
      <w:r w:rsidRPr="00B93FA1">
        <w:rPr>
          <w:szCs w:val="24"/>
        </w:rPr>
        <w:t xml:space="preserve"> </w:t>
      </w:r>
      <w:proofErr w:type="spellStart"/>
      <w:r w:rsidRPr="00B93FA1">
        <w:rPr>
          <w:szCs w:val="24"/>
        </w:rPr>
        <w:t>Poverty</w:t>
      </w:r>
      <w:proofErr w:type="spellEnd"/>
      <w:r w:rsidRPr="00B93FA1">
        <w:rPr>
          <w:szCs w:val="24"/>
        </w:rPr>
        <w:t xml:space="preserve"> – EAPN vision and </w:t>
      </w:r>
      <w:proofErr w:type="spellStart"/>
      <w:r w:rsidRPr="00B93FA1">
        <w:rPr>
          <w:szCs w:val="24"/>
        </w:rPr>
        <w:t>recommendations</w:t>
      </w:r>
      <w:proofErr w:type="spellEnd"/>
      <w:r w:rsidRPr="00B93FA1">
        <w:rPr>
          <w:szCs w:val="24"/>
        </w:rPr>
        <w:t xml:space="preserve"> </w:t>
      </w:r>
      <w:proofErr w:type="spellStart"/>
      <w:r w:rsidRPr="00B93FA1">
        <w:rPr>
          <w:szCs w:val="24"/>
        </w:rPr>
        <w:t>for</w:t>
      </w:r>
      <w:proofErr w:type="spellEnd"/>
      <w:r w:rsidRPr="00B93FA1">
        <w:rPr>
          <w:szCs w:val="24"/>
        </w:rPr>
        <w:t xml:space="preserve"> </w:t>
      </w:r>
      <w:proofErr w:type="spellStart"/>
      <w:r w:rsidRPr="00B93FA1">
        <w:rPr>
          <w:szCs w:val="24"/>
        </w:rPr>
        <w:t>the</w:t>
      </w:r>
      <w:proofErr w:type="spellEnd"/>
      <w:r w:rsidRPr="00B93FA1">
        <w:rPr>
          <w:szCs w:val="24"/>
        </w:rPr>
        <w:t xml:space="preserve"> EU Anti-</w:t>
      </w:r>
      <w:proofErr w:type="spellStart"/>
      <w:r w:rsidRPr="00B93FA1">
        <w:rPr>
          <w:szCs w:val="24"/>
        </w:rPr>
        <w:t>Poverty</w:t>
      </w:r>
      <w:proofErr w:type="spellEnd"/>
      <w:r w:rsidRPr="00B93FA1">
        <w:rPr>
          <w:szCs w:val="24"/>
        </w:rPr>
        <w:t xml:space="preserve"> </w:t>
      </w:r>
      <w:proofErr w:type="spellStart"/>
      <w:r w:rsidRPr="00B93FA1">
        <w:rPr>
          <w:szCs w:val="24"/>
        </w:rPr>
        <w:t>Strategy</w:t>
      </w:r>
      <w:proofErr w:type="spellEnd"/>
      <w:r w:rsidRPr="00B93FA1">
        <w:rPr>
          <w:szCs w:val="24"/>
        </w:rPr>
        <w:t>“ (Směrem k vymýcení chudoby – vize sítě EAPN a doporučení pro strategii EU pro boj proti chudobě) vydané v roce 2025,</w:t>
      </w:r>
    </w:p>
    <w:p w14:paraId="5F0A8BFA" w14:textId="77777777" w:rsidR="002C52D3" w:rsidRPr="00B93FA1" w:rsidRDefault="002C52D3" w:rsidP="00B93FA1">
      <w:pPr>
        <w:pStyle w:val="NormalHanging12a"/>
        <w:rPr>
          <w:szCs w:val="24"/>
        </w:rPr>
      </w:pPr>
      <w:r w:rsidRPr="00B93FA1">
        <w:rPr>
          <w:szCs w:val="24"/>
        </w:rPr>
        <w:t>–</w:t>
      </w:r>
      <w:r w:rsidRPr="00B93FA1">
        <w:rPr>
          <w:szCs w:val="24"/>
        </w:rPr>
        <w:tab/>
        <w:t xml:space="preserve">s ohledem na stanoviska I a II hnutí All </w:t>
      </w:r>
      <w:proofErr w:type="spellStart"/>
      <w:r w:rsidRPr="00B93FA1">
        <w:rPr>
          <w:szCs w:val="24"/>
        </w:rPr>
        <w:t>Together</w:t>
      </w:r>
      <w:proofErr w:type="spellEnd"/>
      <w:r w:rsidRPr="00B93FA1">
        <w:rPr>
          <w:szCs w:val="24"/>
        </w:rPr>
        <w:t xml:space="preserve"> in Dignity </w:t>
      </w:r>
      <w:proofErr w:type="spellStart"/>
      <w:r w:rsidRPr="00B93FA1">
        <w:rPr>
          <w:szCs w:val="24"/>
        </w:rPr>
        <w:t>Fourth</w:t>
      </w:r>
      <w:proofErr w:type="spellEnd"/>
      <w:r w:rsidRPr="00B93FA1">
        <w:rPr>
          <w:szCs w:val="24"/>
        </w:rPr>
        <w:t xml:space="preserve"> </w:t>
      </w:r>
      <w:proofErr w:type="spellStart"/>
      <w:r w:rsidRPr="00B93FA1">
        <w:rPr>
          <w:szCs w:val="24"/>
        </w:rPr>
        <w:t>World</w:t>
      </w:r>
      <w:proofErr w:type="spellEnd"/>
      <w:r w:rsidRPr="00B93FA1">
        <w:rPr>
          <w:szCs w:val="24"/>
        </w:rPr>
        <w:t xml:space="preserve"> nazvané „</w:t>
      </w:r>
      <w:proofErr w:type="spellStart"/>
      <w:r w:rsidRPr="00B93FA1">
        <w:rPr>
          <w:szCs w:val="24"/>
        </w:rPr>
        <w:t>Paving</w:t>
      </w:r>
      <w:proofErr w:type="spellEnd"/>
      <w:r w:rsidRPr="00B93FA1">
        <w:rPr>
          <w:szCs w:val="24"/>
        </w:rPr>
        <w:t xml:space="preserve"> </w:t>
      </w:r>
      <w:proofErr w:type="spellStart"/>
      <w:r w:rsidRPr="00B93FA1">
        <w:rPr>
          <w:szCs w:val="24"/>
        </w:rPr>
        <w:t>the</w:t>
      </w:r>
      <w:proofErr w:type="spellEnd"/>
      <w:r w:rsidRPr="00B93FA1">
        <w:rPr>
          <w:szCs w:val="24"/>
        </w:rPr>
        <w:t xml:space="preserve"> </w:t>
      </w:r>
      <w:proofErr w:type="spellStart"/>
      <w:r w:rsidRPr="00B93FA1">
        <w:rPr>
          <w:szCs w:val="24"/>
        </w:rPr>
        <w:t>Way</w:t>
      </w:r>
      <w:proofErr w:type="spellEnd"/>
      <w:r w:rsidRPr="00B93FA1">
        <w:rPr>
          <w:szCs w:val="24"/>
        </w:rPr>
        <w:t xml:space="preserve"> </w:t>
      </w:r>
      <w:proofErr w:type="spellStart"/>
      <w:r w:rsidRPr="00B93FA1">
        <w:rPr>
          <w:szCs w:val="24"/>
        </w:rPr>
        <w:t>towards</w:t>
      </w:r>
      <w:proofErr w:type="spellEnd"/>
      <w:r w:rsidRPr="00B93FA1">
        <w:rPr>
          <w:szCs w:val="24"/>
        </w:rPr>
        <w:t xml:space="preserve"> </w:t>
      </w:r>
      <w:proofErr w:type="spellStart"/>
      <w:r w:rsidRPr="00B93FA1">
        <w:rPr>
          <w:szCs w:val="24"/>
        </w:rPr>
        <w:t>an</w:t>
      </w:r>
      <w:proofErr w:type="spellEnd"/>
      <w:r w:rsidRPr="00B93FA1">
        <w:rPr>
          <w:szCs w:val="24"/>
        </w:rPr>
        <w:t xml:space="preserve"> EU Anti-</w:t>
      </w:r>
      <w:proofErr w:type="spellStart"/>
      <w:r w:rsidRPr="00B93FA1">
        <w:rPr>
          <w:szCs w:val="24"/>
        </w:rPr>
        <w:t>Poverty</w:t>
      </w:r>
      <w:proofErr w:type="spellEnd"/>
      <w:r w:rsidRPr="00B93FA1">
        <w:rPr>
          <w:szCs w:val="24"/>
        </w:rPr>
        <w:t xml:space="preserve"> </w:t>
      </w:r>
      <w:proofErr w:type="spellStart"/>
      <w:r w:rsidRPr="00B93FA1">
        <w:rPr>
          <w:szCs w:val="24"/>
        </w:rPr>
        <w:t>Strategy</w:t>
      </w:r>
      <w:proofErr w:type="spellEnd"/>
      <w:r w:rsidRPr="00B93FA1">
        <w:rPr>
          <w:szCs w:val="24"/>
        </w:rPr>
        <w:t>“ (Příprava na strategii EU pro boj proti chudobě“ vydaná v příslušném pořadí v lednu a v květnu 2025,</w:t>
      </w:r>
    </w:p>
    <w:p w14:paraId="32A8D98D" w14:textId="77777777" w:rsidR="002C52D3" w:rsidRPr="00B93FA1" w:rsidRDefault="002C52D3" w:rsidP="00B93FA1">
      <w:pPr>
        <w:pStyle w:val="NormalHanging12a"/>
        <w:rPr>
          <w:szCs w:val="24"/>
        </w:rPr>
      </w:pPr>
      <w:r w:rsidRPr="00B93FA1">
        <w:rPr>
          <w:szCs w:val="24"/>
        </w:rPr>
        <w:t>–</w:t>
      </w:r>
      <w:r w:rsidRPr="00B93FA1">
        <w:rPr>
          <w:szCs w:val="24"/>
        </w:rPr>
        <w:tab/>
        <w:t xml:space="preserve">s ohledem na stanovisko Sociální platformy z března 2025 nazvané a „A post-2027 </w:t>
      </w:r>
      <w:proofErr w:type="spellStart"/>
      <w:r w:rsidRPr="00B93FA1">
        <w:rPr>
          <w:szCs w:val="24"/>
        </w:rPr>
        <w:t>Multiannual</w:t>
      </w:r>
      <w:proofErr w:type="spellEnd"/>
      <w:r w:rsidRPr="00B93FA1">
        <w:rPr>
          <w:szCs w:val="24"/>
        </w:rPr>
        <w:t xml:space="preserve"> </w:t>
      </w:r>
      <w:proofErr w:type="spellStart"/>
      <w:r w:rsidRPr="00B93FA1">
        <w:rPr>
          <w:szCs w:val="24"/>
        </w:rPr>
        <w:t>Financial</w:t>
      </w:r>
      <w:proofErr w:type="spellEnd"/>
      <w:r w:rsidRPr="00B93FA1">
        <w:rPr>
          <w:szCs w:val="24"/>
        </w:rPr>
        <w:t xml:space="preserve"> Framework </w:t>
      </w:r>
      <w:proofErr w:type="spellStart"/>
      <w:r w:rsidRPr="00B93FA1">
        <w:rPr>
          <w:szCs w:val="24"/>
        </w:rPr>
        <w:t>for</w:t>
      </w:r>
      <w:proofErr w:type="spellEnd"/>
      <w:r w:rsidRPr="00B93FA1">
        <w:rPr>
          <w:szCs w:val="24"/>
        </w:rPr>
        <w:t xml:space="preserve"> </w:t>
      </w:r>
      <w:proofErr w:type="spellStart"/>
      <w:r w:rsidRPr="00B93FA1">
        <w:rPr>
          <w:szCs w:val="24"/>
        </w:rPr>
        <w:t>Social</w:t>
      </w:r>
      <w:proofErr w:type="spellEnd"/>
      <w:r w:rsidRPr="00B93FA1">
        <w:rPr>
          <w:szCs w:val="24"/>
        </w:rPr>
        <w:t xml:space="preserve"> </w:t>
      </w:r>
      <w:proofErr w:type="spellStart"/>
      <w:r w:rsidRPr="00B93FA1">
        <w:rPr>
          <w:szCs w:val="24"/>
        </w:rPr>
        <w:t>Europe</w:t>
      </w:r>
      <w:proofErr w:type="spellEnd"/>
      <w:r w:rsidRPr="00B93FA1">
        <w:rPr>
          <w:szCs w:val="24"/>
        </w:rPr>
        <w:t>“ (Víceletý finanční rámec pro sociální Evropu na období po roce 2027) a z května 2025 nazvané „EU Anti-</w:t>
      </w:r>
      <w:proofErr w:type="spellStart"/>
      <w:r w:rsidRPr="00B93FA1">
        <w:rPr>
          <w:szCs w:val="24"/>
        </w:rPr>
        <w:t>Poverty</w:t>
      </w:r>
      <w:proofErr w:type="spellEnd"/>
      <w:r w:rsidRPr="00B93FA1">
        <w:rPr>
          <w:szCs w:val="24"/>
        </w:rPr>
        <w:t xml:space="preserve"> </w:t>
      </w:r>
      <w:proofErr w:type="spellStart"/>
      <w:r w:rsidRPr="00B93FA1">
        <w:rPr>
          <w:szCs w:val="24"/>
        </w:rPr>
        <w:t>Strategy</w:t>
      </w:r>
      <w:proofErr w:type="spellEnd"/>
      <w:r w:rsidRPr="00B93FA1">
        <w:rPr>
          <w:szCs w:val="24"/>
        </w:rPr>
        <w:t>“ (Strategie EU pro boj proti chudobě),</w:t>
      </w:r>
    </w:p>
    <w:p w14:paraId="12AEC700" w14:textId="77777777" w:rsidR="002C52D3" w:rsidRPr="00B93FA1" w:rsidRDefault="002C52D3" w:rsidP="00B93FA1">
      <w:pPr>
        <w:pStyle w:val="NormalHanging12a"/>
        <w:rPr>
          <w:bCs/>
          <w:iCs/>
          <w:szCs w:val="24"/>
        </w:rPr>
      </w:pPr>
      <w:r w:rsidRPr="00B93FA1">
        <w:rPr>
          <w:b/>
          <w:i/>
          <w:szCs w:val="24"/>
        </w:rPr>
        <w:t>–</w:t>
      </w:r>
      <w:r w:rsidRPr="00B93FA1">
        <w:rPr>
          <w:b/>
          <w:i/>
          <w:szCs w:val="24"/>
        </w:rPr>
        <w:tab/>
      </w:r>
      <w:r w:rsidRPr="00B93FA1">
        <w:rPr>
          <w:szCs w:val="24"/>
        </w:rPr>
        <w:t xml:space="preserve">s ohledem na stanovisko sdružení Make </w:t>
      </w:r>
      <w:proofErr w:type="spellStart"/>
      <w:r w:rsidRPr="00B93FA1">
        <w:rPr>
          <w:szCs w:val="24"/>
        </w:rPr>
        <w:t>Mothers</w:t>
      </w:r>
      <w:proofErr w:type="spellEnd"/>
      <w:r w:rsidRPr="00B93FA1">
        <w:rPr>
          <w:szCs w:val="24"/>
        </w:rPr>
        <w:t xml:space="preserve"> </w:t>
      </w:r>
      <w:proofErr w:type="spellStart"/>
      <w:r w:rsidRPr="00B93FA1">
        <w:rPr>
          <w:szCs w:val="24"/>
        </w:rPr>
        <w:t>Matter</w:t>
      </w:r>
      <w:proofErr w:type="spellEnd"/>
      <w:r w:rsidRPr="00B93FA1">
        <w:rPr>
          <w:szCs w:val="24"/>
        </w:rPr>
        <w:t xml:space="preserve"> nazvanou „</w:t>
      </w:r>
      <w:proofErr w:type="spellStart"/>
      <w:r w:rsidRPr="00B93FA1">
        <w:rPr>
          <w:szCs w:val="24"/>
        </w:rPr>
        <w:t>Mothers</w:t>
      </w:r>
      <w:proofErr w:type="spellEnd"/>
      <w:r w:rsidRPr="00B93FA1">
        <w:rPr>
          <w:szCs w:val="24"/>
        </w:rPr>
        <w:t xml:space="preserve">’ </w:t>
      </w:r>
      <w:proofErr w:type="spellStart"/>
      <w:r w:rsidRPr="00B93FA1">
        <w:rPr>
          <w:szCs w:val="24"/>
        </w:rPr>
        <w:t>Poverty</w:t>
      </w:r>
      <w:proofErr w:type="spellEnd"/>
      <w:r w:rsidRPr="00B93FA1">
        <w:rPr>
          <w:szCs w:val="24"/>
        </w:rPr>
        <w:t xml:space="preserve"> in </w:t>
      </w:r>
      <w:proofErr w:type="spellStart"/>
      <w:r w:rsidRPr="00B93FA1">
        <w:rPr>
          <w:szCs w:val="24"/>
        </w:rPr>
        <w:t>the</w:t>
      </w:r>
      <w:proofErr w:type="spellEnd"/>
      <w:r w:rsidRPr="00B93FA1">
        <w:rPr>
          <w:szCs w:val="24"/>
        </w:rPr>
        <w:t xml:space="preserve"> EU“ (Chudoba matek v EU), zveřejněné v roce 2025,</w:t>
      </w:r>
    </w:p>
    <w:p w14:paraId="5614F722" w14:textId="77777777" w:rsidR="002C52D3" w:rsidRPr="00B93FA1" w:rsidRDefault="002C52D3" w:rsidP="00B93FA1">
      <w:pPr>
        <w:pStyle w:val="NormalHanging12a"/>
        <w:rPr>
          <w:b/>
          <w:i/>
          <w:szCs w:val="24"/>
        </w:rPr>
      </w:pPr>
      <w:r w:rsidRPr="00B93FA1">
        <w:rPr>
          <w:b/>
          <w:i/>
          <w:szCs w:val="24"/>
        </w:rPr>
        <w:t>–</w:t>
      </w:r>
      <w:r w:rsidRPr="00B93FA1">
        <w:rPr>
          <w:b/>
          <w:i/>
          <w:szCs w:val="24"/>
        </w:rPr>
        <w:tab/>
      </w:r>
      <w:r w:rsidRPr="00B93FA1">
        <w:rPr>
          <w:szCs w:val="24"/>
        </w:rPr>
        <w:t xml:space="preserve">s ohledem na studii Komise ze dne 15. listopadu 2024 nazvanou „Transport </w:t>
      </w:r>
      <w:proofErr w:type="spellStart"/>
      <w:r w:rsidRPr="00B93FA1">
        <w:rPr>
          <w:szCs w:val="24"/>
        </w:rPr>
        <w:t>Poverty</w:t>
      </w:r>
      <w:proofErr w:type="spellEnd"/>
      <w:r w:rsidRPr="00B93FA1">
        <w:rPr>
          <w:szCs w:val="24"/>
        </w:rPr>
        <w:t xml:space="preserve">: </w:t>
      </w:r>
      <w:proofErr w:type="spellStart"/>
      <w:r w:rsidRPr="00B93FA1">
        <w:rPr>
          <w:szCs w:val="24"/>
        </w:rPr>
        <w:t>Definition</w:t>
      </w:r>
      <w:proofErr w:type="spellEnd"/>
      <w:r w:rsidRPr="00B93FA1">
        <w:rPr>
          <w:szCs w:val="24"/>
        </w:rPr>
        <w:t xml:space="preserve">, </w:t>
      </w:r>
      <w:proofErr w:type="spellStart"/>
      <w:r w:rsidRPr="00B93FA1">
        <w:rPr>
          <w:szCs w:val="24"/>
        </w:rPr>
        <w:t>indicators</w:t>
      </w:r>
      <w:proofErr w:type="spellEnd"/>
      <w:r w:rsidRPr="00B93FA1">
        <w:rPr>
          <w:szCs w:val="24"/>
        </w:rPr>
        <w:t xml:space="preserve">, </w:t>
      </w:r>
      <w:proofErr w:type="spellStart"/>
      <w:r w:rsidRPr="00B93FA1">
        <w:rPr>
          <w:szCs w:val="24"/>
        </w:rPr>
        <w:t>determinants</w:t>
      </w:r>
      <w:proofErr w:type="spellEnd"/>
      <w:r w:rsidRPr="00B93FA1">
        <w:rPr>
          <w:szCs w:val="24"/>
        </w:rPr>
        <w:t xml:space="preserve"> and </w:t>
      </w:r>
      <w:proofErr w:type="spellStart"/>
      <w:r w:rsidRPr="00B93FA1">
        <w:rPr>
          <w:szCs w:val="24"/>
        </w:rPr>
        <w:t>mitigation</w:t>
      </w:r>
      <w:proofErr w:type="spellEnd"/>
      <w:r w:rsidRPr="00B93FA1">
        <w:rPr>
          <w:szCs w:val="24"/>
        </w:rPr>
        <w:t xml:space="preserve"> </w:t>
      </w:r>
      <w:proofErr w:type="spellStart"/>
      <w:r w:rsidRPr="00B93FA1">
        <w:rPr>
          <w:szCs w:val="24"/>
        </w:rPr>
        <w:t>strategies</w:t>
      </w:r>
      <w:proofErr w:type="spellEnd"/>
      <w:r w:rsidRPr="00B93FA1">
        <w:rPr>
          <w:szCs w:val="24"/>
        </w:rPr>
        <w:t>“ (Chudoba v dopravě: Definice, ukazatele, determinanty a strategie zmírňování),</w:t>
      </w:r>
    </w:p>
    <w:p w14:paraId="7D59ACAA" w14:textId="77777777" w:rsidR="002C52D3" w:rsidRPr="00B93FA1" w:rsidRDefault="002C52D3" w:rsidP="00B93FA1">
      <w:pPr>
        <w:pStyle w:val="NormalHanging12a"/>
        <w:rPr>
          <w:szCs w:val="24"/>
        </w:rPr>
      </w:pPr>
      <w:r w:rsidRPr="00B93FA1">
        <w:rPr>
          <w:szCs w:val="24"/>
        </w:rPr>
        <w:t>–</w:t>
      </w:r>
      <w:r w:rsidRPr="00B93FA1">
        <w:rPr>
          <w:szCs w:val="24"/>
        </w:rPr>
        <w:tab/>
        <w:t xml:space="preserve">s ohledem na zprávu sítě </w:t>
      </w:r>
      <w:proofErr w:type="spellStart"/>
      <w:r w:rsidRPr="00B93FA1">
        <w:rPr>
          <w:szCs w:val="24"/>
        </w:rPr>
        <w:t>Eurochild</w:t>
      </w:r>
      <w:proofErr w:type="spellEnd"/>
      <w:r w:rsidRPr="00B93FA1">
        <w:rPr>
          <w:szCs w:val="24"/>
        </w:rPr>
        <w:t xml:space="preserve"> nazvanou „</w:t>
      </w:r>
      <w:proofErr w:type="spellStart"/>
      <w:r w:rsidRPr="00B93FA1">
        <w:rPr>
          <w:szCs w:val="24"/>
        </w:rPr>
        <w:t>Children’s</w:t>
      </w:r>
      <w:proofErr w:type="spellEnd"/>
      <w:r w:rsidRPr="00B93FA1">
        <w:rPr>
          <w:szCs w:val="24"/>
        </w:rPr>
        <w:t xml:space="preserve"> </w:t>
      </w:r>
      <w:proofErr w:type="spellStart"/>
      <w:r w:rsidRPr="00B93FA1">
        <w:rPr>
          <w:szCs w:val="24"/>
        </w:rPr>
        <w:t>Realities</w:t>
      </w:r>
      <w:proofErr w:type="spellEnd"/>
      <w:r w:rsidRPr="00B93FA1">
        <w:rPr>
          <w:szCs w:val="24"/>
        </w:rPr>
        <w:t xml:space="preserve"> in </w:t>
      </w:r>
      <w:proofErr w:type="spellStart"/>
      <w:r w:rsidRPr="00B93FA1">
        <w:rPr>
          <w:szCs w:val="24"/>
        </w:rPr>
        <w:t>Europe</w:t>
      </w:r>
      <w:proofErr w:type="spellEnd"/>
      <w:r w:rsidRPr="00B93FA1">
        <w:rPr>
          <w:szCs w:val="24"/>
        </w:rPr>
        <w:t xml:space="preserve">: </w:t>
      </w:r>
      <w:proofErr w:type="spellStart"/>
      <w:r w:rsidRPr="00B93FA1">
        <w:rPr>
          <w:szCs w:val="24"/>
        </w:rPr>
        <w:t>Progress</w:t>
      </w:r>
      <w:proofErr w:type="spellEnd"/>
      <w:r w:rsidRPr="00B93FA1">
        <w:rPr>
          <w:szCs w:val="24"/>
        </w:rPr>
        <w:t xml:space="preserve"> &amp; </w:t>
      </w:r>
      <w:proofErr w:type="spellStart"/>
      <w:r w:rsidRPr="00B93FA1">
        <w:rPr>
          <w:szCs w:val="24"/>
        </w:rPr>
        <w:t>Gaps</w:t>
      </w:r>
      <w:proofErr w:type="spellEnd"/>
      <w:r w:rsidRPr="00B93FA1">
        <w:rPr>
          <w:szCs w:val="24"/>
        </w:rPr>
        <w:t xml:space="preserve">– </w:t>
      </w:r>
      <w:proofErr w:type="spellStart"/>
      <w:r w:rsidRPr="00B93FA1">
        <w:rPr>
          <w:szCs w:val="24"/>
        </w:rPr>
        <w:t>Eurochild</w:t>
      </w:r>
      <w:proofErr w:type="spellEnd"/>
      <w:r w:rsidRPr="00B93FA1">
        <w:rPr>
          <w:szCs w:val="24"/>
        </w:rPr>
        <w:t xml:space="preserve"> 2024 </w:t>
      </w:r>
      <w:proofErr w:type="spellStart"/>
      <w:r w:rsidRPr="00B93FA1">
        <w:rPr>
          <w:szCs w:val="24"/>
        </w:rPr>
        <w:t>flagship</w:t>
      </w:r>
      <w:proofErr w:type="spellEnd"/>
      <w:r w:rsidRPr="00B93FA1">
        <w:rPr>
          <w:szCs w:val="24"/>
        </w:rPr>
        <w:t xml:space="preserve"> report on </w:t>
      </w:r>
      <w:proofErr w:type="spellStart"/>
      <w:r w:rsidRPr="00B93FA1">
        <w:rPr>
          <w:szCs w:val="24"/>
        </w:rPr>
        <w:t>children</w:t>
      </w:r>
      <w:proofErr w:type="spellEnd"/>
      <w:r w:rsidRPr="00B93FA1">
        <w:rPr>
          <w:szCs w:val="24"/>
        </w:rPr>
        <w:t xml:space="preserve"> in </w:t>
      </w:r>
      <w:proofErr w:type="spellStart"/>
      <w:r w:rsidRPr="00B93FA1">
        <w:rPr>
          <w:szCs w:val="24"/>
        </w:rPr>
        <w:t>need</w:t>
      </w:r>
      <w:proofErr w:type="spellEnd"/>
      <w:r w:rsidRPr="00B93FA1">
        <w:rPr>
          <w:szCs w:val="24"/>
        </w:rPr>
        <w:t xml:space="preserve"> </w:t>
      </w:r>
      <w:proofErr w:type="spellStart"/>
      <w:r w:rsidRPr="00B93FA1">
        <w:rPr>
          <w:szCs w:val="24"/>
        </w:rPr>
        <w:t>across</w:t>
      </w:r>
      <w:proofErr w:type="spellEnd"/>
      <w:r w:rsidRPr="00B93FA1">
        <w:rPr>
          <w:szCs w:val="24"/>
        </w:rPr>
        <w:t xml:space="preserve"> </w:t>
      </w:r>
      <w:proofErr w:type="spellStart"/>
      <w:r w:rsidRPr="00B93FA1">
        <w:rPr>
          <w:szCs w:val="24"/>
        </w:rPr>
        <w:t>Europe</w:t>
      </w:r>
      <w:proofErr w:type="spellEnd"/>
      <w:r w:rsidRPr="00B93FA1">
        <w:rPr>
          <w:szCs w:val="24"/>
        </w:rPr>
        <w:t>“ (Dětská realita v Evropě: Pokrok a nedostatky – stěžejní zpráva sítě o dětech v nouzi v celé Evropě za rok 2024, zveřejněnou v roce 2024,</w:t>
      </w:r>
    </w:p>
    <w:p w14:paraId="7441E360" w14:textId="77777777" w:rsidR="002C52D3" w:rsidRPr="00B93FA1" w:rsidRDefault="002C52D3" w:rsidP="00B93FA1">
      <w:pPr>
        <w:pStyle w:val="NormalHanging12a"/>
        <w:rPr>
          <w:szCs w:val="24"/>
        </w:rPr>
      </w:pPr>
      <w:r w:rsidRPr="00B93FA1">
        <w:rPr>
          <w:szCs w:val="24"/>
        </w:rPr>
        <w:t>–</w:t>
      </w:r>
      <w:r w:rsidRPr="00B93FA1">
        <w:rPr>
          <w:szCs w:val="24"/>
        </w:rPr>
        <w:tab/>
        <w:t>s ohledem na článek 55 jednacího řádu,</w:t>
      </w:r>
    </w:p>
    <w:p w14:paraId="1EBCD030" w14:textId="77777777" w:rsidR="002C52D3" w:rsidRPr="00B93FA1" w:rsidRDefault="002C52D3" w:rsidP="00B93FA1">
      <w:pPr>
        <w:pStyle w:val="NormalHanging12a"/>
        <w:rPr>
          <w:szCs w:val="24"/>
        </w:rPr>
      </w:pPr>
      <w:r w:rsidRPr="00B93FA1">
        <w:rPr>
          <w:szCs w:val="24"/>
        </w:rPr>
        <w:t>–</w:t>
      </w:r>
      <w:r w:rsidRPr="00B93FA1">
        <w:rPr>
          <w:szCs w:val="24"/>
        </w:rPr>
        <w:tab/>
        <w:t>s ohledem na stanovisko Výboru pro práva žen a rovnost pohlaví,</w:t>
      </w:r>
    </w:p>
    <w:p w14:paraId="4C8B9415" w14:textId="0F72C4F2" w:rsidR="002C52D3" w:rsidRPr="00B93FA1" w:rsidRDefault="002C52D3" w:rsidP="00B93FA1">
      <w:pPr>
        <w:pStyle w:val="NormalHanging12a"/>
        <w:rPr>
          <w:szCs w:val="24"/>
        </w:rPr>
      </w:pPr>
      <w:r w:rsidRPr="00B93FA1">
        <w:rPr>
          <w:szCs w:val="24"/>
        </w:rPr>
        <w:t>–</w:t>
      </w:r>
      <w:r w:rsidRPr="00B93FA1">
        <w:rPr>
          <w:szCs w:val="24"/>
        </w:rPr>
        <w:tab/>
        <w:t>s ohledem na zprávu Výboru pro zaměstnanost a sociální věci (A10-0</w:t>
      </w:r>
      <w:r w:rsidR="00E12202">
        <w:rPr>
          <w:szCs w:val="24"/>
        </w:rPr>
        <w:t>26</w:t>
      </w:r>
      <w:r w:rsidRPr="00B93FA1">
        <w:rPr>
          <w:szCs w:val="24"/>
        </w:rPr>
        <w:t>0/2025),</w:t>
      </w:r>
    </w:p>
    <w:p w14:paraId="21BCD0E2" w14:textId="77777777" w:rsidR="002C52D3" w:rsidRPr="00B93FA1" w:rsidRDefault="002C52D3" w:rsidP="00B93FA1">
      <w:pPr>
        <w:spacing w:after="240"/>
        <w:ind w:left="567" w:hanging="567"/>
        <w:rPr>
          <w:rFonts w:eastAsiaTheme="minorHAnsi"/>
          <w:szCs w:val="24"/>
        </w:rPr>
      </w:pPr>
      <w:r w:rsidRPr="00B93FA1">
        <w:rPr>
          <w:szCs w:val="24"/>
        </w:rPr>
        <w:t>A.</w:t>
      </w:r>
      <w:r w:rsidRPr="00B93FA1">
        <w:rPr>
          <w:szCs w:val="24"/>
        </w:rPr>
        <w:tab/>
        <w:t xml:space="preserve">vzhledem k tomu, že v roce 2024 bylo 93,3 milionu lidí v EU (21,0 % obyvatelstva) ohroženo chudobou nebo sociálním vyloučením, což je jen o něco méně než v roce 2019; a vzhledem k tomu, že v roce 2024 bylo 21,9 % obyvatel EU žijících v rodinách </w:t>
      </w:r>
      <w:r w:rsidRPr="00B93FA1">
        <w:rPr>
          <w:szCs w:val="24"/>
        </w:rPr>
        <w:lastRenderedPageBreak/>
        <w:t>se závislými dětmi ohroženo chudobou nebo sociálním vyloučením</w:t>
      </w:r>
      <w:r w:rsidRPr="00B93FA1">
        <w:rPr>
          <w:rStyle w:val="FootnoteReference"/>
          <w:bCs/>
          <w:iCs/>
          <w:szCs w:val="24"/>
        </w:rPr>
        <w:footnoteReference w:id="29"/>
      </w:r>
      <w:r w:rsidRPr="00B93FA1">
        <w:rPr>
          <w:szCs w:val="24"/>
        </w:rPr>
        <w:t>;</w:t>
      </w:r>
    </w:p>
    <w:p w14:paraId="63A62D1D" w14:textId="40FA277E" w:rsidR="002C52D3" w:rsidRPr="00B93FA1" w:rsidRDefault="002C52D3" w:rsidP="00B93FA1">
      <w:pPr>
        <w:spacing w:after="240"/>
        <w:ind w:left="567" w:hanging="567"/>
        <w:rPr>
          <w:bCs/>
          <w:iCs/>
          <w:szCs w:val="24"/>
        </w:rPr>
      </w:pPr>
      <w:r w:rsidRPr="00B93FA1">
        <w:rPr>
          <w:szCs w:val="24"/>
        </w:rPr>
        <w:t>B.</w:t>
      </w:r>
      <w:r w:rsidRPr="00B93FA1">
        <w:rPr>
          <w:szCs w:val="24"/>
        </w:rPr>
        <w:tab/>
        <w:t>vzhledem k tomu, že těžká materiální deprivace je definována jako nedostatek nezbytných a žádoucích věcí, které jsou nutné pro vedení přiměřeného života; vzhledem k tomu, že v roce 2024 se 6,4 % obyvatel EU potýkalo s vážnou materiální a sociální deprivací, včetně nedostatečného vytápění, přeplněného bydlení a nedostatečné výživy, vzhledem k tomu, že děti a ženy jsou tímto jevem postiženy neúměrně více než jiné skupiny obyvatel;</w:t>
      </w:r>
    </w:p>
    <w:p w14:paraId="791DA885" w14:textId="77777777" w:rsidR="002C52D3" w:rsidRPr="00B93FA1" w:rsidRDefault="002C52D3" w:rsidP="00B93FA1">
      <w:pPr>
        <w:spacing w:after="240"/>
        <w:ind w:left="567" w:hanging="567"/>
        <w:rPr>
          <w:bCs/>
          <w:iCs/>
          <w:szCs w:val="24"/>
        </w:rPr>
      </w:pPr>
      <w:r w:rsidRPr="00B93FA1">
        <w:rPr>
          <w:szCs w:val="24"/>
        </w:rPr>
        <w:t>C.</w:t>
      </w:r>
      <w:r w:rsidRPr="00B93FA1">
        <w:rPr>
          <w:szCs w:val="24"/>
        </w:rPr>
        <w:tab/>
        <w:t>vzhledem k tomu, že EU v roce 2021 v Akčním plánu pro evropský pilíř sociálních práv přijala cíl snížit do roku 2030 počet osob ohrožených chudobou nebo sociálním vyloučením nejméně o 15 milionů ve srovnání s rokem 2019, včetně nejméně 5 milionů dětí; vzhledem k tomu, že i dosažení tohoto cíle by znamenalo, že přibližně 78 milionů lidí v EU, včetně 15 milionů dětí, by bylo v té době dále ohroženo chudobou a sociálním vyloučením; vzhledem k tomu, že členské státy se zavázaly k plnění vnitrostátních cílů, aby tohoto hlavního cíle dosáhly, a vzhledem k tomu, že tento trend ukazuje pro téměř polovinu členských států opačný směr;</w:t>
      </w:r>
    </w:p>
    <w:p w14:paraId="01D6E13E" w14:textId="57C9F3B9" w:rsidR="002C52D3" w:rsidRPr="00B93FA1" w:rsidRDefault="002C52D3" w:rsidP="00B93FA1">
      <w:pPr>
        <w:spacing w:after="240"/>
        <w:ind w:left="567" w:hanging="567"/>
        <w:rPr>
          <w:bCs/>
          <w:iCs/>
          <w:szCs w:val="24"/>
        </w:rPr>
      </w:pPr>
      <w:r w:rsidRPr="00D565A7">
        <w:rPr>
          <w:szCs w:val="24"/>
        </w:rPr>
        <w:t>D.</w:t>
      </w:r>
      <w:r w:rsidRPr="00D565A7">
        <w:rPr>
          <w:szCs w:val="24"/>
        </w:rPr>
        <w:tab/>
        <w:t>vzhledem k tomu, že chudoba představuje porušení lidské důstojnosti, které brání plnému požívání lidských práv a odráží nerovnoměrné rozdělení bohatství; vzhledem k tomu, že potřeba vymýtit chudobu vyžaduje rovný přístup k zaměstnání a službám i politiky, které zajistí nedělitelnou a univerzální povahu politických, hospodářských, sociálních a kulturních práv; vzhledem k tomu, že chudoba je mnohostranný jev, který přesahuje rámec materiální deprivace a zahrnuje překážky v oblasti vzdělávání, zdravotní péče, sociální a demokratické účasti a ekonomických příležitostí;</w:t>
      </w:r>
    </w:p>
    <w:p w14:paraId="2B8BC2CB" w14:textId="77777777" w:rsidR="002C52D3" w:rsidRPr="00B93FA1" w:rsidRDefault="002C52D3" w:rsidP="00B93FA1">
      <w:pPr>
        <w:spacing w:after="240"/>
        <w:ind w:left="567" w:hanging="567"/>
        <w:rPr>
          <w:bCs/>
          <w:iCs/>
          <w:szCs w:val="24"/>
        </w:rPr>
      </w:pPr>
      <w:r w:rsidRPr="00B93FA1">
        <w:rPr>
          <w:szCs w:val="24"/>
        </w:rPr>
        <w:t>E.</w:t>
      </w:r>
      <w:r w:rsidRPr="00B93FA1">
        <w:rPr>
          <w:szCs w:val="24"/>
        </w:rPr>
        <w:tab/>
        <w:t>vzhledem k tomu, že bez změny přístupu k vymýcení chudoby na úrovni EU nebude možné tento trend zvrátit a zajistit, aby měl každý rovné příležitosti k účasti na životě společnosti; vzhledem k tomu, že vymýcení chudoby vyžaduje koordinovaný a holistický přístup a integrované politiky, které působí ve vzájemné shodě, aby bylo dosaženo sociální soudržnosti a zabráněno prohlubování nerovností; vzhledem k tomu, že tato komplexní strategie vyžaduje zapojení členských států, místních a regionálních orgánů, sociálních partnerů a občanské společnosti;</w:t>
      </w:r>
    </w:p>
    <w:p w14:paraId="2BBCB33A" w14:textId="77777777" w:rsidR="002C52D3" w:rsidRPr="00B93FA1" w:rsidRDefault="002C52D3" w:rsidP="00B93FA1">
      <w:pPr>
        <w:spacing w:after="240"/>
        <w:ind w:left="567" w:hanging="567"/>
        <w:rPr>
          <w:bCs/>
          <w:iCs/>
          <w:szCs w:val="24"/>
        </w:rPr>
      </w:pPr>
      <w:r w:rsidRPr="00B93FA1">
        <w:rPr>
          <w:szCs w:val="24"/>
        </w:rPr>
        <w:t>F.</w:t>
      </w:r>
      <w:r w:rsidRPr="00B93FA1">
        <w:rPr>
          <w:szCs w:val="24"/>
        </w:rPr>
        <w:tab/>
        <w:t>vzhledem k tomu, že neúplné rodiny, zejména ty, v jejichž čele stojí ženy, čelí zvýšenému riziku chudoby odpovídajícímu 32 %, zatímco u rodin se dvěma rodiči je ton jen 11,2 %</w:t>
      </w:r>
      <w:r w:rsidRPr="00B93FA1">
        <w:rPr>
          <w:rStyle w:val="FootnoteReference"/>
          <w:szCs w:val="24"/>
        </w:rPr>
        <w:footnoteReference w:id="30"/>
      </w:r>
      <w:r w:rsidRPr="00B93FA1">
        <w:rPr>
          <w:szCs w:val="24"/>
        </w:rPr>
        <w:t xml:space="preserve">, což má za následek, že se členové rodiny častěji ocitají v bludném kruhu chudoby předávané z generace na generaci; vzhledem k tomu, že systémové faktory, jako je nedostatečný přístup ke službám, nestabilita bydlení, nejistota příjmů a nedostatečné služby prevence a podpory rodin, podkopávají schopnost rodin pečovat o své děti v komunitním prostředí; vzhledem k tomu, že cílená preventivní podpora a pomoc rodinám, včetně obětí domácího násilí, jsou nezbytné pro posílení těchto rodin </w:t>
      </w:r>
      <w:r w:rsidRPr="00B93FA1">
        <w:rPr>
          <w:szCs w:val="24"/>
        </w:rPr>
        <w:lastRenderedPageBreak/>
        <w:t>a prolomení cyklu chudoby;</w:t>
      </w:r>
    </w:p>
    <w:p w14:paraId="01347B83" w14:textId="77777777" w:rsidR="002C52D3" w:rsidRPr="00B93FA1" w:rsidRDefault="002C52D3" w:rsidP="00B93FA1">
      <w:pPr>
        <w:spacing w:after="240"/>
        <w:ind w:left="567" w:hanging="567"/>
        <w:rPr>
          <w:szCs w:val="24"/>
        </w:rPr>
      </w:pPr>
      <w:r w:rsidRPr="00B93FA1">
        <w:rPr>
          <w:szCs w:val="24"/>
        </w:rPr>
        <w:t>G.</w:t>
      </w:r>
      <w:r w:rsidRPr="00B93FA1">
        <w:rPr>
          <w:szCs w:val="24"/>
        </w:rPr>
        <w:tab/>
        <w:t>vzhledem k tomu, že ukazatel počtu dětí ohrožených chudobou vzrostl z 23,6 % v roce 2019 na 24,2 % v roce 2024; vzhledem k tomu, že podle současného vývoje EU nesplní cíl snížit do roku 2030 počet dětí žijících v chudobě nejméně o 5 milionů; vzhledem k tomu, že jsou pozorovány značné rozdíly, pokud jde o děti z etnických menšin nebo z přistěhovaleckého prostředí, děti se zdravotním postižením a romské děti; vzhledem k tomu, že zdroje EU a vnitrostátní zdroje, které jsou v současné době využívány, nejsou pro řešení problému dětské chudoby v EU dostatečné;</w:t>
      </w:r>
    </w:p>
    <w:p w14:paraId="5572EFFC" w14:textId="77777777" w:rsidR="002C52D3" w:rsidRPr="00B93FA1" w:rsidRDefault="002C52D3" w:rsidP="00B93FA1">
      <w:pPr>
        <w:spacing w:after="240"/>
        <w:ind w:left="567" w:hanging="567"/>
        <w:rPr>
          <w:szCs w:val="24"/>
        </w:rPr>
      </w:pPr>
      <w:r w:rsidRPr="00B93FA1">
        <w:rPr>
          <w:szCs w:val="24"/>
        </w:rPr>
        <w:t>H.</w:t>
      </w:r>
      <w:r w:rsidRPr="00B93FA1">
        <w:rPr>
          <w:szCs w:val="24"/>
        </w:rPr>
        <w:tab/>
        <w:t>vzhledem k tomu, že dětská chudoba často pramení z chudoby rodin a absence komplexní reakce znamená, že chudoba přetrvává v průběhu celého života (v dětství, v pracovním životě a v důchodu); vzhledem k tomu, že k překonání mezigeneračního znevýhodnění je třeba se zaměřit na celou rodinu, která zažívá chudobu – na rodiče a děti; vzhledem k tomu, že investice do dětí a mládeže, zejména do předškolního vzdělávání a péče, včetně rozvoje matematické a čtenářské gramotnosti, jakož i do podpory rodin, působí jako prevence chudoby a přináší významné dlouhodobé sociální výhody a neměly by být vnímány pouze jako sociální výdaje, nýbrž jako investice do budoucnosti;</w:t>
      </w:r>
    </w:p>
    <w:p w14:paraId="356D7482" w14:textId="77777777" w:rsidR="002C52D3" w:rsidRPr="00B93FA1" w:rsidRDefault="002C52D3" w:rsidP="00B93FA1">
      <w:pPr>
        <w:spacing w:after="240"/>
        <w:ind w:left="567" w:hanging="567"/>
        <w:rPr>
          <w:szCs w:val="24"/>
        </w:rPr>
      </w:pPr>
      <w:r w:rsidRPr="00B93FA1">
        <w:rPr>
          <w:szCs w:val="24"/>
        </w:rPr>
        <w:t>I.</w:t>
      </w:r>
      <w:r w:rsidRPr="00B93FA1">
        <w:rPr>
          <w:szCs w:val="24"/>
        </w:rPr>
        <w:tab/>
        <w:t>vzhledem k tomu, že dne 14. června 2021 přijala Rada doporučení o evropské záruce pro děti, která představuje významnou příležitost ke snížení nerovností a podpoře sociálního začleňování dětí a prokazuje její závazek k integrované politice zaměřené na prolomení bludného kruhu chudoby s cílem zajistit, aby měly děti v nouzi přístup k základním službám, jako jsou například bezplatné služby péče o děti a vzdělávání v raném věku, bezplatné vzdělávání (včetně aktivit ve školách a alespoň jednoho zdravého jídla každý školní den), bezplatná zdravotní péče, zdravá výživa a odpovídající bydlení; vzhledem k tomu, že navzdory skutečnosti, že 5 % z ESF+ je vyčleněno speciálně na snižování dětské chudoby se v některých členských státech zvýšila míra ohrožení chudobou nebo sociálním vyloučením u dětí, což ukazuje na potřebu ambicióznějšího a efektivnějšího využití finančních prostředků;</w:t>
      </w:r>
    </w:p>
    <w:p w14:paraId="431B7BFD" w14:textId="77777777" w:rsidR="002C52D3" w:rsidRPr="00B93FA1" w:rsidRDefault="002C52D3" w:rsidP="00B93FA1">
      <w:pPr>
        <w:spacing w:after="240"/>
        <w:ind w:left="567" w:hanging="567"/>
        <w:rPr>
          <w:bCs/>
          <w:iCs/>
          <w:szCs w:val="24"/>
        </w:rPr>
      </w:pPr>
      <w:r w:rsidRPr="00B93FA1">
        <w:rPr>
          <w:szCs w:val="24"/>
        </w:rPr>
        <w:t>J.</w:t>
      </w:r>
      <w:r w:rsidRPr="00B93FA1">
        <w:rPr>
          <w:szCs w:val="24"/>
        </w:rPr>
        <w:tab/>
        <w:t>vzhledem k tomu, že přístup ke kvalitním službám předškolního vzdělávání a péče o děti má zásadní význam pro zdravý vývoj malých dětí a pro zajištění rovných příležitostí ve vzdělávání pro děti ze znevýhodněného prostředí, jako jsou děti se zdravotním postižením nebo se specifickými vzdělávacími potřebami, což je základem pro prolomení cyklu chudoby a podporu sociálního začlenění a přináší vysokou budoucí sociální návratnost; vzhledem k tomu, že podle Komise musí EU investovat na dodatečné výdaje více než 11 miliard EU ročně na to, aby dosáhla barcelonských cílů a zajistila do roku 2030 účast alespoň 45 % dětí mladších tří let a 96 % dětí ve věku od tří let do věku povinného základního vzdělávání v předškolním vzdělávání a péči</w:t>
      </w:r>
      <w:r w:rsidRPr="00B93FA1">
        <w:rPr>
          <w:rStyle w:val="FootnoteReference"/>
          <w:bCs/>
          <w:iCs/>
          <w:szCs w:val="24"/>
        </w:rPr>
        <w:footnoteReference w:id="31"/>
      </w:r>
      <w:r w:rsidRPr="00B93FA1">
        <w:rPr>
          <w:szCs w:val="24"/>
        </w:rPr>
        <w:t>;</w:t>
      </w:r>
    </w:p>
    <w:p w14:paraId="10706DCF" w14:textId="77777777" w:rsidR="002C52D3" w:rsidRPr="00B93FA1" w:rsidRDefault="002C52D3" w:rsidP="00B93FA1">
      <w:pPr>
        <w:spacing w:after="240"/>
        <w:ind w:left="567" w:hanging="567"/>
        <w:rPr>
          <w:bCs/>
          <w:iCs/>
          <w:szCs w:val="24"/>
        </w:rPr>
      </w:pPr>
      <w:r w:rsidRPr="00B93FA1">
        <w:rPr>
          <w:szCs w:val="24"/>
        </w:rPr>
        <w:t>K.</w:t>
      </w:r>
      <w:r w:rsidRPr="00B93FA1">
        <w:rPr>
          <w:szCs w:val="24"/>
        </w:rPr>
        <w:tab/>
        <w:t xml:space="preserve">vzhledem k tomu, že v roce 2022 se průměrné skóre Programu pro mezinárodní hodnocení žáků u měření základních dovedností (čtení, matematika a přírodní vědy) patnáctiletých dětí snížilo ve srovnání s posledním hodnocením v roce 2018 o 10 bodů; vzhledem k tomu, že u znevýhodněných studentů převažují nedostatečné výsledky, což </w:t>
      </w:r>
      <w:r w:rsidRPr="00B93FA1">
        <w:rPr>
          <w:szCs w:val="24"/>
        </w:rPr>
        <w:lastRenderedPageBreak/>
        <w:t>svědčí o prohlubování nerovností ve vzdělávání; vzhledem k tomu, že kvalitní vzdělání se zvláštním zaměřením na posilování funkční matematické a čtenářské gramotnosti a digitálních dovedností jakožto základních dovedností, je základním nástrojem v boji proti chudobě, neboť vede k lepším pracovním příležitostem, lepším životním podmínkám a má pozitivní dopad na duševní i fyzické zdraví; vzhledem k tomu, že investice do kvalitního vzdělávání, zejména pro osoby z menšin a zranitelných skupin, jsou jedním z nejúčinnějších způsobů, jak trvale a strukturálně snížit chudobu;</w:t>
      </w:r>
    </w:p>
    <w:p w14:paraId="443149F5" w14:textId="77777777" w:rsidR="002C52D3" w:rsidRPr="00B93FA1" w:rsidRDefault="002C52D3" w:rsidP="00B93FA1">
      <w:pPr>
        <w:spacing w:after="240"/>
        <w:ind w:left="567" w:hanging="567"/>
        <w:rPr>
          <w:bCs/>
          <w:iCs/>
          <w:szCs w:val="24"/>
        </w:rPr>
      </w:pPr>
      <w:r w:rsidRPr="00B93FA1">
        <w:rPr>
          <w:szCs w:val="24"/>
        </w:rPr>
        <w:t>L.</w:t>
      </w:r>
      <w:r w:rsidRPr="00B93FA1">
        <w:rPr>
          <w:szCs w:val="24"/>
        </w:rPr>
        <w:tab/>
        <w:t>vzhledem k tomu, že EU v roce 2021 v Akčním plánu pro evropský pilíř sociálních práv přijala cíl, aby se do roku 2030 každoročně účastnilo odborné přípravy nejméně 60 % dospělých osob; vzhledem k tomu, že členské státy se zavázaly k plnění vnitrostátních cílů, aby tohoto hlavního cíle dosáhly, a vzhledem k tomu, že většina členských států při plnění těchto vnitrostátních cílů zaostává; vzhledem k tomu, že v roce 2022 činila míra účasti dospělých na vzdělávání 39,5 %, což je stále výrazně pod cílem EU pro rok 2030</w:t>
      </w:r>
      <w:r w:rsidRPr="00B93FA1">
        <w:rPr>
          <w:rStyle w:val="FootnoteReference"/>
          <w:bCs/>
          <w:iCs/>
          <w:szCs w:val="24"/>
        </w:rPr>
        <w:footnoteReference w:id="32"/>
      </w:r>
      <w:r w:rsidRPr="00B93FA1">
        <w:rPr>
          <w:szCs w:val="24"/>
        </w:rPr>
        <w:t>; vzhledem k tomu, že je třeba vyvinout další zásadní úsilí s cílem zajistit poskytování kvalitních politik odborné přípravy, které podporují celoživotní učení, a přístup k těmto politikám;</w:t>
      </w:r>
    </w:p>
    <w:p w14:paraId="31EF18D7" w14:textId="77777777" w:rsidR="002C52D3" w:rsidRPr="00B93FA1" w:rsidRDefault="002C52D3" w:rsidP="00B93FA1">
      <w:pPr>
        <w:spacing w:after="240"/>
        <w:ind w:left="567" w:hanging="567"/>
        <w:rPr>
          <w:bCs/>
          <w:iCs/>
          <w:szCs w:val="24"/>
        </w:rPr>
      </w:pPr>
      <w:r w:rsidRPr="00B93FA1">
        <w:rPr>
          <w:szCs w:val="24"/>
        </w:rPr>
        <w:t>M.</w:t>
      </w:r>
      <w:r w:rsidRPr="00B93FA1">
        <w:rPr>
          <w:szCs w:val="24"/>
        </w:rPr>
        <w:tab/>
        <w:t>vzhledem k tomu, že ženy jsou postiženy vyšší mírou chudoby v důsledku diskriminace a nerovností ve srovnání s muži, což zahrnuje větší potíže s přístupem k zaměstnání, mzdové rozdíly, nižší intenzitu práce, kratší profesní kariéry, rozdíly ve výši důchodů a sociálních dávek</w:t>
      </w:r>
      <w:r w:rsidRPr="00B93FA1">
        <w:rPr>
          <w:rStyle w:val="FootnoteReference"/>
          <w:bCs/>
          <w:iCs/>
          <w:szCs w:val="24"/>
        </w:rPr>
        <w:footnoteReference w:id="33"/>
      </w:r>
      <w:r w:rsidRPr="00B93FA1">
        <w:rPr>
          <w:szCs w:val="24"/>
        </w:rPr>
        <w:t>, potíže s přístupem ke zvláštní zdravotní péči, nerovné rozdělení péče a práce v domácnosti</w:t>
      </w:r>
      <w:r w:rsidRPr="00B93FA1">
        <w:rPr>
          <w:rStyle w:val="FootnoteReference"/>
          <w:bCs/>
          <w:iCs/>
          <w:szCs w:val="24"/>
        </w:rPr>
        <w:footnoteReference w:id="34"/>
      </w:r>
      <w:r w:rsidRPr="00B93FA1">
        <w:rPr>
          <w:szCs w:val="24"/>
        </w:rPr>
        <w:t>; vzhledem k tomu, že chudobu žen v celé její rozmanitosti je třeba chápat jako komplexní a vícerozměrný jev, který zahrnuje nejen sociální, politické a kulturní aspekty, ale také příjmy, bydlení, zdravotní péči a přístup ke vzdělávání a sociálním službám, a nemůže být vymýcen pouze zaměstnáním, nýbrž vyžaduje komplexní a inkluzivní přístup založený na prevenci i na zmírňování chudoby; vzhledem k tomu, že v roce 2024 byla ve všech zemích EU kromě dvou míra závažné materiální a sociální deprivace vyšší u žen (6,6 %) než u mužů (6,2 %)</w:t>
      </w:r>
      <w:r w:rsidRPr="00B93FA1">
        <w:rPr>
          <w:rStyle w:val="FootnoteReference"/>
          <w:bCs/>
          <w:iCs/>
          <w:szCs w:val="24"/>
        </w:rPr>
        <w:footnoteReference w:id="35"/>
      </w:r>
      <w:r w:rsidRPr="00B93FA1">
        <w:rPr>
          <w:szCs w:val="24"/>
        </w:rPr>
        <w:t xml:space="preserve"> a míra ohrožení chudobou nebo sociálním vyloučením byla vyšší u žen (21,9 %) než u mužů (20 %) ve všech zemích EU</w:t>
      </w:r>
      <w:r w:rsidRPr="00B93FA1">
        <w:rPr>
          <w:rStyle w:val="FootnoteReference"/>
          <w:bCs/>
          <w:iCs/>
          <w:szCs w:val="24"/>
        </w:rPr>
        <w:footnoteReference w:id="36"/>
      </w:r>
      <w:r w:rsidRPr="00B93FA1">
        <w:rPr>
          <w:szCs w:val="24"/>
        </w:rPr>
        <w:t xml:space="preserve">; vzhledem k tomu, že ve stejném roce se 23,7 % žen a </w:t>
      </w:r>
      <w:r w:rsidRPr="00B93FA1">
        <w:rPr>
          <w:szCs w:val="24"/>
        </w:rPr>
        <w:lastRenderedPageBreak/>
        <w:t>22,7 % mužů v EU považovalo za chudé</w:t>
      </w:r>
      <w:r w:rsidRPr="00B93FA1">
        <w:rPr>
          <w:rStyle w:val="FootnoteReference"/>
          <w:bCs/>
          <w:iCs/>
          <w:szCs w:val="24"/>
        </w:rPr>
        <w:footnoteReference w:id="37"/>
      </w:r>
      <w:r w:rsidRPr="00B93FA1">
        <w:rPr>
          <w:szCs w:val="24"/>
        </w:rPr>
        <w:t>; vzhledem k tomu, že 21,6 % žen ve věku 65 let a více bylo ohroženo chudobou ve srovnání s přibližně 16,5 % mužů ve stejné věkové skupině</w:t>
      </w:r>
      <w:r w:rsidRPr="00B93FA1">
        <w:rPr>
          <w:rStyle w:val="FootnoteReference"/>
          <w:bCs/>
          <w:iCs/>
          <w:szCs w:val="24"/>
        </w:rPr>
        <w:footnoteReference w:id="38"/>
      </w:r>
      <w:r w:rsidRPr="00B93FA1">
        <w:rPr>
          <w:szCs w:val="24"/>
        </w:rPr>
        <w:t>;</w:t>
      </w:r>
    </w:p>
    <w:p w14:paraId="3C98CBF8" w14:textId="77777777" w:rsidR="002C52D3" w:rsidRPr="00B93FA1" w:rsidRDefault="002C52D3" w:rsidP="00B93FA1">
      <w:pPr>
        <w:spacing w:after="240"/>
        <w:ind w:left="567" w:hanging="567"/>
        <w:rPr>
          <w:bCs/>
          <w:iCs/>
          <w:szCs w:val="24"/>
        </w:rPr>
      </w:pPr>
      <w:r w:rsidRPr="00B93FA1">
        <w:rPr>
          <w:szCs w:val="24"/>
        </w:rPr>
        <w:t>N.</w:t>
      </w:r>
      <w:r w:rsidRPr="00B93FA1">
        <w:rPr>
          <w:szCs w:val="24"/>
        </w:rPr>
        <w:tab/>
        <w:t xml:space="preserve">vzhledem k tomu, že existuje silná souvislost mezi chudobou a genderově podmíněným násilím a že chudoba zhoršuje dopad genderově podmíněného násilí, zejména na </w:t>
      </w:r>
      <w:proofErr w:type="spellStart"/>
      <w:r w:rsidRPr="00B93FA1">
        <w:rPr>
          <w:szCs w:val="24"/>
        </w:rPr>
        <w:t>marginalizované</w:t>
      </w:r>
      <w:proofErr w:type="spellEnd"/>
      <w:r w:rsidRPr="00B93FA1">
        <w:rPr>
          <w:szCs w:val="24"/>
        </w:rPr>
        <w:t xml:space="preserve"> ženy, jako jsou osoby LGBTIQ+; vzhledem k tomu, že ženy žijící v chudobě čelí vyššímu riziku násilí, včetně násilí mezi partnery a domácího násilí, a to kvůli faktorům, jako je finanční závislost, nejistota bydlení a omezený přístup k podpůrným službám</w:t>
      </w:r>
      <w:r w:rsidRPr="00B93FA1">
        <w:rPr>
          <w:rStyle w:val="FootnoteReference"/>
          <w:bCs/>
          <w:iCs/>
          <w:szCs w:val="24"/>
        </w:rPr>
        <w:footnoteReference w:id="39"/>
      </w:r>
      <w:r w:rsidRPr="00B93FA1">
        <w:rPr>
          <w:szCs w:val="24"/>
        </w:rPr>
        <w:t>; vzhledem k tomu, že ve všech členských státech zažilo během svého života fyzické násilí či vyhrožování nebo sexuální násilí ze strany jakéhokoli pachatele 30,7 % žen</w:t>
      </w:r>
      <w:r w:rsidRPr="00B93FA1">
        <w:rPr>
          <w:rStyle w:val="FootnoteReference"/>
          <w:bCs/>
          <w:iCs/>
          <w:szCs w:val="24"/>
        </w:rPr>
        <w:footnoteReference w:id="40"/>
      </w:r>
      <w:r w:rsidRPr="00B93FA1">
        <w:rPr>
          <w:szCs w:val="24"/>
        </w:rPr>
        <w:t>; vzhledem k tomu, že chudoba vystavuje ženy většímu riziku obchodování s lidmi a sexuálního vykořisťování;</w:t>
      </w:r>
    </w:p>
    <w:p w14:paraId="4CD5B718" w14:textId="7997F012" w:rsidR="002C52D3" w:rsidRPr="00B93FA1" w:rsidRDefault="002C52D3" w:rsidP="00B93FA1">
      <w:pPr>
        <w:spacing w:after="240"/>
        <w:ind w:left="567" w:hanging="567"/>
        <w:rPr>
          <w:bCs/>
          <w:iCs/>
          <w:szCs w:val="24"/>
        </w:rPr>
      </w:pPr>
      <w:r w:rsidRPr="00CF328B">
        <w:rPr>
          <w:szCs w:val="24"/>
        </w:rPr>
        <w:t>O.</w:t>
      </w:r>
      <w:r w:rsidRPr="00CF328B">
        <w:rPr>
          <w:szCs w:val="24"/>
        </w:rPr>
        <w:tab/>
        <w:t>vzhledem k tomu, že chudoba je rovněž příčinou i důsledkem diskriminace z důvodu příslušnosti ke dvěma či více skupinám, která neúměrně postihuje jednotlivce a komunity, jako jsou ženy, rodiny, lidé různého rasového a etnického původu, Romové a </w:t>
      </w:r>
      <w:proofErr w:type="spellStart"/>
      <w:r w:rsidRPr="00CF328B">
        <w:rPr>
          <w:szCs w:val="24"/>
        </w:rPr>
        <w:t>Travelleři</w:t>
      </w:r>
      <w:proofErr w:type="spellEnd"/>
      <w:r w:rsidRPr="00CF328B">
        <w:rPr>
          <w:szCs w:val="24"/>
        </w:rPr>
        <w:t>, osoby bez domova, děti v ústavní péči, osoby LGBTQIA+, starší a mladší lidé, osoby se zdravotním postižením, osoby diskriminované na základě náboženského vyznání nebo přesvědčení, osoby trpící chronickými nemocemi a závislostmi, neformální pečovatelé a rodiče samoživitelé; vzhledem k tomu, že tyto skupiny jsou více ohrožené sociálním vyloučením, navíc v průniku s dalšími formami porušování lidských práv; vzhledem k tomu, že v současných systémech trhu práce a sociální ochrany existují významné překážky pro zranitelné a </w:t>
      </w:r>
      <w:proofErr w:type="spellStart"/>
      <w:r w:rsidRPr="00CF328B">
        <w:rPr>
          <w:szCs w:val="24"/>
        </w:rPr>
        <w:t>marginalizované</w:t>
      </w:r>
      <w:proofErr w:type="spellEnd"/>
      <w:r w:rsidRPr="00CF328B">
        <w:rPr>
          <w:szCs w:val="24"/>
        </w:rPr>
        <w:t xml:space="preserve"> skupiny; vzhledem k tomu, že řešení chudoby proto vyžaduje politiky, které uznávají a potírají tyto překrývající se formy marginalizace a zajišťují, že všichni lidé mohou plně a rovnocenně požívat všech lidských práv;</w:t>
      </w:r>
    </w:p>
    <w:p w14:paraId="3DDDF0EE" w14:textId="77777777" w:rsidR="002C52D3" w:rsidRPr="00B93FA1" w:rsidRDefault="002C52D3" w:rsidP="00B93FA1">
      <w:pPr>
        <w:spacing w:after="240"/>
        <w:ind w:left="567" w:hanging="567"/>
        <w:rPr>
          <w:bCs/>
          <w:iCs/>
          <w:szCs w:val="24"/>
        </w:rPr>
      </w:pPr>
      <w:r w:rsidRPr="00B93FA1">
        <w:rPr>
          <w:szCs w:val="24"/>
        </w:rPr>
        <w:t>P.</w:t>
      </w:r>
      <w:r w:rsidRPr="00B93FA1">
        <w:rPr>
          <w:szCs w:val="24"/>
        </w:rPr>
        <w:tab/>
        <w:t xml:space="preserve">vzhledem k tomu, že v roce 2024 bylo v EU riziko chudoby nebo sociálního vyloučení u osob se zdravotním postižením o 61 % vyšší než u osob bez takových omezení; vzhledem k tomu, že v EU žilo v roce 2023 přibližně 20,2 % osob se zdravotním </w:t>
      </w:r>
      <w:r w:rsidRPr="00B93FA1">
        <w:rPr>
          <w:szCs w:val="24"/>
        </w:rPr>
        <w:lastRenderedPageBreak/>
        <w:t>postižením ve věku 16 let a více v domácnosti ohrožené chudobou; vzhledem k tomu, že ve stejné věkové skupině žilo přibližně 10,5 % osob se zdravotním postižením v domácnosti ohrožené závažnou materiální a sociální deprivací; vzhledem k tomu, že v EU existuje 24% rozdíl v zaměstnanosti mezi osobami se zdravotním postižením a bez něj, přičemž u žen a mladých lidí se zdravotním postižením je tento rozdíl ještě větší</w:t>
      </w:r>
      <w:r w:rsidRPr="00B93FA1">
        <w:rPr>
          <w:rStyle w:val="FootnoteReference"/>
          <w:bCs/>
          <w:iCs/>
          <w:szCs w:val="24"/>
        </w:rPr>
        <w:footnoteReference w:id="41"/>
      </w:r>
      <w:r w:rsidRPr="00B93FA1">
        <w:rPr>
          <w:szCs w:val="24"/>
        </w:rPr>
        <w:t>;</w:t>
      </w:r>
    </w:p>
    <w:p w14:paraId="0670B2CE" w14:textId="77777777" w:rsidR="002C52D3" w:rsidRPr="00B93FA1" w:rsidRDefault="002C52D3" w:rsidP="00B93FA1">
      <w:pPr>
        <w:spacing w:after="240"/>
        <w:ind w:left="567" w:hanging="567"/>
        <w:rPr>
          <w:bCs/>
          <w:iCs/>
          <w:szCs w:val="24"/>
        </w:rPr>
      </w:pPr>
      <w:r w:rsidRPr="00B93FA1">
        <w:rPr>
          <w:szCs w:val="24"/>
        </w:rPr>
        <w:t>Q.</w:t>
      </w:r>
      <w:r w:rsidRPr="00B93FA1">
        <w:rPr>
          <w:szCs w:val="24"/>
        </w:rPr>
        <w:tab/>
        <w:t xml:space="preserve">vzhledem k tomu, že romské a </w:t>
      </w:r>
      <w:proofErr w:type="spellStart"/>
      <w:r w:rsidRPr="00B93FA1">
        <w:rPr>
          <w:szCs w:val="24"/>
        </w:rPr>
        <w:t>travellerské</w:t>
      </w:r>
      <w:proofErr w:type="spellEnd"/>
      <w:r w:rsidRPr="00B93FA1">
        <w:rPr>
          <w:szCs w:val="24"/>
        </w:rPr>
        <w:t xml:space="preserve"> komunity se stále potýkají s jednou z nejvyšších úrovní chudoby a sociálního vyloučení v EU, přičemž až 80 % z nich je ohroženo chudobou a 48 % čelí vážné materiální deprivaci, a vzhledem k tomu, že romské děti jsou těmito podmínkami obzvláště ohroženy; vzhledem k tomu, že údaje ukazují, že romské ženy jsou v základních oblastech společenského života, jako je vzdělání, zaměstnání a zdraví, znevýhodněny více než romští muži i ostatní ženy</w:t>
      </w:r>
      <w:r w:rsidRPr="00B93FA1">
        <w:rPr>
          <w:rStyle w:val="FootnoteReference"/>
          <w:bCs/>
          <w:iCs/>
          <w:szCs w:val="24"/>
        </w:rPr>
        <w:footnoteReference w:id="42"/>
      </w:r>
      <w:r w:rsidRPr="00B93FA1">
        <w:rPr>
          <w:szCs w:val="24"/>
        </w:rPr>
        <w:t>;</w:t>
      </w:r>
    </w:p>
    <w:p w14:paraId="2C88423C" w14:textId="77777777" w:rsidR="002C52D3" w:rsidRPr="00B93FA1" w:rsidRDefault="002C52D3" w:rsidP="00B93FA1">
      <w:pPr>
        <w:spacing w:after="240"/>
        <w:ind w:left="567" w:hanging="567"/>
        <w:rPr>
          <w:bCs/>
          <w:iCs/>
          <w:szCs w:val="24"/>
        </w:rPr>
      </w:pPr>
      <w:r w:rsidRPr="00B93FA1">
        <w:rPr>
          <w:szCs w:val="24"/>
        </w:rPr>
        <w:t>R.</w:t>
      </w:r>
      <w:r w:rsidRPr="00B93FA1">
        <w:rPr>
          <w:szCs w:val="24"/>
        </w:rPr>
        <w:tab/>
        <w:t>vzhledem k tomu, že v roce 2021 25 % Romů uvedlo, že se v předchozích 12 měsících setkalo s diskriminací v každodenních situacích, včetně hledání zaměstnání, na pracovišti, v oblasti bydlení, zdravotní péče a vzdělávání, jakož i se segregací a socioekonomickým vyloučením</w:t>
      </w:r>
      <w:r w:rsidRPr="00B93FA1">
        <w:rPr>
          <w:rStyle w:val="FootnoteReference"/>
          <w:bCs/>
          <w:iCs/>
          <w:szCs w:val="24"/>
        </w:rPr>
        <w:footnoteReference w:id="43"/>
      </w:r>
      <w:r w:rsidRPr="00B93FA1">
        <w:rPr>
          <w:szCs w:val="24"/>
        </w:rPr>
        <w:t>, což vede k nepřiměřeně vysoké míře chudoby; vzhledem k tomu, že 80 % Romů žije pod vnitrostátní hranicí ohrožení chudobou</w:t>
      </w:r>
      <w:r w:rsidRPr="00B93FA1">
        <w:rPr>
          <w:rStyle w:val="FootnoteReference"/>
          <w:bCs/>
          <w:iCs/>
          <w:szCs w:val="24"/>
        </w:rPr>
        <w:footnoteReference w:id="44"/>
      </w:r>
      <w:r w:rsidRPr="00B93FA1">
        <w:rPr>
          <w:szCs w:val="24"/>
        </w:rPr>
        <w:t>;</w:t>
      </w:r>
    </w:p>
    <w:p w14:paraId="0261B086" w14:textId="77777777" w:rsidR="002C52D3" w:rsidRPr="00B93FA1" w:rsidRDefault="002C52D3" w:rsidP="00B93FA1">
      <w:pPr>
        <w:spacing w:after="240"/>
        <w:ind w:left="567" w:hanging="567"/>
        <w:rPr>
          <w:bCs/>
          <w:iCs/>
          <w:szCs w:val="24"/>
        </w:rPr>
      </w:pPr>
      <w:r w:rsidRPr="00B93FA1">
        <w:rPr>
          <w:szCs w:val="24"/>
        </w:rPr>
        <w:t>S.</w:t>
      </w:r>
      <w:r w:rsidRPr="00B93FA1">
        <w:rPr>
          <w:szCs w:val="24"/>
        </w:rPr>
        <w:tab/>
        <w:t xml:space="preserve">vzhledem k tomu, že v EU přetrvává digitální vyloučení, které jednotlivce a skupiny připravuje o plný přístup k informačním a komunikačním technologiím a o jejich využívání, což jim brání v účasti na hospodářském, sociálním a politickém životě; vzhledem k tomu, že mezi městskými a venkovskými oblastmi napříč EU přetrvává digitální propast větší než pět procentních bodů; vzhledem k tomu, že digitální propast potenciálně prohlubuje digitální vyloučení osob žijících v chudobě a je zvláště výrazná u zranitelných skupin, včetně lidí s nízkými příjmy nebo nízkou úrovní vzdělání, starších lidí, osob se zdravotním postižením a lidí žijících ve venkovských nebo odlehlých oblastech; vzhledem k tomu, že téměř polovina dospělé populace nemá základní digitální dovednosti, ačkoli ty jsou vyžadovány u více než 90 % pracovních míst; vzhledem k tomu, že 5,4 % dětí školního věku v Evropě trpí digitální deprivací, přičemž v přístupu k digitálním zdrojům jsou mezi jednotlivými zeměmi pozorovány </w:t>
      </w:r>
      <w:r w:rsidRPr="00B93FA1">
        <w:rPr>
          <w:szCs w:val="24"/>
        </w:rPr>
        <w:lastRenderedPageBreak/>
        <w:t>značné rozdíly</w:t>
      </w:r>
      <w:r w:rsidRPr="00B93FA1">
        <w:rPr>
          <w:rStyle w:val="FootnoteReference"/>
          <w:szCs w:val="24"/>
        </w:rPr>
        <w:footnoteReference w:id="45"/>
      </w:r>
      <w:r w:rsidRPr="00B93FA1">
        <w:rPr>
          <w:szCs w:val="24"/>
        </w:rPr>
        <w:t>; vzhledem k tomu, že v roce 2023 mělo 97,7 % všech domácností v EU přístup k alespoň jedné technologii pevného širokopásmového připojení, zatímco ve venkovských oblastech to bylo pouze 92,2 %; vzhledem k tomu, že v roce 2023 mělo 32 % Evropanů ve věku 16 až 29 let nižší než základní digitální dovednosti, přičemž u osob s nízkým dosaženým vzděláním toto číslo vzrostlo na 43 %, což poukazuje na značnou propast v digitálních dovednostech v rámci demografické skupiny mladých lidí</w:t>
      </w:r>
      <w:r w:rsidRPr="00B93FA1">
        <w:rPr>
          <w:rStyle w:val="FootnoteReference"/>
          <w:szCs w:val="24"/>
        </w:rPr>
        <w:footnoteReference w:id="46"/>
      </w:r>
      <w:r w:rsidRPr="00B93FA1">
        <w:rPr>
          <w:szCs w:val="24"/>
        </w:rPr>
        <w:t>;</w:t>
      </w:r>
    </w:p>
    <w:p w14:paraId="78BDA50C" w14:textId="77777777" w:rsidR="002C52D3" w:rsidRPr="00B93FA1" w:rsidRDefault="002C52D3" w:rsidP="00B93FA1">
      <w:pPr>
        <w:spacing w:after="240"/>
        <w:ind w:left="567" w:hanging="567"/>
        <w:rPr>
          <w:szCs w:val="24"/>
        </w:rPr>
      </w:pPr>
      <w:r w:rsidRPr="00B93FA1">
        <w:rPr>
          <w:szCs w:val="24"/>
        </w:rPr>
        <w:t>T.</w:t>
      </w:r>
      <w:r w:rsidRPr="00B93FA1">
        <w:rPr>
          <w:szCs w:val="24"/>
        </w:rPr>
        <w:tab/>
        <w:t>vzhledem k tomu, že přístup k rychlému a spolehlivému internetu je nezbytný pro účast ve společnosti založené na znalostech a informacích, jakož i pro přístup k zaměstnání, vzdělávání, veřejným službám a zdravotní péči; vzhledem k tomu, že digitalizace veřejných služeb nabízí významné příležitosti, ale vyžaduje cílené úsilí k zajištění začlenění zranitelných skupin;</w:t>
      </w:r>
    </w:p>
    <w:p w14:paraId="1E71A930" w14:textId="77777777" w:rsidR="002C52D3" w:rsidRPr="00B93FA1" w:rsidRDefault="002C52D3" w:rsidP="00B93FA1">
      <w:pPr>
        <w:spacing w:after="240"/>
        <w:ind w:left="567" w:hanging="567"/>
        <w:rPr>
          <w:bCs/>
          <w:iCs/>
          <w:szCs w:val="24"/>
        </w:rPr>
      </w:pPr>
      <w:r w:rsidRPr="00B93FA1">
        <w:rPr>
          <w:szCs w:val="24"/>
        </w:rPr>
        <w:t>U.</w:t>
      </w:r>
      <w:r w:rsidRPr="00B93FA1">
        <w:rPr>
          <w:szCs w:val="24"/>
        </w:rPr>
        <w:tab/>
        <w:t>vzhledem k tomu, že situace osoby z hlediska zaměstnání má silný vliv na to, zda jí v EU hrozí chudoba nebo sociální vyloučení; vzhledem k tomu, že v roce 2024 se ze všech zaměstnaných osob v EU s chudobou pracujících potýkalo 8,2 % osob</w:t>
      </w:r>
      <w:r w:rsidRPr="00B93FA1">
        <w:rPr>
          <w:rStyle w:val="FootnoteReference"/>
          <w:bCs/>
          <w:iCs/>
          <w:szCs w:val="24"/>
        </w:rPr>
        <w:footnoteReference w:id="47"/>
      </w:r>
      <w:r w:rsidRPr="00B93FA1">
        <w:rPr>
          <w:szCs w:val="24"/>
        </w:rPr>
        <w:t>, což je důsledek nízkých mezd, nejistoty zaměstnání a nejistých pracovních podmínek; vzhledem k tomu, že analýza údajů z roku 2022 ukazuje, že pracovníci na částečný úvazek čelili nepoměrně vyšší míře chudoby pracujících (13,5 %) ve srovnání s pracovníky na plný úvazek (7,1 %)</w:t>
      </w:r>
      <w:r w:rsidRPr="00B93FA1">
        <w:rPr>
          <w:rStyle w:val="FootnoteReference"/>
          <w:bCs/>
          <w:iCs/>
          <w:szCs w:val="24"/>
        </w:rPr>
        <w:footnoteReference w:id="48"/>
      </w:r>
      <w:r w:rsidRPr="00B93FA1">
        <w:rPr>
          <w:szCs w:val="24"/>
        </w:rPr>
        <w:t>; vzhledem k tomu, že chudoba pracujících je i nadále strukturální problém, který na postižené domácnosti klade značný sociální a ekonomický tlak a vytváří překážky pro sociální začleňování a ekonomickou stabilitu; vzhledem k tomu, že řešení chudoby pracujících je zásadní pro podporu spravedlivé zaměstnanosti, snižování nerovností a zajištění udržitelného hospodářského rozvoje podporujícího začlenění v celé EU; vzhledem k tomu, že kolektivní vyjednávání, odbory a sociální dialog hrají klíčovou roli při zlepšování pracovních podmínek a podmínek zaměstnání, a tudíž zlepšují životní podmínky;</w:t>
      </w:r>
    </w:p>
    <w:p w14:paraId="0974492B" w14:textId="77777777" w:rsidR="002C52D3" w:rsidRPr="00B93FA1" w:rsidRDefault="002C52D3" w:rsidP="00B93FA1">
      <w:pPr>
        <w:spacing w:after="240"/>
        <w:ind w:left="567" w:hanging="567"/>
        <w:rPr>
          <w:szCs w:val="24"/>
        </w:rPr>
      </w:pPr>
      <w:r w:rsidRPr="00B93FA1">
        <w:rPr>
          <w:szCs w:val="24"/>
        </w:rPr>
        <w:t>V.</w:t>
      </w:r>
      <w:r w:rsidRPr="00B93FA1">
        <w:rPr>
          <w:szCs w:val="24"/>
        </w:rPr>
        <w:tab/>
        <w:t>vzhledem k tomu, že zpráva o přiměřenosti důchodů v EU pro rok 2024 zdůrazňuje, že v roce 2022 bylo v EU přibližně 18,5 milionu osob ve věku 65 let a více ohroženo chudobou nebo sociálním vyloučením</w:t>
      </w:r>
      <w:r w:rsidRPr="00B93FA1">
        <w:rPr>
          <w:rStyle w:val="FootnoteReference"/>
          <w:szCs w:val="24"/>
        </w:rPr>
        <w:footnoteReference w:id="49"/>
      </w:r>
      <w:r w:rsidRPr="00B93FA1">
        <w:rPr>
          <w:szCs w:val="24"/>
        </w:rPr>
        <w:t xml:space="preserve">; vzhledem k tomu, že míra ohrožení chudobou se v této věkové skupině v roce 2022 týkala 14,2 % mužů a 19,8 % žen; vzhledem k tomu, že míra ohrožení chudobou u osob ve věku 65 let a více se neustále zvyšuje jak </w:t>
      </w:r>
      <w:r w:rsidRPr="00B93FA1">
        <w:rPr>
          <w:szCs w:val="24"/>
        </w:rPr>
        <w:lastRenderedPageBreak/>
        <w:t>v důsledku rostoucí míry chudoby, tak v důsledku stárnutí populace;</w:t>
      </w:r>
    </w:p>
    <w:p w14:paraId="4D27A8F9" w14:textId="77777777" w:rsidR="002C52D3" w:rsidRDefault="002C52D3" w:rsidP="00B93FA1">
      <w:pPr>
        <w:spacing w:after="240"/>
        <w:ind w:left="567" w:hanging="567"/>
        <w:rPr>
          <w:szCs w:val="24"/>
        </w:rPr>
      </w:pPr>
      <w:r w:rsidRPr="00B93FA1">
        <w:rPr>
          <w:szCs w:val="24"/>
        </w:rPr>
        <w:t>W.</w:t>
      </w:r>
      <w:r w:rsidRPr="00B93FA1">
        <w:rPr>
          <w:szCs w:val="24"/>
        </w:rPr>
        <w:tab/>
        <w:t>vzhledem k tomu, že vysoce kvalitní a dostupné veřejné služby jsou nezbytné pro dosažení vysoké úrovně sociální ochrany, sociální soudržnosti a sociálního začlenění; vzhledem k tomu, že poskytování vysoce kvalitních veřejných služeb je ohroženo řadou problémů, včetně problémů souvisejících s kontinuitou služeb, zvýšenou poptávkou a nedostatečnými zdroji, které jsou částečně zhoršovány stárnutím obyvatelstva; vzhledem k tomu, že každý v EU má právo na přístup k základním službám vysoké kvality, které jsou doprovázeny podpůrnými opatřeními pro ty, kteří je potřebují; vzhledem k tomu, že lidé ohrožení chudobou nebo sociálním vyloučením, zejména Romové a osoby bez domova, se v tomto ohledu potýkají se strukturálními překážkami, nedostatečnou infrastrukturo, dovednostmi nebo peněžními zdroji;</w:t>
      </w:r>
    </w:p>
    <w:p w14:paraId="5C2ECDF7" w14:textId="47D9DBDD" w:rsidR="006E6E67" w:rsidRPr="006E6E67" w:rsidRDefault="003E3334" w:rsidP="00B93FA1">
      <w:pPr>
        <w:spacing w:after="240"/>
        <w:ind w:left="567" w:hanging="567"/>
        <w:rPr>
          <w:bCs/>
          <w:iCs/>
          <w:szCs w:val="24"/>
        </w:rPr>
      </w:pPr>
      <w:r>
        <w:rPr>
          <w:bCs/>
          <w:iCs/>
        </w:rPr>
        <w:t>X</w:t>
      </w:r>
      <w:r w:rsidR="006E6E67" w:rsidRPr="000C6FCA">
        <w:rPr>
          <w:bCs/>
          <w:iCs/>
        </w:rPr>
        <w:t>.</w:t>
      </w:r>
      <w:r w:rsidR="006E6E67" w:rsidRPr="000C6FCA">
        <w:rPr>
          <w:bCs/>
          <w:iCs/>
        </w:rPr>
        <w:tab/>
        <w:t>vzhledem k tomu, že v roce 2024 si přibližně 8 % Evropanů nemohlo každý druhý den dovolit vyvážené jídlo, včetně masa, ryb nebo vegetariánské obdoby, což představuje přibližně 36 milionů lidí v celé Unii, přičemž tento problém je obzvláště akutní u samostatně žijících osob, studentů a mladých dospělých, rodin s nízkými příjmy a přistěhovalců; vzhledem k tomu, že účinný přístup k potravinám by měl být považován za základní lidské právo, jak požaduje probíhající evropská občanská iniciativa;</w:t>
      </w:r>
    </w:p>
    <w:p w14:paraId="058A34B3" w14:textId="54E1EA02" w:rsidR="002C52D3" w:rsidRPr="00B93FA1" w:rsidRDefault="003E3334" w:rsidP="00B93FA1">
      <w:pPr>
        <w:spacing w:after="240"/>
        <w:ind w:left="567" w:hanging="567"/>
        <w:rPr>
          <w:bCs/>
          <w:iCs/>
          <w:szCs w:val="24"/>
        </w:rPr>
      </w:pPr>
      <w:r>
        <w:rPr>
          <w:szCs w:val="24"/>
        </w:rPr>
        <w:t>Y</w:t>
      </w:r>
      <w:r w:rsidR="002C52D3" w:rsidRPr="00B93FA1">
        <w:rPr>
          <w:szCs w:val="24"/>
        </w:rPr>
        <w:t>.</w:t>
      </w:r>
      <w:r w:rsidR="002C52D3" w:rsidRPr="00B93FA1">
        <w:rPr>
          <w:szCs w:val="24"/>
        </w:rPr>
        <w:tab/>
        <w:t>vzhledem k tomu, že přístup k vodě je základní potřebou a základním lidským právem; vzhledem k tomu, že přibližně 9,8 milionu lidí v EU nemá přístup ke službám v oblasti bezpečného hospodaření s pitnou vodu</w:t>
      </w:r>
      <w:r w:rsidR="002C52D3" w:rsidRPr="00B93FA1">
        <w:rPr>
          <w:rStyle w:val="FootnoteReference"/>
          <w:bCs/>
          <w:iCs/>
          <w:szCs w:val="24"/>
        </w:rPr>
        <w:footnoteReference w:id="50"/>
      </w:r>
      <w:r w:rsidR="002C52D3" w:rsidRPr="00B93FA1">
        <w:rPr>
          <w:szCs w:val="24"/>
        </w:rPr>
        <w:t>; vzhledem k tomu, že dalších 9,4 milionu osob je odkázáno na základní služby dodávek vody mimo své bydliště</w:t>
      </w:r>
      <w:r w:rsidR="002C52D3" w:rsidRPr="00B93FA1">
        <w:rPr>
          <w:rStyle w:val="FootnoteReference"/>
          <w:bCs/>
          <w:iCs/>
          <w:szCs w:val="24"/>
        </w:rPr>
        <w:footnoteReference w:id="51"/>
      </w:r>
      <w:r w:rsidR="002C52D3" w:rsidRPr="00B93FA1">
        <w:rPr>
          <w:szCs w:val="24"/>
        </w:rPr>
        <w:t xml:space="preserve"> a přibližně 450 osob nemá přístup ani k základním službám dodávek pitné vody</w:t>
      </w:r>
      <w:r w:rsidR="002C52D3" w:rsidRPr="00B93FA1">
        <w:rPr>
          <w:rStyle w:val="FootnoteReference"/>
          <w:bCs/>
          <w:iCs/>
          <w:szCs w:val="24"/>
        </w:rPr>
        <w:footnoteReference w:id="52"/>
      </w:r>
      <w:r w:rsidR="002C52D3" w:rsidRPr="00B93FA1">
        <w:rPr>
          <w:szCs w:val="24"/>
        </w:rPr>
        <w:t xml:space="preserve">; vzhledem k tomu, že nedostatečný přístup k pitné vodě a vodohospodářské infrastruktuře neúměrně postihuje </w:t>
      </w:r>
      <w:proofErr w:type="spellStart"/>
      <w:r w:rsidR="002C52D3" w:rsidRPr="00B93FA1">
        <w:rPr>
          <w:szCs w:val="24"/>
        </w:rPr>
        <w:t>marginalizované</w:t>
      </w:r>
      <w:proofErr w:type="spellEnd"/>
      <w:r w:rsidR="002C52D3" w:rsidRPr="00B93FA1">
        <w:rPr>
          <w:szCs w:val="24"/>
        </w:rPr>
        <w:t xml:space="preserve"> a zranitelné skupiny;</w:t>
      </w:r>
    </w:p>
    <w:p w14:paraId="22145B25" w14:textId="79DB3826" w:rsidR="002C52D3" w:rsidRPr="00B93FA1" w:rsidRDefault="003E3334" w:rsidP="00B93FA1">
      <w:pPr>
        <w:spacing w:after="240"/>
        <w:ind w:left="567" w:hanging="567"/>
        <w:rPr>
          <w:bCs/>
          <w:iCs/>
          <w:szCs w:val="24"/>
        </w:rPr>
      </w:pPr>
      <w:r>
        <w:rPr>
          <w:szCs w:val="24"/>
        </w:rPr>
        <w:t>Z</w:t>
      </w:r>
      <w:r w:rsidR="002C52D3" w:rsidRPr="00B93FA1">
        <w:rPr>
          <w:szCs w:val="24"/>
        </w:rPr>
        <w:t>.</w:t>
      </w:r>
      <w:r w:rsidR="002C52D3" w:rsidRPr="00B93FA1">
        <w:rPr>
          <w:szCs w:val="24"/>
        </w:rPr>
        <w:tab/>
        <w:t>vzhledem k tomu, že v Evropě se podle odhadů v roce 2024 v jednu noc ocitlo bez domova 1 286 691 lidí</w:t>
      </w:r>
      <w:r w:rsidR="002C52D3" w:rsidRPr="00B93FA1">
        <w:rPr>
          <w:rStyle w:val="FootnoteReference"/>
          <w:bCs/>
          <w:iCs/>
          <w:szCs w:val="24"/>
        </w:rPr>
        <w:footnoteReference w:id="53"/>
      </w:r>
      <w:r w:rsidR="002C52D3" w:rsidRPr="00B93FA1">
        <w:rPr>
          <w:szCs w:val="24"/>
        </w:rPr>
        <w:t xml:space="preserve">; vzhledem k tomu, že Romové a další </w:t>
      </w:r>
      <w:proofErr w:type="spellStart"/>
      <w:r w:rsidR="002C52D3" w:rsidRPr="00B93FA1">
        <w:rPr>
          <w:szCs w:val="24"/>
        </w:rPr>
        <w:t>marginalizované</w:t>
      </w:r>
      <w:proofErr w:type="spellEnd"/>
      <w:r w:rsidR="002C52D3" w:rsidRPr="00B93FA1">
        <w:rPr>
          <w:szCs w:val="24"/>
        </w:rPr>
        <w:t xml:space="preserve"> skupiny jsou neúměrně postiženi nuceným vystěhováním z obecních bytů, včetně Romů, kteří pravidelně platí nájemné; vzhledem k tomu, že v mnoha případech úřady neposkytují </w:t>
      </w:r>
      <w:r w:rsidR="002C52D3" w:rsidRPr="00B93FA1">
        <w:rPr>
          <w:szCs w:val="24"/>
        </w:rPr>
        <w:lastRenderedPageBreak/>
        <w:t>náhradní bydlení ani odpovídající náhradu za vyvlastnění</w:t>
      </w:r>
      <w:r w:rsidR="002C52D3" w:rsidRPr="00B93FA1">
        <w:rPr>
          <w:rStyle w:val="FootnoteReference"/>
          <w:szCs w:val="24"/>
        </w:rPr>
        <w:footnoteReference w:id="54"/>
      </w:r>
      <w:r w:rsidR="002C52D3" w:rsidRPr="00B93FA1">
        <w:rPr>
          <w:szCs w:val="24"/>
        </w:rPr>
        <w:t>;</w:t>
      </w:r>
    </w:p>
    <w:p w14:paraId="01F9630D" w14:textId="6A05F972" w:rsidR="002C52D3" w:rsidRPr="00B93FA1" w:rsidRDefault="003E3334" w:rsidP="00B93FA1">
      <w:pPr>
        <w:spacing w:after="240"/>
        <w:ind w:left="567" w:hanging="567"/>
        <w:rPr>
          <w:b/>
          <w:i/>
          <w:szCs w:val="24"/>
        </w:rPr>
      </w:pPr>
      <w:r>
        <w:rPr>
          <w:szCs w:val="24"/>
        </w:rPr>
        <w:t>AA</w:t>
      </w:r>
      <w:r w:rsidR="002C52D3" w:rsidRPr="00B93FA1">
        <w:rPr>
          <w:szCs w:val="24"/>
        </w:rPr>
        <w:t>.</w:t>
      </w:r>
      <w:r w:rsidR="002C52D3" w:rsidRPr="00B93FA1">
        <w:rPr>
          <w:szCs w:val="24"/>
        </w:rPr>
        <w:tab/>
        <w:t>vzhledem k tomu, že v ústavních zařízeních v EU stále pobývá nejméně 1,4 milionu osob, ačkoli toto číslo může být podhodnoceno kvůli nedostatečné dostupnosti, konzistentnosti a pokrytí údajů; vzhledem k tomu, že chudoba zůstává jedním z faktorů, které přispívají k rozdělení rodin v EU; vzhledem k tomu, že umisťování dětí do ústavních zařízení má závažné důsledky pro děti a rodiny, neboť udržuje stigmatizaci, sociální izolaci a podporuje mezigenerační cyklus znevýhodnění</w:t>
      </w:r>
      <w:r w:rsidR="002C52D3" w:rsidRPr="00B93FA1">
        <w:rPr>
          <w:rStyle w:val="FootnoteReference"/>
          <w:bCs/>
          <w:iCs/>
          <w:szCs w:val="24"/>
        </w:rPr>
        <w:footnoteReference w:id="55"/>
      </w:r>
      <w:r w:rsidR="002C52D3" w:rsidRPr="00B93FA1">
        <w:rPr>
          <w:szCs w:val="24"/>
        </w:rPr>
        <w:t>; vzhledem k tomu, že obyvatelé těchto zařízení se často mohou cítit izolování od širší komunity a přestože by si přáli mít lepší kontrolu nad svým životem, nemají a nad rozhodnutími, která se jich týkají, dostatečnou kontrolu nad svým životem; vzhledem k tomu, že ačkoli se EU již dlouho angažuje v procesu deinstitucionalizace, je na úrovni EU i vnitrostátní úrovni stále třeba usilovat o to, aby zranitelné skupiny mohly žít v rodinném nebo komunitním prostředí;</w:t>
      </w:r>
    </w:p>
    <w:p w14:paraId="57599D92" w14:textId="023F7D22" w:rsidR="002C52D3" w:rsidRPr="00B93FA1" w:rsidRDefault="002C52D3" w:rsidP="00B93FA1">
      <w:pPr>
        <w:spacing w:after="240"/>
        <w:ind w:left="567" w:hanging="567"/>
        <w:rPr>
          <w:bCs/>
          <w:iCs/>
          <w:szCs w:val="24"/>
        </w:rPr>
      </w:pPr>
      <w:r w:rsidRPr="00B93FA1">
        <w:rPr>
          <w:szCs w:val="24"/>
        </w:rPr>
        <w:t>A</w:t>
      </w:r>
      <w:r w:rsidR="003E3334">
        <w:rPr>
          <w:szCs w:val="24"/>
        </w:rPr>
        <w:t>B</w:t>
      </w:r>
      <w:r w:rsidRPr="00B93FA1">
        <w:rPr>
          <w:szCs w:val="24"/>
        </w:rPr>
        <w:t>.</w:t>
      </w:r>
      <w:r w:rsidRPr="00B93FA1">
        <w:rPr>
          <w:szCs w:val="24"/>
        </w:rPr>
        <w:tab/>
        <w:t>vzhledem k tomu, že lidé žijící v chudobě jsou neúměrně postiženi omezeným přístupem ke zdravým potravinám a kvalitní zdravotní péči; vzhledem k tomu, že chudoba je následně spojena se zvýšeným rizikem problémů s tělesným a duševním zdravím; vzhledem k tomu, že souvislost mezi chudobou a zdravím významně ovlivňují překážky v přístupu ke zdravotní péči, jako je přístup k primární péči a nižší počet hospitalizací; vzhledem k tomu, že chudoba, sociální izolace a chronický stres spolu úzce souvisejí, což podkopává duševní pohodu a zvyšuje riziko závislosti a vede k vyšší úmrtnosti a vyššímu riziku předčasného úmrtí; vzhledem k tomu, že chudoba a závislost se vzájemně posilují a vytvářejí bludný kruh, který zhoršuje sociální vyloučení; vzhledem k tomu, že vymýcení chudoby naopak vyžaduje přístup k závislostem orientovaný na zdraví a založený na důkazech, který upřednostňuje prevenci a léčení;</w:t>
      </w:r>
    </w:p>
    <w:p w14:paraId="23FEDE8F" w14:textId="58B03859" w:rsidR="002C52D3" w:rsidRPr="00B93FA1" w:rsidRDefault="002C52D3" w:rsidP="00B93FA1">
      <w:pPr>
        <w:spacing w:after="240"/>
        <w:ind w:left="567" w:hanging="567"/>
        <w:rPr>
          <w:bCs/>
          <w:iCs/>
          <w:szCs w:val="24"/>
        </w:rPr>
      </w:pPr>
      <w:r w:rsidRPr="00B93FA1">
        <w:rPr>
          <w:szCs w:val="24"/>
        </w:rPr>
        <w:t>A</w:t>
      </w:r>
      <w:r w:rsidR="003E3334">
        <w:rPr>
          <w:szCs w:val="24"/>
        </w:rPr>
        <w:t>C</w:t>
      </w:r>
      <w:r w:rsidRPr="00B93FA1">
        <w:rPr>
          <w:szCs w:val="24"/>
        </w:rPr>
        <w:t>.</w:t>
      </w:r>
      <w:r w:rsidRPr="00B93FA1">
        <w:rPr>
          <w:szCs w:val="24"/>
        </w:rPr>
        <w:tab/>
        <w:t>vzhledem k tomu, že rodiny čelí četným a vzájemně provázaným problémům, které nemůže samostatně vyřešit žádná jednotlivá služba nebo organizace; vzhledem k tomu, že kontinuita služeb a řádná koordinace mezi jednotlivými službami mají zásadní význam pro přípravu a usnadnění přechodů, kterým budou děti čelit; vzhledem k tomu, že ohrožené rodiny mohou mít omezený přístup ke službám v oblasti duševního zdraví kvůli finančním překážkám, stigmatizaci nebo nedostatečné dostupnosti; vzhledem k tomu, že diskriminace má přímou souvislost s chudobou, neboť diskriminační zkušenosti brání lidem žijícím v chudobě v přiměřené životní úrovni;</w:t>
      </w:r>
    </w:p>
    <w:p w14:paraId="03ACC961" w14:textId="7B6E949C" w:rsidR="002C52D3" w:rsidRPr="00B93FA1" w:rsidRDefault="002C52D3" w:rsidP="00B93FA1">
      <w:pPr>
        <w:spacing w:after="240"/>
        <w:ind w:left="567" w:hanging="567"/>
        <w:rPr>
          <w:bCs/>
          <w:iCs/>
          <w:szCs w:val="24"/>
        </w:rPr>
      </w:pPr>
      <w:r w:rsidRPr="00B93FA1">
        <w:rPr>
          <w:szCs w:val="24"/>
        </w:rPr>
        <w:t>A</w:t>
      </w:r>
      <w:r w:rsidR="003E3334">
        <w:rPr>
          <w:szCs w:val="24"/>
        </w:rPr>
        <w:t>D</w:t>
      </w:r>
      <w:r w:rsidRPr="00B93FA1">
        <w:rPr>
          <w:szCs w:val="24"/>
        </w:rPr>
        <w:t>.</w:t>
      </w:r>
      <w:r w:rsidRPr="00B93FA1">
        <w:rPr>
          <w:szCs w:val="24"/>
        </w:rPr>
        <w:tab/>
        <w:t xml:space="preserve">vzhledem k tomu, že systémy sociálního zabezpečení musí být posíleny, aby se přizpůsobily demografickým výzvám, novým formám práce a ekologické a digitální transformaci; vzhledem k tomu, že účinnost sociální ochrany při snižování chudoby se v </w:t>
      </w:r>
      <w:r w:rsidRPr="00B93FA1">
        <w:rPr>
          <w:szCs w:val="24"/>
        </w:rPr>
        <w:lastRenderedPageBreak/>
        <w:t>období 2021–2024 snížila z 37,1 % na 34,4 %</w:t>
      </w:r>
      <w:r w:rsidRPr="00B93FA1">
        <w:rPr>
          <w:rStyle w:val="FootnoteReference"/>
          <w:bCs/>
          <w:iCs/>
          <w:szCs w:val="24"/>
        </w:rPr>
        <w:footnoteReference w:id="56"/>
      </w:r>
      <w:r w:rsidRPr="00B93FA1">
        <w:rPr>
          <w:szCs w:val="24"/>
        </w:rPr>
        <w:t>. vzhledem k tomu, že v současných systémech trhu práce a sociální ochrany existují významné překážky pro zranitelné a </w:t>
      </w:r>
      <w:proofErr w:type="spellStart"/>
      <w:r w:rsidRPr="00B93FA1">
        <w:rPr>
          <w:szCs w:val="24"/>
        </w:rPr>
        <w:t>marginalizované</w:t>
      </w:r>
      <w:proofErr w:type="spellEnd"/>
      <w:r w:rsidRPr="00B93FA1">
        <w:rPr>
          <w:szCs w:val="24"/>
        </w:rPr>
        <w:t xml:space="preserve"> skupiny;</w:t>
      </w:r>
    </w:p>
    <w:p w14:paraId="16B62EE9" w14:textId="5C481331" w:rsidR="002C52D3" w:rsidRPr="00B93FA1" w:rsidRDefault="002C52D3" w:rsidP="00B93FA1">
      <w:pPr>
        <w:spacing w:after="240"/>
        <w:ind w:left="567" w:hanging="567"/>
        <w:rPr>
          <w:bCs/>
          <w:iCs/>
          <w:szCs w:val="24"/>
        </w:rPr>
      </w:pPr>
      <w:r w:rsidRPr="00B93FA1">
        <w:rPr>
          <w:szCs w:val="24"/>
        </w:rPr>
        <w:t>A</w:t>
      </w:r>
      <w:r w:rsidR="003E3334">
        <w:rPr>
          <w:szCs w:val="24"/>
        </w:rPr>
        <w:t>E</w:t>
      </w:r>
      <w:r w:rsidRPr="00B93FA1">
        <w:rPr>
          <w:szCs w:val="24"/>
        </w:rPr>
        <w:t>.</w:t>
      </w:r>
      <w:r w:rsidRPr="00B93FA1">
        <w:rPr>
          <w:szCs w:val="24"/>
        </w:rPr>
        <w:tab/>
        <w:t>vzhledem k tomu, že systémy minimálního příjmu zůstávají důležitým nástrojem pro zajištění příjmů a snížení nerovnosti a chudoby v celé EU; vzhledem k tomu, že tyto systémy minimálního příjmu se v jednotlivých členských státech značně liší, pokud jde o přiměřenost a rozsah dávek a jejich propojení s opatřeními pro aktivaci trhu práce; vzhledem k tomu, že minimální příjem je ve většině členských států hluboko pod vnitrostátní hranicí chudoby; vzhledem k tomu, že míra nevyužití režimů minimálního příjmu se odhaduje na 30 až 50 % způsobilého obyvatelstva, což narušuje cíle tohoto podpůrného nástroje;</w:t>
      </w:r>
    </w:p>
    <w:p w14:paraId="66325B9C" w14:textId="541515A4" w:rsidR="002C52D3" w:rsidRPr="00B93FA1" w:rsidRDefault="002C52D3" w:rsidP="00B93FA1">
      <w:pPr>
        <w:spacing w:after="240"/>
        <w:ind w:left="567" w:hanging="567"/>
        <w:rPr>
          <w:bCs/>
          <w:iCs/>
          <w:szCs w:val="24"/>
        </w:rPr>
      </w:pPr>
      <w:r w:rsidRPr="00B93FA1">
        <w:rPr>
          <w:szCs w:val="24"/>
        </w:rPr>
        <w:t>A</w:t>
      </w:r>
      <w:r w:rsidR="003E3334">
        <w:rPr>
          <w:szCs w:val="24"/>
        </w:rPr>
        <w:t>F</w:t>
      </w:r>
      <w:r w:rsidRPr="00B93FA1">
        <w:rPr>
          <w:szCs w:val="24"/>
        </w:rPr>
        <w:t>.</w:t>
      </w:r>
      <w:r w:rsidRPr="00B93FA1">
        <w:rPr>
          <w:szCs w:val="24"/>
        </w:rPr>
        <w:tab/>
        <w:t>vzhledem k tomu, že je nezbytné zajistit účast lidí, kteří zažili chudobu, při navrhování a hodnocení politik, které se jich týkají, s cílem zvýšit demokratickou účast, posílit postavení a sociální emancipaci lidí žijících v chudobě, jakož i získávat účinnější a spravedlivější výsledky těchto politik;</w:t>
      </w:r>
    </w:p>
    <w:p w14:paraId="34F16E01" w14:textId="47EC226C" w:rsidR="002C52D3" w:rsidRPr="00B93FA1" w:rsidRDefault="002C52D3" w:rsidP="00B93FA1">
      <w:pPr>
        <w:spacing w:after="240"/>
        <w:ind w:left="567" w:hanging="567"/>
        <w:rPr>
          <w:bCs/>
          <w:iCs/>
          <w:szCs w:val="24"/>
        </w:rPr>
      </w:pPr>
      <w:r w:rsidRPr="00B93FA1">
        <w:rPr>
          <w:szCs w:val="24"/>
        </w:rPr>
        <w:t>A</w:t>
      </w:r>
      <w:r w:rsidR="003E3334">
        <w:rPr>
          <w:szCs w:val="24"/>
        </w:rPr>
        <w:t>G</w:t>
      </w:r>
      <w:r w:rsidRPr="00B93FA1">
        <w:rPr>
          <w:szCs w:val="24"/>
        </w:rPr>
        <w:t>.</w:t>
      </w:r>
      <w:r w:rsidRPr="00B93FA1">
        <w:rPr>
          <w:szCs w:val="24"/>
        </w:rPr>
        <w:tab/>
        <w:t>vzhledem k tomu, že odlehlost nejvzdálenějších regionů, jejich ostrovní charakter, malá rozloha, obtížná topografie a podnebí a hospodářská závislost na konkrétních odvětvích a produktech vážně omezují jejich rozvoj; vzhledem k tomu, že nerovnosti jsou jednou z největších sociálních výzev, jimž nejvzdálenější regiony čelí, a že je neúměrně zasahuje vysoká míra chudoby, nezaměstnanosti, předčasného ukončování školní docházky a vysoký podíl osob, které nejsou zaměstnané ani se neúčastní vzdělávání nebo odborné přípravy; vzhledem k tomu, že hrubý domácí produkt nejvzdálenějších regionů je výrazně pod průměrem EU a členských států (60 % průměru EU-27);</w:t>
      </w:r>
    </w:p>
    <w:p w14:paraId="2D15D948" w14:textId="48F16E03" w:rsidR="002C52D3" w:rsidRPr="00B93FA1" w:rsidRDefault="002C52D3" w:rsidP="00B93FA1">
      <w:pPr>
        <w:spacing w:after="240"/>
        <w:ind w:left="567" w:hanging="567"/>
        <w:rPr>
          <w:bCs/>
          <w:iCs/>
          <w:szCs w:val="24"/>
        </w:rPr>
      </w:pPr>
      <w:r w:rsidRPr="00B93FA1">
        <w:rPr>
          <w:szCs w:val="24"/>
        </w:rPr>
        <w:t>A</w:t>
      </w:r>
      <w:r w:rsidR="003E3334">
        <w:rPr>
          <w:szCs w:val="24"/>
        </w:rPr>
        <w:t>H</w:t>
      </w:r>
      <w:r w:rsidRPr="00B93FA1">
        <w:rPr>
          <w:szCs w:val="24"/>
        </w:rPr>
        <w:t>.</w:t>
      </w:r>
      <w:r w:rsidRPr="00B93FA1">
        <w:rPr>
          <w:szCs w:val="24"/>
        </w:rPr>
        <w:tab/>
        <w:t>vzhledem k tomu, že faktory, které přispívají k cyklu chudoby ve venkovských oblastech, jsou specifické a problémy zranitelných osob žijících ve venkovských oblastech se liší od problémů zranitelných osob žijících v městských oblastech; vzhledem k tomu, že nedostatek pracovních příležitostí, veřejných služeb (včetně vzdělávání a veřejné dopravy) a digitální konektivity, vysoké ceny energií a dopravy a demografický vývoj, jako je vylidňování přispívají k růstu chudoby ve venkovských oblastech; vzhledem k tomu, že ženy žijící ve venkovských oblastech jsou obzvláště ohroženy chudobou kvůli omezenému přístupu k zaměstnání, službám a sociální podpoře; vzhledem k tomu, že strategie EU pro boj proti chudobě musí zohlednit tato územní specifika a zajistit přizpůsobené politické reakce a mechanismy financování, které účinně podporují sociální začlenění a územní soudržnost;</w:t>
      </w:r>
    </w:p>
    <w:p w14:paraId="3A3D6C7C" w14:textId="71164EB1" w:rsidR="002C52D3" w:rsidRPr="00B93FA1" w:rsidRDefault="002C52D3" w:rsidP="00B93FA1">
      <w:pPr>
        <w:spacing w:after="240"/>
        <w:ind w:left="567" w:hanging="567"/>
        <w:rPr>
          <w:bCs/>
          <w:iCs/>
          <w:szCs w:val="24"/>
        </w:rPr>
      </w:pPr>
      <w:r w:rsidRPr="00B93FA1">
        <w:rPr>
          <w:szCs w:val="24"/>
        </w:rPr>
        <w:t>A</w:t>
      </w:r>
      <w:r w:rsidR="003E3334">
        <w:rPr>
          <w:szCs w:val="24"/>
        </w:rPr>
        <w:t>I</w:t>
      </w:r>
      <w:r w:rsidRPr="00B93FA1">
        <w:rPr>
          <w:szCs w:val="24"/>
        </w:rPr>
        <w:t>.</w:t>
      </w:r>
      <w:r w:rsidRPr="00B93FA1">
        <w:rPr>
          <w:szCs w:val="24"/>
        </w:rPr>
        <w:tab/>
        <w:t>vzhledem k tomu, že v souvislosti s nástroji souvisejícími se strategií proti chudobě by měla probíhat víceúrovňová koordinace a integrace; vzhledem k tomu, že je zásadní solidní řídicí mechanismus pro monitorování cílů strategie; vzhledem k tomu, že strategie přinese výsledky pouze tehdy, pokud bude doprovázena odpovídajícími finančními zdroji a pokud budou její cíle podporovány z různých příslušných odvětvových fondů EU; vzhledem k tomu, že ustanovení o chudobě a sociálním začlenění ve stávajícím víceletém finančním rámci (VFR) by měla být v nadcházejícím rámci obnovena, a vybavena přiměřeným a vyčleněnými finančními zdroji;</w:t>
      </w:r>
    </w:p>
    <w:p w14:paraId="617795E7" w14:textId="7FD5C1D3" w:rsidR="002C52D3" w:rsidRPr="00B93FA1" w:rsidRDefault="002C52D3" w:rsidP="00B93FA1">
      <w:pPr>
        <w:spacing w:after="240"/>
        <w:ind w:left="567" w:hanging="567"/>
        <w:rPr>
          <w:bCs/>
          <w:iCs/>
          <w:szCs w:val="24"/>
        </w:rPr>
      </w:pPr>
      <w:r w:rsidRPr="00B93FA1">
        <w:rPr>
          <w:szCs w:val="24"/>
        </w:rPr>
        <w:lastRenderedPageBreak/>
        <w:t>A</w:t>
      </w:r>
      <w:r w:rsidR="003E3334">
        <w:rPr>
          <w:szCs w:val="24"/>
        </w:rPr>
        <w:t>J</w:t>
      </w:r>
      <w:r w:rsidRPr="00B93FA1">
        <w:rPr>
          <w:szCs w:val="24"/>
        </w:rPr>
        <w:t>.</w:t>
      </w:r>
      <w:r w:rsidRPr="00B93FA1">
        <w:rPr>
          <w:szCs w:val="24"/>
        </w:rPr>
        <w:tab/>
        <w:t>vzhledem k tomu, že transparentní a podrobný sběr údajů a mechanismy podávání zpráv na úrovni EU a členských států jsou nezbytné pro sledování pokroku v souvislosti s hlavními cíli evropského pilíře sociálních práv pro rok 2030, včetně cíle snížit počet osob ohrožených chudobou nebo sociálním vyloučením nejméně o 15 milionů ve srovnání s rokem 2019;</w:t>
      </w:r>
    </w:p>
    <w:p w14:paraId="43BEBC59" w14:textId="77777777" w:rsidR="002C52D3" w:rsidRPr="00B93FA1" w:rsidRDefault="002C52D3" w:rsidP="003E1F3A">
      <w:pPr>
        <w:spacing w:after="240"/>
        <w:ind w:hanging="567"/>
        <w:rPr>
          <w:i/>
          <w:szCs w:val="24"/>
        </w:rPr>
      </w:pPr>
      <w:r w:rsidRPr="00B93FA1">
        <w:rPr>
          <w:b/>
          <w:i/>
          <w:szCs w:val="24"/>
        </w:rPr>
        <w:t>Strategie zaměřená na vymýcení chudoby</w:t>
      </w:r>
    </w:p>
    <w:p w14:paraId="074C7EB9" w14:textId="77777777" w:rsidR="002C52D3" w:rsidRPr="00B93FA1" w:rsidRDefault="002C52D3" w:rsidP="00B93FA1">
      <w:pPr>
        <w:spacing w:after="240"/>
        <w:ind w:left="567" w:hanging="567"/>
        <w:rPr>
          <w:bCs/>
          <w:iCs/>
          <w:szCs w:val="24"/>
        </w:rPr>
      </w:pPr>
      <w:r w:rsidRPr="00B93FA1">
        <w:rPr>
          <w:szCs w:val="24"/>
        </w:rPr>
        <w:t>1.</w:t>
      </w:r>
      <w:r w:rsidRPr="00B93FA1">
        <w:rPr>
          <w:szCs w:val="24"/>
        </w:rPr>
        <w:tab/>
        <w:t>je znepokojen tím, že v roce 2024 bylo 93,3 milionu lidí v EU stále ohroženo chudobou nebo sociálním vyloučením, včetně 20 milionů dětí, což odpovídá každému čtvrtému dítěti v EU, a že 27 milionů lidí v EU bylo postiženo vážnou materiální a sociální deprivací;</w:t>
      </w:r>
    </w:p>
    <w:p w14:paraId="1CA63143" w14:textId="77777777" w:rsidR="002C52D3" w:rsidRPr="00B93FA1" w:rsidRDefault="002C52D3" w:rsidP="00B93FA1">
      <w:pPr>
        <w:spacing w:after="240"/>
        <w:ind w:left="567" w:hanging="567"/>
        <w:rPr>
          <w:bCs/>
          <w:iCs/>
          <w:szCs w:val="24"/>
        </w:rPr>
      </w:pPr>
      <w:r w:rsidRPr="00B93FA1">
        <w:rPr>
          <w:szCs w:val="24"/>
        </w:rPr>
        <w:t>2.</w:t>
      </w:r>
      <w:r w:rsidRPr="00B93FA1">
        <w:rPr>
          <w:szCs w:val="24"/>
        </w:rPr>
        <w:tab/>
        <w:t>zdůrazňuje, že chudoba je komplexní jev, který zasahuje všechny oblasti života, má kořeny v systémové a strukturální nespravedlnosti a prolíná se s historickými nerovnostmi na základě pohlaví a jeho projevů, rasy a etnického původu, náboženství, migračního statusu, věku, sexuální orientace a zdravotního postižení;</w:t>
      </w:r>
    </w:p>
    <w:p w14:paraId="2EBC97B4" w14:textId="77777777" w:rsidR="002C52D3" w:rsidRPr="00B93FA1" w:rsidRDefault="002C52D3" w:rsidP="00B93FA1">
      <w:pPr>
        <w:spacing w:after="240"/>
        <w:ind w:left="567" w:hanging="567"/>
        <w:rPr>
          <w:bCs/>
          <w:iCs/>
          <w:szCs w:val="24"/>
        </w:rPr>
      </w:pPr>
      <w:r w:rsidRPr="00B93FA1">
        <w:rPr>
          <w:szCs w:val="24"/>
        </w:rPr>
        <w:t>3.</w:t>
      </w:r>
      <w:r w:rsidRPr="00B93FA1">
        <w:rPr>
          <w:szCs w:val="24"/>
        </w:rPr>
        <w:tab/>
        <w:t>zdůrazňuje, že nejudržitelnější politika proti chudobě je taková, která v první řadě zabraňuje jejímu vzniku; vyzývá ke komplexnímu přístupu k řešení základních příčin a vícerozměrných aspektů chudoby a sociálního vyloučení, jakož i bodů, kde se prolínají, pokud jde o přístup ke kvalitním pracovním místům, sociální ochranu a minimální příjem, veřejné služby, vzdělávání, intervenci v raném dětství, zdravotní péči, potraviny, bydlení, energii a daně; zdůrazňuje, že proti chudobě lze bojovat pouze podporou politik, které zajistí nedělitelnost a univerzálnost politických, hospodářských, sociálních a kulturních práv.</w:t>
      </w:r>
    </w:p>
    <w:p w14:paraId="1414AF5B" w14:textId="4679C0A6" w:rsidR="002C52D3" w:rsidRPr="00EF496B" w:rsidRDefault="002C52D3" w:rsidP="00B93FA1">
      <w:pPr>
        <w:spacing w:after="240"/>
        <w:ind w:left="567" w:hanging="567"/>
        <w:rPr>
          <w:bCs/>
          <w:iCs/>
          <w:szCs w:val="24"/>
        </w:rPr>
      </w:pPr>
      <w:r w:rsidRPr="00EF496B">
        <w:rPr>
          <w:szCs w:val="24"/>
        </w:rPr>
        <w:t>4.</w:t>
      </w:r>
      <w:r w:rsidRPr="00EF496B">
        <w:rPr>
          <w:szCs w:val="24"/>
        </w:rPr>
        <w:tab/>
        <w:t xml:space="preserve">připomíná, že chudoba neúměrně postihuje </w:t>
      </w:r>
      <w:proofErr w:type="spellStart"/>
      <w:r w:rsidRPr="00EF496B">
        <w:rPr>
          <w:szCs w:val="24"/>
        </w:rPr>
        <w:t>marginalizované</w:t>
      </w:r>
      <w:proofErr w:type="spellEnd"/>
      <w:r w:rsidRPr="00EF496B">
        <w:rPr>
          <w:szCs w:val="24"/>
        </w:rPr>
        <w:t xml:space="preserve"> a zranitelné skupiny společnosti, jako jsou ženy, rodiny lidé různého rasového a etnického původu, Romové a </w:t>
      </w:r>
      <w:proofErr w:type="spellStart"/>
      <w:r w:rsidRPr="00EF496B">
        <w:rPr>
          <w:szCs w:val="24"/>
        </w:rPr>
        <w:t>Travelleři</w:t>
      </w:r>
      <w:proofErr w:type="spellEnd"/>
      <w:r w:rsidRPr="00EF496B">
        <w:rPr>
          <w:szCs w:val="24"/>
        </w:rPr>
        <w:t>, osoby bez domova, děti v ústavní péči, osoby LGBTQIA+, starší a mladší lidé, osoby se zdravotním postižením, osoby diskriminované na základě náboženského vyznání nebo přesvědčení, osoby trpící chronickými nemocemi a závislostmi, neformální pečovatelé a rodiče samoživitelé; zdůrazňuje, že řešení vyžaduje cílená opatření, a obzvláštní pozornost těm, kteří jsou extrémní chudobou ohroženi nejvíce;</w:t>
      </w:r>
    </w:p>
    <w:p w14:paraId="7897FD2A" w14:textId="77777777" w:rsidR="002C52D3" w:rsidRPr="00B93FA1" w:rsidRDefault="002C52D3" w:rsidP="00B93FA1">
      <w:pPr>
        <w:spacing w:after="240"/>
        <w:ind w:left="567" w:hanging="567"/>
        <w:rPr>
          <w:bCs/>
          <w:iCs/>
          <w:szCs w:val="24"/>
        </w:rPr>
      </w:pPr>
      <w:r w:rsidRPr="00EF496B">
        <w:rPr>
          <w:szCs w:val="24"/>
        </w:rPr>
        <w:t>5.</w:t>
      </w:r>
      <w:r w:rsidRPr="00EF496B">
        <w:rPr>
          <w:szCs w:val="24"/>
        </w:rPr>
        <w:tab/>
        <w:t>připomíná, že se EU podle Akčního plánu pro evropský pilíř sociálních</w:t>
      </w:r>
      <w:r w:rsidRPr="00B93FA1">
        <w:rPr>
          <w:szCs w:val="24"/>
        </w:rPr>
        <w:t xml:space="preserve"> práv zavázala snížit do roku 2030 počet osob ohrožených chudobou nebo sociálním vyloučením nejméně o 15 milionů, z toho nejméně o 5 milionů dětí; zdůrazňuje, že bez změny paradigmatu v přístupu k boji proti chudobě a bez odpovídajícího financování EU a její členské státy těchto cílů v oblasti snižování chudoby nedosáhnou;</w:t>
      </w:r>
    </w:p>
    <w:p w14:paraId="79D81C8E" w14:textId="77777777" w:rsidR="002C52D3" w:rsidRPr="00B93FA1" w:rsidRDefault="002C52D3" w:rsidP="00B93FA1">
      <w:pPr>
        <w:spacing w:after="240"/>
        <w:ind w:left="567" w:hanging="567"/>
        <w:rPr>
          <w:szCs w:val="24"/>
        </w:rPr>
      </w:pPr>
      <w:r w:rsidRPr="00B93FA1">
        <w:rPr>
          <w:szCs w:val="24"/>
        </w:rPr>
        <w:t>6.</w:t>
      </w:r>
      <w:r w:rsidRPr="00B93FA1">
        <w:rPr>
          <w:szCs w:val="24"/>
        </w:rPr>
        <w:tab/>
        <w:t>vyzývá Komisi, aby předložila komplexní, ambiciózní a odpovídajícím způsobem financovanou strategii pro boj proti chudobě, která bude obsahovat tyto obecné cíle a vodítka:</w:t>
      </w:r>
    </w:p>
    <w:p w14:paraId="72CC6DCB" w14:textId="77777777" w:rsidR="002C52D3" w:rsidRPr="00B93FA1" w:rsidRDefault="002C52D3" w:rsidP="000C6FCA">
      <w:pPr>
        <w:tabs>
          <w:tab w:val="left" w:pos="0"/>
        </w:tabs>
        <w:spacing w:after="240"/>
        <w:ind w:left="1134" w:hanging="567"/>
        <w:rPr>
          <w:szCs w:val="24"/>
        </w:rPr>
      </w:pPr>
      <w:r w:rsidRPr="00B93FA1">
        <w:rPr>
          <w:szCs w:val="24"/>
        </w:rPr>
        <w:t>a)</w:t>
      </w:r>
      <w:r w:rsidRPr="00B93FA1">
        <w:rPr>
          <w:szCs w:val="24"/>
        </w:rPr>
        <w:tab/>
        <w:t>uznání chudoby jako porušení lidské důstojnosti, které brání plnému požívání lidských práv a jako základu podpory přístupu založeného na právech v souladu s mezinárodními právními rámci, zejména článkem 25 Všeobecné deklarace lidských práv;</w:t>
      </w:r>
    </w:p>
    <w:p w14:paraId="279CE87A" w14:textId="77777777" w:rsidR="002C52D3" w:rsidRPr="00B93FA1" w:rsidRDefault="002C52D3" w:rsidP="000C6FCA">
      <w:pPr>
        <w:tabs>
          <w:tab w:val="left" w:pos="0"/>
        </w:tabs>
        <w:spacing w:after="240"/>
        <w:ind w:left="1134" w:hanging="567"/>
        <w:rPr>
          <w:szCs w:val="24"/>
        </w:rPr>
      </w:pPr>
      <w:r w:rsidRPr="00B93FA1">
        <w:rPr>
          <w:szCs w:val="24"/>
        </w:rPr>
        <w:t>b)</w:t>
      </w:r>
      <w:r w:rsidRPr="00B93FA1">
        <w:rPr>
          <w:szCs w:val="24"/>
        </w:rPr>
        <w:tab/>
        <w:t xml:space="preserve">stanovení cíle urychleného vymýcení chudoby nejpozději do roku 2035, stavění </w:t>
      </w:r>
      <w:r w:rsidRPr="00B93FA1">
        <w:rPr>
          <w:szCs w:val="24"/>
        </w:rPr>
        <w:lastRenderedPageBreak/>
        <w:t>na standardech cílů udržitelného rozvoje OSN a na evropském pilíři sociálních práv a vypracování mezitímních ukazatelů pokroku, jasných milníků a monitorovacího rámce, který umožní přiměřenou koordinaci politik a potřeb financování;</w:t>
      </w:r>
    </w:p>
    <w:p w14:paraId="498F612B" w14:textId="77777777" w:rsidR="002C52D3" w:rsidRPr="00B93FA1" w:rsidRDefault="002C52D3" w:rsidP="000C6FCA">
      <w:pPr>
        <w:tabs>
          <w:tab w:val="left" w:pos="0"/>
        </w:tabs>
        <w:spacing w:after="240"/>
        <w:ind w:left="1134" w:hanging="567"/>
        <w:rPr>
          <w:szCs w:val="24"/>
        </w:rPr>
      </w:pPr>
      <w:r w:rsidRPr="00B93FA1">
        <w:rPr>
          <w:szCs w:val="24"/>
        </w:rPr>
        <w:t>c)</w:t>
      </w:r>
      <w:r w:rsidRPr="00B93FA1">
        <w:rPr>
          <w:szCs w:val="24"/>
        </w:rPr>
        <w:tab/>
        <w:t>řádnou koordinaci mezi Komisí a členskými státy a případně s regionálními orgány za účelem dosažení tohoto cíle při současném dodržování zásady subsidiarity;</w:t>
      </w:r>
    </w:p>
    <w:p w14:paraId="1C8F8817" w14:textId="77777777" w:rsidR="002C52D3" w:rsidRPr="00B93FA1" w:rsidRDefault="002C52D3" w:rsidP="000C6FCA">
      <w:pPr>
        <w:tabs>
          <w:tab w:val="left" w:pos="0"/>
        </w:tabs>
        <w:spacing w:after="240"/>
        <w:ind w:left="1134" w:hanging="567"/>
        <w:rPr>
          <w:szCs w:val="24"/>
        </w:rPr>
      </w:pPr>
      <w:r w:rsidRPr="00B93FA1">
        <w:rPr>
          <w:szCs w:val="24"/>
        </w:rPr>
        <w:t>d)</w:t>
      </w:r>
      <w:r w:rsidRPr="00B93FA1">
        <w:rPr>
          <w:szCs w:val="24"/>
        </w:rPr>
        <w:tab/>
        <w:t>komplexní, na lidi na lidi zaměřený přístup, který zahrne celý životní cyklus, k dlouhodobým politikám pro boj proti chudobě, kombinujícím všeobecná i cílená opatření počínaje dětstvím přes všechny fáze života s cílem vymýtit chudobu a podporovat sociální začlenění jakožto průřezovým kritériem v odvětvových politikách;</w:t>
      </w:r>
    </w:p>
    <w:p w14:paraId="4964892F" w14:textId="77777777" w:rsidR="002C52D3" w:rsidRPr="00B93FA1" w:rsidRDefault="002C52D3" w:rsidP="000C6FCA">
      <w:pPr>
        <w:tabs>
          <w:tab w:val="left" w:pos="0"/>
        </w:tabs>
        <w:spacing w:after="240"/>
        <w:ind w:left="1134" w:hanging="567"/>
        <w:rPr>
          <w:szCs w:val="24"/>
        </w:rPr>
      </w:pPr>
      <w:r w:rsidRPr="00B93FA1">
        <w:rPr>
          <w:szCs w:val="24"/>
        </w:rPr>
        <w:t>e)</w:t>
      </w:r>
      <w:r w:rsidRPr="00B93FA1">
        <w:rPr>
          <w:szCs w:val="24"/>
        </w:rPr>
        <w:tab/>
        <w:t>zapojení osob, které zažily chudobu, do definování, provádění a hodnocení politik, které se jich týkají, a to inkluzivním, účinným a transparentním způsobem, který jde ruku v ruce s metodikou a budováním kapacit;</w:t>
      </w:r>
    </w:p>
    <w:p w14:paraId="30EFBE12" w14:textId="77777777" w:rsidR="002C52D3" w:rsidRPr="00B93FA1" w:rsidRDefault="002C52D3" w:rsidP="000C6FCA">
      <w:pPr>
        <w:tabs>
          <w:tab w:val="left" w:pos="0"/>
        </w:tabs>
        <w:spacing w:after="240"/>
        <w:ind w:left="1134" w:hanging="567"/>
        <w:rPr>
          <w:szCs w:val="24"/>
        </w:rPr>
      </w:pPr>
      <w:r w:rsidRPr="00B93FA1">
        <w:rPr>
          <w:szCs w:val="24"/>
        </w:rPr>
        <w:t>f)</w:t>
      </w:r>
      <w:r w:rsidRPr="00B93FA1">
        <w:rPr>
          <w:szCs w:val="24"/>
        </w:rPr>
        <w:tab/>
        <w:t>základní a horizontální zásada nediskriminace v celé strategii, která má řešit strukturální nerovnosti a společenská stigmata zakořeněná v diskriminaci, jež prohlubují chudobu a sociální vyloučení;</w:t>
      </w:r>
    </w:p>
    <w:p w14:paraId="785B84E3" w14:textId="77777777" w:rsidR="002C52D3" w:rsidRPr="00B93FA1" w:rsidRDefault="002C52D3" w:rsidP="000C6FCA">
      <w:pPr>
        <w:tabs>
          <w:tab w:val="left" w:pos="0"/>
        </w:tabs>
        <w:spacing w:after="240"/>
        <w:ind w:left="1134" w:hanging="567"/>
        <w:rPr>
          <w:szCs w:val="24"/>
        </w:rPr>
      </w:pPr>
      <w:r w:rsidRPr="00B93FA1">
        <w:rPr>
          <w:szCs w:val="24"/>
        </w:rPr>
        <w:t>g)</w:t>
      </w:r>
      <w:r w:rsidRPr="00B93FA1">
        <w:rPr>
          <w:szCs w:val="24"/>
        </w:rPr>
        <w:tab/>
        <w:t>přidělení přiměřených a trvalých rozpočtových prostředků na opatření proti chudobě prostřednictvím VFR a vnitrostátních rozpočtových mechanismů, aby se podpořilo úplné provádění strategie a zajistil její dlouhodobý dopad;</w:t>
      </w:r>
    </w:p>
    <w:p w14:paraId="6A05FC30" w14:textId="77777777" w:rsidR="002C52D3" w:rsidRPr="00B93FA1" w:rsidRDefault="002C52D3" w:rsidP="00B93FA1">
      <w:pPr>
        <w:spacing w:after="240"/>
        <w:ind w:left="567" w:hanging="567"/>
        <w:rPr>
          <w:bCs/>
          <w:iCs/>
          <w:szCs w:val="24"/>
        </w:rPr>
      </w:pPr>
      <w:r w:rsidRPr="00B93FA1">
        <w:rPr>
          <w:szCs w:val="24"/>
        </w:rPr>
        <w:t>7.</w:t>
      </w:r>
      <w:r w:rsidRPr="00B93FA1">
        <w:rPr>
          <w:szCs w:val="24"/>
        </w:rPr>
        <w:tab/>
        <w:t>vyzývá Komisi, aby uznala strukturální propojení mezi chudobou a genderově podmíněným násilím a toto násilí řešila jako klíčovou strategii pro vymýcení chudoby, především chudoby žen a dětí, neboť je třeba uznat, že odstranění všech druhů násilí je zásadní pro možnost žen plně se zapojit do svých komunit a ekonomiky a získat přístup ke vzdělání, zaměstnání a sociálním službám, a tím dosáhnout finanční nezávislosti; naléhavě vyzývá Komisi a členské státy, aby zvýšily veřejné investice do politik, které se zabývají genderově podmíněným násilím; vítá, že EU ratifikovala Istanbulskou úmluvu, a naléhavě vyzývá Bulharsko, Česko, Maďarsko, Litvu a Slovensko, aby své ratifikační procesy neprodleně dokončily; vyzývá Komisi, aby zajistila účinné provádění směrnice o boji proti násilí na ženách a domácímu násilí a zaručila, aby ženy zažívající chudobu i jiné druhy násilí měly přiměřený a bezpodmínečný přístup k přístřeší, službám na podporu obětí, právní pomoci a sociálnímu zabezpečení bez ohledu na jejich bydliště nebo migrační status;</w:t>
      </w:r>
    </w:p>
    <w:p w14:paraId="02A8A3DE" w14:textId="77777777" w:rsidR="002C52D3" w:rsidRPr="00B93FA1" w:rsidRDefault="002C52D3" w:rsidP="00B93FA1">
      <w:pPr>
        <w:spacing w:after="240"/>
        <w:ind w:left="567" w:hanging="567"/>
        <w:rPr>
          <w:b/>
          <w:bCs/>
          <w:i/>
          <w:iCs/>
          <w:szCs w:val="24"/>
        </w:rPr>
      </w:pPr>
      <w:r w:rsidRPr="00B93FA1">
        <w:rPr>
          <w:b/>
          <w:i/>
          <w:szCs w:val="24"/>
        </w:rPr>
        <w:t>Spravedlivé pracovní podmínky a spravedlivější rozdělování příjmů a bohatství</w:t>
      </w:r>
    </w:p>
    <w:p w14:paraId="1AA33ABE" w14:textId="77777777" w:rsidR="002C52D3" w:rsidRPr="00B93FA1" w:rsidRDefault="002C52D3" w:rsidP="00B93FA1">
      <w:pPr>
        <w:spacing w:after="240"/>
        <w:ind w:left="567" w:hanging="567"/>
        <w:rPr>
          <w:szCs w:val="24"/>
        </w:rPr>
      </w:pPr>
      <w:r w:rsidRPr="00B93FA1">
        <w:rPr>
          <w:szCs w:val="24"/>
        </w:rPr>
        <w:t>8.</w:t>
      </w:r>
      <w:r w:rsidRPr="00B93FA1">
        <w:rPr>
          <w:szCs w:val="24"/>
        </w:rPr>
        <w:tab/>
        <w:t>vyzývá Komisi a členské státy, aby jako vodítko hospodářských a sociálních politik zavedly cíl úplné a důstojné zaměstnanosti, jakož i přiměřené sociální ochrany, služeb pro všechny a spravedlivého rozdělení příjmů a bohatství; vyzývá v této souvislosti Komisi a členské státy, aby posílily své aktivní politiky na trhu práce, zejména pokud jde o osoby, které jsou nejvíce vzdálené od zaměstnání; zdůrazňuje, že účinné aktivní politiky trhu práce by měly jít nad rámec přístupu k zaměstnání a měly by zahrnovat také služby umožňující lidem zůstat v zaměstnání;</w:t>
      </w:r>
    </w:p>
    <w:p w14:paraId="03113C42" w14:textId="77777777" w:rsidR="002C52D3" w:rsidRPr="00B93FA1" w:rsidRDefault="002C52D3" w:rsidP="00B93FA1">
      <w:pPr>
        <w:spacing w:after="240"/>
        <w:ind w:left="567" w:hanging="567"/>
        <w:rPr>
          <w:szCs w:val="24"/>
        </w:rPr>
      </w:pPr>
      <w:r w:rsidRPr="00B93FA1">
        <w:rPr>
          <w:szCs w:val="24"/>
        </w:rPr>
        <w:lastRenderedPageBreak/>
        <w:t>9.</w:t>
      </w:r>
      <w:r w:rsidRPr="00B93FA1">
        <w:rPr>
          <w:szCs w:val="24"/>
        </w:rPr>
        <w:tab/>
        <w:t>vyzývá Komisi a členské státy, aby podporovaly politiky na ochranu a prosazování pracovních práv, kvalitních pracovních míst, stálých pracovních poměrů a ochranu proti neoprávněnému propouštění, spravedlivých mezd, včetně stejné odměny za stejnou práci a stejné odměny žen a mužů, celoživotního učení, zvyšování kvalifikace a rekvalifikace, zdraví a bezpečnosti na pracovišti, nediskriminaci a přístup k přiměřené sociální ochraně; v této souvislosti vítá oznámení Plánu pro kvalitní pracovní místa, který má zajistit spravedlivou transformaci pro všechny pracovníky a osoby samostatně výdělečně činné, zejména zvýšením rozsahu kolektivního vyjednávání; zdůrazňuje, že tento plán představuje příležitost k zavedení práva jednotlivců na vzdělávání a celoživotní učení; zdůrazňuje, že v EU přetrvává chudoba pracujících u každého dvanáctého pracovníka; trvá v této souvislosti na tom, že by v EU nemělo docházet k chudobě pracujících a naléhavě vyzývá Komisi a členské státy, aby se tímto problémem seriózně zabývaly řešením strukturálních překážek nad rámec kvality pracovních míst, včetně přístupu ke službám péče o děti a jejich podpory, zlepšením uznávání kvalifikací a řešením nedostatku individuálního kariérního poradenství a podpory odborné přípravy; zdůrazňuje, že provedení směrnice (EU) 2022/2041 o přiměřených minimálních mzdách ve vnitrostátním právu bude klíčové pro předcházení rizikům chudoby mezi pracovníky a boj proti nim a zároveň toto provedení posílí pobídky k práci;</w:t>
      </w:r>
    </w:p>
    <w:p w14:paraId="4741610E" w14:textId="77777777" w:rsidR="002C52D3" w:rsidRPr="00B93FA1" w:rsidRDefault="002C52D3" w:rsidP="00B93FA1">
      <w:pPr>
        <w:spacing w:after="240"/>
        <w:ind w:left="567" w:hanging="567"/>
        <w:rPr>
          <w:bCs/>
          <w:iCs/>
          <w:szCs w:val="24"/>
        </w:rPr>
      </w:pPr>
      <w:r w:rsidRPr="00B93FA1">
        <w:rPr>
          <w:szCs w:val="24"/>
        </w:rPr>
        <w:t>10.</w:t>
      </w:r>
      <w:r w:rsidRPr="00B93FA1">
        <w:rPr>
          <w:szCs w:val="24"/>
        </w:rPr>
        <w:tab/>
        <w:t>zdůrazňuje, že je třeba posílit demokratickou účast na pracovním trhu jako nástroj boje proti chudobě prostřednictvím práva na organizování a kolektivní akce a posílené kolektivní vyjednávání, prostřednictvím odborových práv, konkrétně svobody zakládat odbory a vstupovat do nich, zlepšováním rovnováhy mezi pracovním a soukromým životem a stanovením spravedlivých pracovních podmínek, včetně pracovní doby, a přizpůsobením pracovních podmínek lidským potřebám;</w:t>
      </w:r>
    </w:p>
    <w:p w14:paraId="32352EF4" w14:textId="77777777" w:rsidR="002C52D3" w:rsidRPr="00B93FA1" w:rsidRDefault="002C52D3" w:rsidP="00B93FA1">
      <w:pPr>
        <w:spacing w:after="240"/>
        <w:ind w:left="567" w:hanging="567"/>
        <w:rPr>
          <w:bCs/>
          <w:iCs/>
          <w:szCs w:val="24"/>
        </w:rPr>
      </w:pPr>
      <w:r w:rsidRPr="00B93FA1">
        <w:rPr>
          <w:szCs w:val="24"/>
        </w:rPr>
        <w:t>11.</w:t>
      </w:r>
      <w:r w:rsidRPr="00B93FA1">
        <w:rPr>
          <w:szCs w:val="24"/>
        </w:rPr>
        <w:tab/>
        <w:t>zdůrazňuje, že je třeba posílit veřejné služby zaměstnanosti, možnosti odborné přípravy a systémy podpory při hledání zaměstnání pro osoby žijící v chudobě a pro zranitelné skupiny, zejména dlouhodobě nezaměstnané a osoby s nízkou kvalifikací; zdůrazňuje význam individuálního poradenství, uznávání neformálních dovedností a propojení odborné přípravy s kvalitními pracovními příležitostmi; vyzývá členské státy, aby zajistily rozvoj a rozšiřování vnitrostátních rámců pro uznávání neformálního a informálního učení, které umožní uznávání praktických zkušeností v odvětvích, jako je stavebnictví, zemědělství, zdravotní a sociální péče, hotelové, restaurační a stravovací odvětví, výroba, řemeslná výroba, logistika a informační a komunikační technologie, a to na základě doporučení Rady ze dne 20. prosince 2012 o uznávání neformálního a informálního učení</w:t>
      </w:r>
      <w:r w:rsidRPr="00B93FA1">
        <w:rPr>
          <w:rStyle w:val="FootnoteReference"/>
          <w:bCs/>
          <w:iCs/>
          <w:szCs w:val="24"/>
        </w:rPr>
        <w:footnoteReference w:id="57"/>
      </w:r>
      <w:r w:rsidRPr="00B93FA1">
        <w:rPr>
          <w:szCs w:val="24"/>
        </w:rPr>
        <w:t>;</w:t>
      </w:r>
    </w:p>
    <w:p w14:paraId="3D572174" w14:textId="77777777" w:rsidR="002C52D3" w:rsidRPr="00B93FA1" w:rsidRDefault="002C52D3" w:rsidP="00B93FA1">
      <w:pPr>
        <w:spacing w:after="240"/>
        <w:ind w:left="567" w:hanging="567"/>
        <w:rPr>
          <w:bCs/>
          <w:iCs/>
          <w:szCs w:val="24"/>
        </w:rPr>
      </w:pPr>
      <w:r w:rsidRPr="00B93FA1">
        <w:rPr>
          <w:szCs w:val="24"/>
        </w:rPr>
        <w:t>12.</w:t>
      </w:r>
      <w:r w:rsidRPr="00B93FA1">
        <w:rPr>
          <w:szCs w:val="24"/>
        </w:rPr>
        <w:tab/>
        <w:t xml:space="preserve">zdůrazňuje význam podpory podnikání žen a příležitostí k samostatné výdělečné činnosti, zejména ve venkovských, ostrovních a jiných geograficky odlehlých oblastech, jako prostředku k dosažení lepšího hospodářského začlenění a rovnosti mužů a žen, boje proti chudobě, vytváření zaměstnanosti na místní úrovni a podpory hospodářského rozvoje podporujícího začlenění; vyzývá Komisi a členské státy, aby zajistily cílenou podporu podnikatelkám prostřednictvím lepšího přístupu k financování, podnikatelskému vzdělávání, digitálním nástrojům a trhům; vyzývá Komisi, aby vypracovala politiky, které ženám usnadní přístup ke kvalitním pracovním místům a podnikatelským cestám, a to prostřednictvím pobídek pro podniky, aby zaměstnávaly a podporovaly ženy, zejména matky samoživitelky, a aby poskytovaly pružné uspořádání </w:t>
      </w:r>
      <w:r w:rsidRPr="00B93FA1">
        <w:rPr>
          <w:szCs w:val="24"/>
        </w:rPr>
        <w:lastRenderedPageBreak/>
        <w:t>pracovní doby;</w:t>
      </w:r>
    </w:p>
    <w:p w14:paraId="52AB3EAC" w14:textId="77777777" w:rsidR="002C52D3" w:rsidRPr="00B93FA1" w:rsidRDefault="002C52D3" w:rsidP="00B93FA1">
      <w:pPr>
        <w:spacing w:after="240"/>
        <w:ind w:left="567" w:hanging="567"/>
        <w:rPr>
          <w:bCs/>
          <w:iCs/>
          <w:szCs w:val="24"/>
        </w:rPr>
      </w:pPr>
      <w:r w:rsidRPr="00B93FA1">
        <w:rPr>
          <w:szCs w:val="24"/>
        </w:rPr>
        <w:t>13.</w:t>
      </w:r>
      <w:r w:rsidRPr="00B93FA1">
        <w:rPr>
          <w:szCs w:val="24"/>
        </w:rPr>
        <w:tab/>
        <w:t>zdůrazňuje, že segregace v přístupu dětí se zdravotním postižením k běžnému vzdělávání vede k sociálnímu vyloučení a zůstává v celé EU problémem; požaduje, aby strategie pro boj s chudobou zajistila dostupnost vzdělávání pro děti se zdravotním postižením, a to jak z hlediska fyzické infrastruktury, tak z hlediska vzdělávacích zdrojů, s cílem zaručit všem žákům rovné příležitosti; zdůrazňuje potenciál cenově dostupných asistenčních technologií a umělé inteligence pro zlepšení inkluzivní výuky žáků se zdravotním postižením, která nabízí individuální podporu, adaptivní nástroje a lepší komunikaci; vybízí členské státy, aby do těchto technologií investovaly a zajistily, že učitelé budou vyškoleni k jejich účinnému začlenění; dále vyzývá Komisi a členské státy, aby zajistily důkladná ochranná opatření proti nesprávné diagnóze mentálního postižení nebo zvláštních vzdělávacích potřeb u romských dětí, která vede k segregaci ve vzdělávání; zdůrazňuje význam nediskriminačních postupů hodnocení a inkluzivních vzdělávacích politik, které prosazují práva a důstojnost všech dětí;</w:t>
      </w:r>
    </w:p>
    <w:p w14:paraId="0E903D08" w14:textId="77777777" w:rsidR="002C52D3" w:rsidRPr="00B93FA1" w:rsidRDefault="002C52D3" w:rsidP="00B93FA1">
      <w:pPr>
        <w:spacing w:after="240"/>
        <w:ind w:left="567" w:hanging="567"/>
        <w:rPr>
          <w:szCs w:val="24"/>
        </w:rPr>
      </w:pPr>
      <w:r w:rsidRPr="00B93FA1">
        <w:rPr>
          <w:szCs w:val="24"/>
        </w:rPr>
        <w:t>14.</w:t>
      </w:r>
      <w:r w:rsidRPr="00B93FA1">
        <w:rPr>
          <w:szCs w:val="24"/>
        </w:rPr>
        <w:tab/>
        <w:t>doporučuje, aby Komise a členské státy zohlednily zprávu zvláštního zpravodaje OSN pro extrémní chudobu a lidská práva z roku 2023 při boji proti chudobě prostřednictvím účinného přístupu k práci a cíle úplné zaměstnanosti a kvalitních pracovních míst, konkrétně vytvořením nebo posílením nástrojů zaměřených především na boj proti nezaměstnanosti a podzaměstnanosti, poskytování personalizované podpory a zvyšováním zaměstnatelnosti osob nejvíce vzdálených pracovnímu trhu, zejména ze znevýhodněných a ohrožených skupin, jako jsou Romové a osoby se zdravotním postižením; domnívá se, že tyto nástroje by měly zohlednit úlohu soukromého i veřejného sektoru a sociální odpovědnost členských států;</w:t>
      </w:r>
    </w:p>
    <w:p w14:paraId="4E8208A3" w14:textId="77777777" w:rsidR="002C52D3" w:rsidRPr="00B93FA1" w:rsidRDefault="002C52D3" w:rsidP="00B93FA1">
      <w:pPr>
        <w:spacing w:after="240"/>
        <w:ind w:left="567" w:hanging="567"/>
        <w:rPr>
          <w:szCs w:val="24"/>
        </w:rPr>
      </w:pPr>
      <w:r w:rsidRPr="00B93FA1">
        <w:rPr>
          <w:szCs w:val="24"/>
        </w:rPr>
        <w:t>15.</w:t>
      </w:r>
      <w:r w:rsidRPr="00B93FA1">
        <w:rPr>
          <w:szCs w:val="24"/>
        </w:rPr>
        <w:tab/>
        <w:t>domnívá se, že sociální ekonomika je zásadní součástí sociálně tržního hospodářství EU a hnací silou provádění evropského pilíře sociálních práv a jeho cílů, přičemž často poskytuje zaměstnání zranitelným a vyloučeným skupinám; požaduje, aby strategie pro boj proti chudobě posilovala sociální ekonomiku v souladu s akčním plánem EU pro sociální ekonomiku a Lutyšským plánem pro sociální ekonomiku v Evropské unii; znovu vyzývá Komisi, aby prozkoumala inovativní mechanismy financování, jako jsou dluhopisy se sociálním dopadem, na financování projektů na podporu rozvoje sociální ekonomiky v EU</w:t>
      </w:r>
      <w:r w:rsidRPr="00B93FA1">
        <w:rPr>
          <w:rStyle w:val="FootnoteReference"/>
          <w:szCs w:val="24"/>
        </w:rPr>
        <w:footnoteReference w:id="58"/>
      </w:r>
      <w:r w:rsidRPr="00B93FA1">
        <w:rPr>
          <w:szCs w:val="24"/>
        </w:rPr>
        <w:t>;</w:t>
      </w:r>
    </w:p>
    <w:p w14:paraId="17ADE658" w14:textId="20B59D6D" w:rsidR="002C52D3" w:rsidRPr="00B93FA1" w:rsidRDefault="002C52D3" w:rsidP="000C6FCA">
      <w:pPr>
        <w:spacing w:after="240"/>
        <w:ind w:left="567" w:hanging="567"/>
        <w:rPr>
          <w:bCs/>
          <w:iCs/>
          <w:szCs w:val="24"/>
        </w:rPr>
      </w:pPr>
      <w:r w:rsidRPr="00B93FA1">
        <w:rPr>
          <w:szCs w:val="24"/>
        </w:rPr>
        <w:t>1</w:t>
      </w:r>
      <w:r w:rsidR="003E3334">
        <w:rPr>
          <w:szCs w:val="24"/>
        </w:rPr>
        <w:t>6</w:t>
      </w:r>
      <w:r w:rsidRPr="00B93FA1">
        <w:rPr>
          <w:szCs w:val="24"/>
        </w:rPr>
        <w:t>.</w:t>
      </w:r>
      <w:r w:rsidRPr="00B93FA1">
        <w:rPr>
          <w:szCs w:val="24"/>
        </w:rPr>
        <w:tab/>
        <w:t>vyzývá Komisi a členské státy, aby s ohledem na krizi životních nákladů zajistily přístup k cenově dostupnému základnímu zboží a službám, jako jsou potraviny, energie, voda, bydlení, doprava a komunikace;</w:t>
      </w:r>
    </w:p>
    <w:p w14:paraId="5FFF0F0A" w14:textId="77777777" w:rsidR="002C52D3" w:rsidRPr="00B93FA1" w:rsidRDefault="002C52D3" w:rsidP="00B93FA1">
      <w:pPr>
        <w:spacing w:after="240"/>
        <w:ind w:left="567" w:hanging="567"/>
        <w:rPr>
          <w:b/>
          <w:bCs/>
          <w:i/>
          <w:iCs/>
          <w:szCs w:val="24"/>
        </w:rPr>
      </w:pPr>
      <w:r w:rsidRPr="00B93FA1">
        <w:rPr>
          <w:b/>
          <w:i/>
          <w:szCs w:val="24"/>
        </w:rPr>
        <w:t>Přístup ke kvalitním veřejným službám, sociální ochraně a podpůrným opatřením</w:t>
      </w:r>
    </w:p>
    <w:p w14:paraId="56F0EB1E" w14:textId="726526C0" w:rsidR="002C52D3" w:rsidRPr="00B93FA1" w:rsidRDefault="002C52D3" w:rsidP="00B93FA1">
      <w:pPr>
        <w:spacing w:after="240"/>
        <w:ind w:left="567" w:hanging="567"/>
        <w:rPr>
          <w:szCs w:val="24"/>
        </w:rPr>
      </w:pPr>
      <w:r w:rsidRPr="00B93FA1">
        <w:rPr>
          <w:szCs w:val="24"/>
        </w:rPr>
        <w:t>1</w:t>
      </w:r>
      <w:r w:rsidR="003E3334">
        <w:rPr>
          <w:szCs w:val="24"/>
        </w:rPr>
        <w:t>7</w:t>
      </w:r>
      <w:r w:rsidRPr="00B93FA1">
        <w:rPr>
          <w:szCs w:val="24"/>
        </w:rPr>
        <w:t>.</w:t>
      </w:r>
      <w:r w:rsidRPr="00B93FA1">
        <w:rPr>
          <w:szCs w:val="24"/>
        </w:rPr>
        <w:tab/>
        <w:t xml:space="preserve">naléhavě vyzývá Komisi a členské státy, aby bojovaly proti chudobě prosazováním veřejných politik, které zajistí nedělitelnost a univerzálnost politických, hospodářských, sociálních a kulturních práv; trvá na důležitosti multidisciplinárního přístupu a na boji proti chudobě a sociálnímu vyloučení, zejména prostřednictvím podpory přístupu k bydlení, veřejnému prostoru a službám, zdravotní péči, dobrým životním podmínkám a kvalitě života; vyzývá členské státy, aby vypracovaly metodiky pro hodnocení strukturálních nebo systémových překážek bránících vymanění se z chudoby </w:t>
      </w:r>
      <w:r w:rsidRPr="00B93FA1">
        <w:rPr>
          <w:szCs w:val="24"/>
        </w:rPr>
        <w:lastRenderedPageBreak/>
        <w:t>a sociálního vyloučení a plnému zapojení do společnosti, ať už se tyto překážky nacházejí v jejich právních systémech, veřejných politikách nebo jejich provádění na územní úrovni;</w:t>
      </w:r>
    </w:p>
    <w:p w14:paraId="7378BABB" w14:textId="2D8C90E2" w:rsidR="002C52D3" w:rsidRPr="00B93FA1" w:rsidRDefault="003E3334" w:rsidP="00B93FA1">
      <w:pPr>
        <w:spacing w:after="240"/>
        <w:ind w:left="567" w:hanging="567"/>
        <w:rPr>
          <w:szCs w:val="24"/>
        </w:rPr>
      </w:pPr>
      <w:r>
        <w:rPr>
          <w:szCs w:val="24"/>
        </w:rPr>
        <w:t>18</w:t>
      </w:r>
      <w:r w:rsidR="002C52D3" w:rsidRPr="00B93FA1">
        <w:rPr>
          <w:szCs w:val="24"/>
        </w:rPr>
        <w:t>.</w:t>
      </w:r>
      <w:r w:rsidR="002C52D3" w:rsidRPr="00B93FA1">
        <w:rPr>
          <w:szCs w:val="24"/>
        </w:rPr>
        <w:tab/>
        <w:t>vyzývá k začlenění kvalitativních ukazatelů do strategie EU pro boj proti chudobě, aby lépe odrážely vícerozměrné aspekty chudoby;</w:t>
      </w:r>
    </w:p>
    <w:p w14:paraId="79A09A28" w14:textId="049EEEC5" w:rsidR="002C52D3" w:rsidRPr="00B93FA1" w:rsidRDefault="003E3334" w:rsidP="00B93FA1">
      <w:pPr>
        <w:spacing w:after="240"/>
        <w:ind w:left="567" w:hanging="567"/>
        <w:rPr>
          <w:szCs w:val="24"/>
        </w:rPr>
      </w:pPr>
      <w:r>
        <w:rPr>
          <w:szCs w:val="24"/>
        </w:rPr>
        <w:t>19</w:t>
      </w:r>
      <w:r w:rsidR="002C52D3" w:rsidRPr="00B93FA1">
        <w:rPr>
          <w:szCs w:val="24"/>
        </w:rPr>
        <w:t>.</w:t>
      </w:r>
      <w:r w:rsidR="002C52D3" w:rsidRPr="00B93FA1">
        <w:rPr>
          <w:szCs w:val="24"/>
        </w:rPr>
        <w:tab/>
        <w:t>vyzývá Komisi a členské státy, aby výrazně zvýšily veřejné investice do politik, které zaručují sociální práva tím, že poskytují všeobecný přístup k vysoce kvalitním veřejným službám a ke zboží a službám obecného hospodářského a společenského zájmu, jako jsou důstojné bydlení, potraviny, voda a hygienická zařízení, energie, doprava, komunikace a kulturním a volnočasové aktivity; zdůrazňuje, že přístup ke zdravé a cenově dostupné výživě je zásadní potřebou, zejména pro jednotlivce a rodiny, kteří žijí v extrémní chudobě, děti, osaměle žijící starší osoby a </w:t>
      </w:r>
      <w:proofErr w:type="spellStart"/>
      <w:r w:rsidR="002C52D3" w:rsidRPr="00B93FA1">
        <w:rPr>
          <w:szCs w:val="24"/>
        </w:rPr>
        <w:t>marginalizované</w:t>
      </w:r>
      <w:proofErr w:type="spellEnd"/>
      <w:r w:rsidR="002C52D3" w:rsidRPr="00B93FA1">
        <w:rPr>
          <w:szCs w:val="24"/>
        </w:rPr>
        <w:t xml:space="preserve"> komunity; zdůrazňuje, že tyto investice přispívají k prolamování mezigeneračních cyklů chudoby a umožňují sociální a pracovní začlenění, zejména v oblastech, jako je vzdělávání, včetně předškolního vzdělávání a péče o děti, zdravotní péče, včetně péče o duševní zdraví, a sociální ochrana;</w:t>
      </w:r>
    </w:p>
    <w:p w14:paraId="2146E50C" w14:textId="603AA5AD" w:rsidR="002C52D3" w:rsidRPr="00B93FA1" w:rsidRDefault="002C52D3" w:rsidP="00B93FA1">
      <w:pPr>
        <w:spacing w:after="240"/>
        <w:ind w:left="567" w:hanging="567"/>
        <w:rPr>
          <w:bCs/>
          <w:iCs/>
          <w:szCs w:val="24"/>
        </w:rPr>
      </w:pPr>
      <w:r w:rsidRPr="00B93FA1">
        <w:rPr>
          <w:szCs w:val="24"/>
        </w:rPr>
        <w:t>2</w:t>
      </w:r>
      <w:r w:rsidR="003E3334">
        <w:rPr>
          <w:szCs w:val="24"/>
        </w:rPr>
        <w:t>0</w:t>
      </w:r>
      <w:r w:rsidRPr="00B93FA1">
        <w:rPr>
          <w:szCs w:val="24"/>
        </w:rPr>
        <w:t>.</w:t>
      </w:r>
      <w:r w:rsidRPr="00B93FA1">
        <w:rPr>
          <w:szCs w:val="24"/>
        </w:rPr>
        <w:tab/>
        <w:t>vyzývá Komisi, aby podporovala členské státy při prosazování politiky v oblasti bydlení, která zajistí všeobecný přístup k důstojnému a cenově dostupnému bydlení, v souladu s cíli udržitelného rozvoje OSN a Všeobecnou deklarací lidských práv, konkrétně jejím článkem 25, a bude zahrnovat zvláštní opatření k řešení bezdomovectví; vyzývá Komisi, aby zajistila, že Evropský plán dostupného bydlení bude odpovídat potřebám bydlení ve všech zemích EU a zároveň dodržovat zásadu subsidiarity, a to se zvláštním důrazem na lidi žijící v chudobě, zranitelné děti, mladé lidi a </w:t>
      </w:r>
      <w:proofErr w:type="spellStart"/>
      <w:r w:rsidRPr="00B93FA1">
        <w:rPr>
          <w:szCs w:val="24"/>
        </w:rPr>
        <w:t>marginalizované</w:t>
      </w:r>
      <w:proofErr w:type="spellEnd"/>
      <w:r w:rsidRPr="00B93FA1">
        <w:rPr>
          <w:szCs w:val="24"/>
        </w:rPr>
        <w:t xml:space="preserve"> komunity; zdůrazňuje zásadní úlohu dostupného a přístupného bydlení při podpoře deinstitucionalizace a prevenci institucionalizace z důvodu chudoby, nevhodného bydlení nebo nedostatku podpory</w:t>
      </w:r>
      <w:r w:rsidRPr="00B93FA1">
        <w:rPr>
          <w:rStyle w:val="FootnoteReference"/>
          <w:bCs/>
          <w:iCs/>
          <w:szCs w:val="24"/>
        </w:rPr>
        <w:footnoteReference w:id="59"/>
      </w:r>
      <w:r w:rsidRPr="00B93FA1">
        <w:rPr>
          <w:szCs w:val="24"/>
        </w:rPr>
        <w:t>; vyzývá k tomu, aby tento plán vyčlenil značné finančních prostředky EU na rozšíření a renovaci veřejného a sociální bytového fondu; vyzývá k revizi pravidel státní podpory s cílem umožnit větší investice členských států do veřejného a sociálního bydlení, opatření na podporu sociálních a družstevních bytových systémů neziskového sektoru a sociální ekonomiky a opatření na ochranu nájemníků, zajištění stability bydlení, zabránění nezaviněným vystěhováním a na boj proti spekulativním praktikám;</w:t>
      </w:r>
    </w:p>
    <w:p w14:paraId="37CDC238" w14:textId="44F2BAD5" w:rsidR="002C52D3" w:rsidRPr="00B93FA1" w:rsidRDefault="002C52D3" w:rsidP="00B93FA1">
      <w:pPr>
        <w:spacing w:after="240"/>
        <w:ind w:left="567" w:hanging="567"/>
        <w:rPr>
          <w:bCs/>
          <w:iCs/>
          <w:szCs w:val="24"/>
        </w:rPr>
      </w:pPr>
      <w:r w:rsidRPr="00B93FA1">
        <w:rPr>
          <w:szCs w:val="24"/>
        </w:rPr>
        <w:t>2</w:t>
      </w:r>
      <w:r w:rsidR="003E3334">
        <w:rPr>
          <w:szCs w:val="24"/>
        </w:rPr>
        <w:t>1</w:t>
      </w:r>
      <w:r w:rsidRPr="00B93FA1">
        <w:rPr>
          <w:szCs w:val="24"/>
        </w:rPr>
        <w:t>.</w:t>
      </w:r>
      <w:r w:rsidRPr="00B93FA1">
        <w:rPr>
          <w:szCs w:val="24"/>
        </w:rPr>
        <w:tab/>
        <w:t xml:space="preserve">vyzývá Komisi, aby členské státy podporovala, za současného dodržování zásady subsidiarity, v provádění a rozšiřování programů a opatření, jako je program </w:t>
      </w:r>
      <w:proofErr w:type="spellStart"/>
      <w:r w:rsidRPr="00B93FA1">
        <w:rPr>
          <w:szCs w:val="24"/>
        </w:rPr>
        <w:t>Housing</w:t>
      </w:r>
      <w:proofErr w:type="spellEnd"/>
      <w:r w:rsidRPr="00B93FA1">
        <w:rPr>
          <w:szCs w:val="24"/>
        </w:rPr>
        <w:t xml:space="preserve"> </w:t>
      </w:r>
      <w:proofErr w:type="spellStart"/>
      <w:r w:rsidRPr="00B93FA1">
        <w:rPr>
          <w:szCs w:val="24"/>
        </w:rPr>
        <w:t>First</w:t>
      </w:r>
      <w:proofErr w:type="spellEnd"/>
      <w:r w:rsidRPr="00B93FA1">
        <w:rPr>
          <w:szCs w:val="24"/>
        </w:rPr>
        <w:t xml:space="preserve"> (Bydlení jako priorita) k řešení bezdomovectví, se zvláštním zřetelem k bezdomovectví dětí, a aby uznala bezdomovectví jakožto jednu z nejzávažnějších a nejviditelnějších forem chudoby a sociálního vyloučení; naléhavě vyzývá Komisi, aby předložila komplexní akční plán s konkrétními cíli za účelem ukončení bezdomovectví v celé EU do roku 2030, který musí zahrnovat specifická opatření k prevenci bezdomovectví obecně, bezdomovectví rodin a dětí, zejména bezdomovectví v důsledku ztráty zaměstnání a nejistých pracovních podmínek a k řešení bezdomovectví žen – často způsobené násilím v rodině nebo domácím násilím – jakož i opatření na zlepšení </w:t>
      </w:r>
      <w:r w:rsidRPr="00B93FA1">
        <w:rPr>
          <w:szCs w:val="24"/>
        </w:rPr>
        <w:lastRenderedPageBreak/>
        <w:t>dostupnosti bydlení pro osoby se zdravotním postižením a starší osoby;</w:t>
      </w:r>
    </w:p>
    <w:p w14:paraId="6BA0B568" w14:textId="2EF6672E" w:rsidR="002C52D3" w:rsidRPr="00B93FA1" w:rsidRDefault="002C52D3" w:rsidP="00B93FA1">
      <w:pPr>
        <w:spacing w:after="240"/>
        <w:ind w:left="567" w:hanging="567"/>
        <w:rPr>
          <w:bCs/>
          <w:iCs/>
          <w:szCs w:val="24"/>
        </w:rPr>
      </w:pPr>
      <w:r w:rsidRPr="00B93FA1">
        <w:rPr>
          <w:szCs w:val="24"/>
        </w:rPr>
        <w:t>2</w:t>
      </w:r>
      <w:r w:rsidR="003E3334">
        <w:rPr>
          <w:szCs w:val="24"/>
        </w:rPr>
        <w:t>2</w:t>
      </w:r>
      <w:r w:rsidRPr="00B93FA1">
        <w:rPr>
          <w:szCs w:val="24"/>
        </w:rPr>
        <w:t>.</w:t>
      </w:r>
      <w:r w:rsidRPr="00B93FA1">
        <w:rPr>
          <w:szCs w:val="24"/>
        </w:rPr>
        <w:tab/>
        <w:t>vyzývá členské státy, aby zřídily a podporovaly centra určená osobám bez domova, která by nabízela základní a specializovanou zdravotní péči přizpůsobenou potřebám osob bez domova, včetně služeb v oblasti fyzického a duševního zdraví, doplněnou o vzdělávací programy zaměřené na prevenci zneužívání drog, včetně poradenství, a iniciativy na rozvoj dovedností podporující opětovné začlenění do společnosti; vyzývá Komisi, aby poskytla pokyny a usnadnila výměnu osvědčených postupů mezi členskými státy s cílem zajistit účinné a humánní fungování těchto center;</w:t>
      </w:r>
    </w:p>
    <w:p w14:paraId="0F5C5989" w14:textId="3DE11578" w:rsidR="002C52D3" w:rsidRPr="00B93FA1" w:rsidRDefault="002C52D3" w:rsidP="00B93FA1">
      <w:pPr>
        <w:spacing w:after="240"/>
        <w:ind w:left="567" w:hanging="567"/>
        <w:rPr>
          <w:bCs/>
          <w:iCs/>
          <w:szCs w:val="24"/>
        </w:rPr>
      </w:pPr>
      <w:r w:rsidRPr="00B93FA1">
        <w:rPr>
          <w:szCs w:val="24"/>
        </w:rPr>
        <w:t>2</w:t>
      </w:r>
      <w:r w:rsidR="003E3334">
        <w:rPr>
          <w:szCs w:val="24"/>
        </w:rPr>
        <w:t>3</w:t>
      </w:r>
      <w:r w:rsidRPr="00B93FA1">
        <w:rPr>
          <w:szCs w:val="24"/>
        </w:rPr>
        <w:t>.</w:t>
      </w:r>
      <w:r w:rsidRPr="00B93FA1">
        <w:rPr>
          <w:szCs w:val="24"/>
        </w:rPr>
        <w:tab/>
        <w:t>vyzývá Komisi a členské státy, aby přijaly účinná opatření a politiky zaměřené na uplatňování zásady „stejná odměna za stejnou práci“ a bojovaly proti nerovnostem a diskriminaci na pracovišti, zejména pokud jsou založeny na genderu, rasovém nebo etnickém původu, zdravotním postižení, věku, socioekonomickém postavení, sexuální orientaci, genderové identitě nebo migračním statusu; zdůrazňuje význam urychleného provedení směrnice (EU) 2023/970 o stejné odměně za stejnou práci a informačních kampaní a školení o vědomých a nevědomých předsudcích, aby se těmto nerovnostem a diskriminaci předcházelo;</w:t>
      </w:r>
    </w:p>
    <w:p w14:paraId="64E38EE5" w14:textId="7F017A8D" w:rsidR="002C52D3" w:rsidRPr="00B93FA1" w:rsidRDefault="002C52D3" w:rsidP="00B93FA1">
      <w:pPr>
        <w:spacing w:after="240"/>
        <w:ind w:left="567" w:hanging="567"/>
        <w:rPr>
          <w:bCs/>
          <w:iCs/>
          <w:szCs w:val="24"/>
        </w:rPr>
      </w:pPr>
      <w:r w:rsidRPr="00B93FA1">
        <w:rPr>
          <w:szCs w:val="24"/>
        </w:rPr>
        <w:t>2</w:t>
      </w:r>
      <w:r w:rsidR="003E3334">
        <w:rPr>
          <w:szCs w:val="24"/>
        </w:rPr>
        <w:t>4</w:t>
      </w:r>
      <w:r w:rsidRPr="00B93FA1">
        <w:rPr>
          <w:szCs w:val="24"/>
        </w:rPr>
        <w:t>.</w:t>
      </w:r>
      <w:r w:rsidRPr="00B93FA1">
        <w:rPr>
          <w:szCs w:val="24"/>
        </w:rPr>
        <w:tab/>
        <w:t>vyzývá k novým intenzivnějším snahám o odstranění rozdílů v zaměstnanosti žen a mužů a rozdílů v důchodech žen a mužů a k navýšení investic do veřejných služeb a sociální infrastruktury; naléhavě vyzývá Komisi, aby nabádala členské státy k vypracování cílených opatření k zajištění přiměřené výše důchodů;</w:t>
      </w:r>
    </w:p>
    <w:p w14:paraId="08EDD4E4" w14:textId="76C76AE1" w:rsidR="002C52D3" w:rsidRPr="00B93FA1" w:rsidRDefault="002C52D3" w:rsidP="00B93FA1">
      <w:pPr>
        <w:spacing w:after="240"/>
        <w:ind w:left="567" w:hanging="567"/>
        <w:rPr>
          <w:szCs w:val="24"/>
        </w:rPr>
      </w:pPr>
      <w:r w:rsidRPr="00B93FA1">
        <w:rPr>
          <w:szCs w:val="24"/>
        </w:rPr>
        <w:t>2</w:t>
      </w:r>
      <w:r w:rsidR="003E3334">
        <w:rPr>
          <w:szCs w:val="24"/>
        </w:rPr>
        <w:t>5</w:t>
      </w:r>
      <w:r w:rsidRPr="00B93FA1">
        <w:rPr>
          <w:szCs w:val="24"/>
        </w:rPr>
        <w:t>.</w:t>
      </w:r>
      <w:r w:rsidRPr="00B93FA1">
        <w:rPr>
          <w:szCs w:val="24"/>
        </w:rPr>
        <w:tab/>
        <w:t>vyzývá členské státy, aby vypracovaly politiky posílení mateřských, otcovských a rodičovských práv a práv pečovatelů, podpory rovnováhy mezi pracovním a soukromým životem, včetně pružného uspořádání pracovní doby, usnadnění přístupu žen k příjmu během mateřské dovolené a podpory opětovného začlenění žen do práce po těhotenství a mateřské dovolené a zajištění odpovídajících podmínek pro kojení na pracovišti; vybízí členské státy, aby zavedly a podporovaly dostupné a přiměřeně kompenzované politiky otcovské dovolené, které otcům umožní navázat pevné pouto s dětmi, rovnoměrně se podílet na pečovatelských povinnostech a vzít si potřebné volno na podporu vývoje v raném dětství a rodinné pohody;</w:t>
      </w:r>
    </w:p>
    <w:p w14:paraId="270CDF4F" w14:textId="5B5C3D16" w:rsidR="002C52D3" w:rsidRPr="00B93FA1" w:rsidRDefault="002C52D3" w:rsidP="00B93FA1">
      <w:pPr>
        <w:spacing w:after="240"/>
        <w:ind w:left="567" w:hanging="567"/>
        <w:rPr>
          <w:bCs/>
          <w:iCs/>
          <w:szCs w:val="24"/>
        </w:rPr>
      </w:pPr>
      <w:r w:rsidRPr="00B93FA1">
        <w:rPr>
          <w:szCs w:val="24"/>
        </w:rPr>
        <w:t>2</w:t>
      </w:r>
      <w:r w:rsidR="003E3334">
        <w:rPr>
          <w:szCs w:val="24"/>
        </w:rPr>
        <w:t>6</w:t>
      </w:r>
      <w:r w:rsidRPr="00B93FA1">
        <w:rPr>
          <w:szCs w:val="24"/>
        </w:rPr>
        <w:t>.</w:t>
      </w:r>
      <w:r w:rsidRPr="00B93FA1">
        <w:rPr>
          <w:szCs w:val="24"/>
        </w:rPr>
        <w:tab/>
        <w:t>upozorňuje na nepřiměřený dopad neplacené pečovatelské práce na ženy a na jejich ekonomické zabezpečení; vyzývá členské státy, aby posílily své veřejné celostátní a regionální systémy péče a zajistily, aby všichni lidé, starší i mladší, bez ohledu na svůj původ, měli přístup k profesionálním službám péče, které zaručují dobré pracovní podmínky pro pečovatele; zdůrazňuje, že služby domácí péče mají zásadní význam pro poskytování kvalitní péče o lidi v nouzi, a to i o starší osoby, zaměřené na jednotlivce, stejně jako kvalitní péče o děti; vybízí členské státy, aby prozkoumaly možnost přijetí postupů a opatření, které by poskytovaly podporu neformálním pečovatelům, zejména těm, kteří pečují o osoby z domácností s nízkými příjmy, které jsou na základě odborného posouzení považovány za neschopné samostatného života, jako prostředek podpory důstojné péče v komunitě;</w:t>
      </w:r>
    </w:p>
    <w:p w14:paraId="33DFA12F" w14:textId="7CA05EDD" w:rsidR="002C52D3" w:rsidRPr="00B93FA1" w:rsidRDefault="002C52D3" w:rsidP="00B93FA1">
      <w:pPr>
        <w:spacing w:after="240"/>
        <w:ind w:left="567" w:hanging="567"/>
        <w:rPr>
          <w:bCs/>
          <w:iCs/>
          <w:szCs w:val="24"/>
        </w:rPr>
      </w:pPr>
      <w:r w:rsidRPr="00B93FA1">
        <w:rPr>
          <w:szCs w:val="24"/>
        </w:rPr>
        <w:t>2</w:t>
      </w:r>
      <w:r w:rsidR="003E3334">
        <w:rPr>
          <w:szCs w:val="24"/>
        </w:rPr>
        <w:t>7</w:t>
      </w:r>
      <w:r w:rsidRPr="00B93FA1">
        <w:rPr>
          <w:szCs w:val="24"/>
        </w:rPr>
        <w:t>.</w:t>
      </w:r>
      <w:r w:rsidRPr="00B93FA1">
        <w:rPr>
          <w:szCs w:val="24"/>
        </w:rPr>
        <w:tab/>
        <w:t>vyzývá členské státy, aby vypracovaly politiky a zajistily přístup k podpoře návratu pracovníků, zejména žen, které již několik let nepracují z důvodu rodinných povinností;</w:t>
      </w:r>
    </w:p>
    <w:p w14:paraId="2537467E" w14:textId="2F643760" w:rsidR="002C52D3" w:rsidRPr="00B93FA1" w:rsidRDefault="003E3334" w:rsidP="00B93FA1">
      <w:pPr>
        <w:spacing w:after="240"/>
        <w:ind w:left="567" w:hanging="567"/>
        <w:rPr>
          <w:szCs w:val="24"/>
        </w:rPr>
      </w:pPr>
      <w:r>
        <w:rPr>
          <w:szCs w:val="24"/>
        </w:rPr>
        <w:t>28</w:t>
      </w:r>
      <w:r w:rsidR="002C52D3" w:rsidRPr="00B93FA1">
        <w:rPr>
          <w:szCs w:val="24"/>
        </w:rPr>
        <w:t>.</w:t>
      </w:r>
      <w:r w:rsidR="002C52D3" w:rsidRPr="00B93FA1">
        <w:rPr>
          <w:szCs w:val="24"/>
        </w:rPr>
        <w:tab/>
        <w:t xml:space="preserve">naléhavě vyzývá členské státy, aby zajistily všeobecný přístup k cenově dostupné a vysoce kvalitní veřejné zdravotní péči pro všechny, zejména prenatální zdravotní péči </w:t>
      </w:r>
      <w:r w:rsidR="002C52D3" w:rsidRPr="00B93FA1">
        <w:rPr>
          <w:szCs w:val="24"/>
        </w:rPr>
        <w:lastRenderedPageBreak/>
        <w:t xml:space="preserve">a zdravotní péči o matky, novorozence a děti –včetně primární prevence, očkovacích programů a primární péče – přístupu k diagnostice, léčbě a rehabilitaci a přístupu k nejrůznějším lékařským a terapeutickým specializovaným službám, a zaručily všem ženám </w:t>
      </w:r>
      <w:bookmarkStart w:id="7" w:name="_Hlk213659452"/>
      <w:r w:rsidR="002C52D3" w:rsidRPr="00B93FA1">
        <w:rPr>
          <w:szCs w:val="24"/>
        </w:rPr>
        <w:t xml:space="preserve">právo na sexuální a reprodukční </w:t>
      </w:r>
      <w:bookmarkStart w:id="8" w:name="_Hlk213659435"/>
      <w:r w:rsidR="002C52D3" w:rsidRPr="00B93FA1">
        <w:rPr>
          <w:szCs w:val="24"/>
        </w:rPr>
        <w:t>zdravotní</w:t>
      </w:r>
      <w:bookmarkEnd w:id="7"/>
      <w:r w:rsidR="002C52D3" w:rsidRPr="00B93FA1">
        <w:rPr>
          <w:szCs w:val="24"/>
        </w:rPr>
        <w:t xml:space="preserve"> péči, a dále</w:t>
      </w:r>
      <w:bookmarkEnd w:id="8"/>
      <w:r w:rsidR="002C52D3" w:rsidRPr="00B93FA1">
        <w:rPr>
          <w:szCs w:val="24"/>
        </w:rPr>
        <w:t xml:space="preserve"> aby přijaly cílená opatření k zajištění včasné identifikace a intervence u osob ohrožených zdravotními a vývojovými problémy a rovněž aby zlepšily cílené intervenční služby v raném dětství zaměřené na podporu rozvoje, dobrých životních podmínek a sociálního začlenění dětí;</w:t>
      </w:r>
    </w:p>
    <w:p w14:paraId="54980F03" w14:textId="7739DA0B" w:rsidR="002C52D3" w:rsidRPr="00B93FA1" w:rsidRDefault="003E3334" w:rsidP="00B93FA1">
      <w:pPr>
        <w:spacing w:after="240"/>
        <w:ind w:left="567" w:hanging="567"/>
        <w:rPr>
          <w:bCs/>
          <w:iCs/>
          <w:szCs w:val="24"/>
        </w:rPr>
      </w:pPr>
      <w:r>
        <w:rPr>
          <w:szCs w:val="24"/>
        </w:rPr>
        <w:t>29</w:t>
      </w:r>
      <w:r w:rsidR="002C52D3" w:rsidRPr="00B93FA1">
        <w:rPr>
          <w:szCs w:val="24"/>
        </w:rPr>
        <w:t>.</w:t>
      </w:r>
      <w:r w:rsidR="002C52D3" w:rsidRPr="00B93FA1">
        <w:rPr>
          <w:szCs w:val="24"/>
        </w:rPr>
        <w:tab/>
      </w:r>
      <w:r w:rsidR="0056556E" w:rsidRPr="000C6FCA">
        <w:rPr>
          <w:bCs/>
          <w:iCs/>
        </w:rPr>
        <w:t>uznává menstruační chudobu jako strukturální formu chudoby</w:t>
      </w:r>
      <w:r w:rsidR="0056556E" w:rsidRPr="0056556E">
        <w:rPr>
          <w:bCs/>
          <w:iCs/>
        </w:rPr>
        <w:t xml:space="preserve"> a </w:t>
      </w:r>
      <w:r w:rsidR="0056556E" w:rsidRPr="000C6FCA">
        <w:rPr>
          <w:bCs/>
          <w:iCs/>
        </w:rPr>
        <w:t>genderové nerovnosti v EU</w:t>
      </w:r>
      <w:r w:rsidR="002C52D3" w:rsidRPr="00B93FA1">
        <w:rPr>
          <w:szCs w:val="24"/>
        </w:rPr>
        <w:t xml:space="preserve">, </w:t>
      </w:r>
      <w:r w:rsidR="0056556E">
        <w:rPr>
          <w:szCs w:val="24"/>
        </w:rPr>
        <w:t xml:space="preserve">která </w:t>
      </w:r>
      <w:r w:rsidR="002C52D3" w:rsidRPr="00B93FA1">
        <w:rPr>
          <w:szCs w:val="24"/>
        </w:rPr>
        <w:t xml:space="preserve">postihuje podle odhadů 10 % menstruující </w:t>
      </w:r>
      <w:proofErr w:type="spellStart"/>
      <w:r w:rsidR="002C52D3" w:rsidRPr="00B93FA1">
        <w:rPr>
          <w:szCs w:val="24"/>
        </w:rPr>
        <w:t>populace</w:t>
      </w:r>
      <w:r w:rsidR="00EA5BEA">
        <w:rPr>
          <w:szCs w:val="24"/>
        </w:rPr>
        <w:t>;</w:t>
      </w:r>
      <w:r w:rsidR="00EA5BEA" w:rsidRPr="000C6FCA">
        <w:t>zdůrazňuje</w:t>
      </w:r>
      <w:proofErr w:type="spellEnd"/>
      <w:r w:rsidR="00EA5BEA" w:rsidRPr="000C6FCA">
        <w:t xml:space="preserve"> její nepřiměřený dopad na ženy</w:t>
      </w:r>
      <w:r w:rsidR="00EA5BEA" w:rsidRPr="00EA5BEA">
        <w:t xml:space="preserve"> a </w:t>
      </w:r>
      <w:r w:rsidR="00EA5BEA" w:rsidRPr="000C6FCA">
        <w:t>dívky s nízkými příjmy, uprchlice, žadatelky o azyl, mladé osoby, osoby bez domova, osoby se zdravotním postižením</w:t>
      </w:r>
      <w:r w:rsidR="00EA5BEA" w:rsidRPr="00EA5BEA">
        <w:t xml:space="preserve"> a </w:t>
      </w:r>
      <w:r w:rsidR="00EA5BEA" w:rsidRPr="000C6FCA">
        <w:t>další osoby ve zranitelném postavení; zdůrazňuje</w:t>
      </w:r>
      <w:r w:rsidR="00EA5BEA" w:rsidRPr="00EA5BEA">
        <w:t xml:space="preserve">, </w:t>
      </w:r>
      <w:r w:rsidR="00EA5BEA" w:rsidRPr="000C6FCA">
        <w:t>že menstruační chudoba vážně omezuje</w:t>
      </w:r>
      <w:r w:rsidR="002C52D3" w:rsidRPr="00B93FA1">
        <w:rPr>
          <w:szCs w:val="24"/>
        </w:rPr>
        <w:t xml:space="preserve"> účast na společenském, vzdělávacím a profesním životě; vyzývá </w:t>
      </w:r>
      <w:r w:rsidR="00C20EB4">
        <w:rPr>
          <w:szCs w:val="24"/>
        </w:rPr>
        <w:t>K</w:t>
      </w:r>
      <w:r w:rsidR="002C52D3" w:rsidRPr="00B93FA1">
        <w:rPr>
          <w:szCs w:val="24"/>
        </w:rPr>
        <w:t>omisi</w:t>
      </w:r>
      <w:r w:rsidR="00C20EB4" w:rsidRPr="000C6FCA">
        <w:rPr>
          <w:bCs/>
          <w:iCs/>
        </w:rPr>
        <w:t>, aby v rámci strategie EU pro boj proti chudobě vypracovala komplexní akční plán</w:t>
      </w:r>
      <w:r w:rsidR="00C20EB4" w:rsidRPr="00C20EB4">
        <w:rPr>
          <w:bCs/>
          <w:iCs/>
        </w:rPr>
        <w:t>,</w:t>
      </w:r>
      <w:r w:rsidR="00C20EB4">
        <w:rPr>
          <w:bCs/>
          <w:iCs/>
        </w:rPr>
        <w:t xml:space="preserve"> který</w:t>
      </w:r>
      <w:r w:rsidR="002C52D3" w:rsidRPr="00C20EB4">
        <w:rPr>
          <w:bCs/>
          <w:iCs/>
          <w:szCs w:val="24"/>
        </w:rPr>
        <w:t xml:space="preserve"> zajist</w:t>
      </w:r>
      <w:r w:rsidR="00C20EB4">
        <w:rPr>
          <w:bCs/>
          <w:iCs/>
          <w:szCs w:val="24"/>
        </w:rPr>
        <w:t>í</w:t>
      </w:r>
      <w:r w:rsidR="002C52D3" w:rsidRPr="00B93FA1">
        <w:rPr>
          <w:szCs w:val="24"/>
        </w:rPr>
        <w:t xml:space="preserve"> přístup k menstruačním produktům zdarma nebo za dostupné ceny, </w:t>
      </w:r>
      <w:r w:rsidR="00C20EB4" w:rsidRPr="000C6FCA">
        <w:rPr>
          <w:bCs/>
          <w:iCs/>
        </w:rPr>
        <w:t>k informacím</w:t>
      </w:r>
      <w:r w:rsidR="00C20EB4" w:rsidRPr="00C20EB4">
        <w:rPr>
          <w:bCs/>
          <w:iCs/>
        </w:rPr>
        <w:t xml:space="preserve"> a </w:t>
      </w:r>
      <w:r w:rsidR="00C20EB4" w:rsidRPr="000C6FCA">
        <w:rPr>
          <w:bCs/>
          <w:iCs/>
        </w:rPr>
        <w:t>odpovídajícím hygienickým zařízením, zejména</w:t>
      </w:r>
      <w:r w:rsidR="00C20EB4" w:rsidRPr="00C20EB4">
        <w:rPr>
          <w:bCs/>
          <w:iCs/>
        </w:rPr>
        <w:t xml:space="preserve"> na </w:t>
      </w:r>
      <w:r w:rsidR="00C20EB4" w:rsidRPr="000C6FCA">
        <w:rPr>
          <w:bCs/>
          <w:iCs/>
        </w:rPr>
        <w:t>veřejných místech, jako jsou vzdělávací instituce, pracoviště, veřejné budovy</w:t>
      </w:r>
      <w:r w:rsidR="00C20EB4" w:rsidRPr="00C20EB4">
        <w:rPr>
          <w:bCs/>
          <w:iCs/>
        </w:rPr>
        <w:t xml:space="preserve"> a </w:t>
      </w:r>
      <w:r w:rsidR="00C20EB4" w:rsidRPr="000C6FCA">
        <w:rPr>
          <w:bCs/>
          <w:iCs/>
        </w:rPr>
        <w:t>přijímací střediska</w:t>
      </w:r>
      <w:r w:rsidR="002C52D3" w:rsidRPr="00B93FA1">
        <w:rPr>
          <w:szCs w:val="24"/>
        </w:rPr>
        <w:t>;</w:t>
      </w:r>
    </w:p>
    <w:p w14:paraId="6884CB9E" w14:textId="016EC58C" w:rsidR="002C52D3" w:rsidRPr="00B93FA1" w:rsidRDefault="002C52D3" w:rsidP="00B93FA1">
      <w:pPr>
        <w:spacing w:after="240"/>
        <w:ind w:left="567" w:hanging="567"/>
        <w:rPr>
          <w:szCs w:val="24"/>
        </w:rPr>
      </w:pPr>
      <w:r w:rsidRPr="00B93FA1">
        <w:rPr>
          <w:szCs w:val="24"/>
        </w:rPr>
        <w:t>3</w:t>
      </w:r>
      <w:r w:rsidR="003E3334">
        <w:rPr>
          <w:szCs w:val="24"/>
        </w:rPr>
        <w:t>0</w:t>
      </w:r>
      <w:r w:rsidRPr="00B93FA1">
        <w:rPr>
          <w:szCs w:val="24"/>
        </w:rPr>
        <w:t>.</w:t>
      </w:r>
      <w:r w:rsidRPr="00B93FA1">
        <w:rPr>
          <w:szCs w:val="24"/>
        </w:rPr>
        <w:tab/>
        <w:t xml:space="preserve">vyzývá členské státy, aby posílily veřejné, univerzální a solidární systémy sociálního zabezpečení s cílem zajistit plnou a účinnou sociální ochranu pro všechny, včetně pracovníků, osob samostatně výdělečně činných a důchodců a předcházet základním příčinám chudoby a chudoby pracujících a řešit je v souladu s doporučením Rady o přístupu k sociální ochraně pracovníků a osob samostatně výdělečně činných z roku 2019; trvá na tom, že je důležité řešit problémy, kterým čelí lidé s nejistým nebo nestandardním zaměstnáním, zejména mladí lidé, kteří čelí diskriminaci na základě věku a nemají dostatečné záznamy o příspěvcích, aby měli přístup k sociálním dávkám, jakož i umělci a pracovníci v kulturních a tvůrčích odvětvích; </w:t>
      </w:r>
      <w:bookmarkStart w:id="9" w:name="_Hlk209688047"/>
      <w:r w:rsidRPr="00B93FA1">
        <w:rPr>
          <w:szCs w:val="24"/>
        </w:rPr>
        <w:t>vyzývá členské státy, aby řešily chudobu starších osob prostřednictvím zvláštních opatření a věnovaly zvláštní pozornost ženám, které jsou jí neúměrně postiženy</w:t>
      </w:r>
      <w:bookmarkEnd w:id="9"/>
      <w:r w:rsidRPr="00B93FA1">
        <w:rPr>
          <w:szCs w:val="24"/>
        </w:rPr>
        <w:t>; vyzývá členské státy, aby ve svých důchodových systémech náležitě zohlednily období nepřítomnosti v práci z důvodu rodičovské dovolené;</w:t>
      </w:r>
    </w:p>
    <w:p w14:paraId="49844AF5" w14:textId="119D2E8E" w:rsidR="002C52D3" w:rsidRPr="00B93FA1" w:rsidRDefault="002C52D3" w:rsidP="00B93FA1">
      <w:pPr>
        <w:spacing w:after="240"/>
        <w:ind w:left="567" w:hanging="567"/>
        <w:rPr>
          <w:bCs/>
          <w:iCs/>
          <w:szCs w:val="24"/>
        </w:rPr>
      </w:pPr>
      <w:r w:rsidRPr="00B93FA1">
        <w:rPr>
          <w:szCs w:val="24"/>
        </w:rPr>
        <w:t>3</w:t>
      </w:r>
      <w:r w:rsidR="003E3334">
        <w:rPr>
          <w:szCs w:val="24"/>
        </w:rPr>
        <w:t>1</w:t>
      </w:r>
      <w:r w:rsidRPr="00B93FA1">
        <w:rPr>
          <w:szCs w:val="24"/>
        </w:rPr>
        <w:t>.</w:t>
      </w:r>
      <w:r w:rsidRPr="00B93FA1">
        <w:rPr>
          <w:szCs w:val="24"/>
        </w:rPr>
        <w:tab/>
        <w:t>zdůrazňuje, že by se strategie pro boj proti chudobě měla zabývat šedou ekonomikou vzhledem k tomu, že je stále rozšířená v celé EU a že její důsledkem jsou pracovní místa bez přístupu k právům, odpovídající mzdě, sociální ochraně nebo zdravotním a bezpečnostním normám při práci; vyzývá členské státy, aby vytvořily cesty k začlenění mezi neformální a formální ekonomikou, například zavedením zjednodušených postupů registrace pro sezónní a manuální pracovníky a pracovníky v cizích domácnostech;</w:t>
      </w:r>
    </w:p>
    <w:p w14:paraId="733C7BAF" w14:textId="560FB4E2" w:rsidR="002C52D3" w:rsidRPr="00B93FA1" w:rsidRDefault="002C52D3" w:rsidP="00B93FA1">
      <w:pPr>
        <w:spacing w:after="240"/>
        <w:ind w:left="567" w:hanging="567"/>
        <w:rPr>
          <w:bCs/>
          <w:iCs/>
          <w:szCs w:val="24"/>
        </w:rPr>
      </w:pPr>
      <w:r w:rsidRPr="00B93FA1">
        <w:rPr>
          <w:szCs w:val="24"/>
        </w:rPr>
        <w:t>3</w:t>
      </w:r>
      <w:r w:rsidR="003E3334">
        <w:rPr>
          <w:szCs w:val="24"/>
        </w:rPr>
        <w:t>2</w:t>
      </w:r>
      <w:r w:rsidRPr="00B93FA1">
        <w:rPr>
          <w:szCs w:val="24"/>
        </w:rPr>
        <w:t>.</w:t>
      </w:r>
      <w:r w:rsidRPr="00B93FA1">
        <w:rPr>
          <w:szCs w:val="24"/>
        </w:rPr>
        <w:tab/>
        <w:t xml:space="preserve">vyzývá členské státy, aby se zabývaly chudobou mladých lidí a sociálně-ekonomickou nerovností, přičemž uznává, že mladí lidé jsou neúměrně postiženi nezaměstnaností, nejistým zaměstnáním, vyloučením z bydlení a sociální zranitelností; zdůrazňuje, že mladí lidé jsou nadměrně zastoupeni v odvětvích, pro něž jsou charakteristické částečné úvazky, sezónní, nejistá a nehlášená práce, a že míra mladých lidí, kteří nejsou zaměstnaní ani se neúčastní vzdělávání nebo odborné přípravy, zůstává v několika členských státech trvale vysoká a je dvakrát vyšší než celková míra nezaměstnanosti v EU; zdůrazňuje, že je třeba posílit záruku pro mladé lidi jako klíčový nástroj na podporu začlenění mladých lidí na trh práce, jakož i použít strategii k rozvoji větší součinnosti mezi tímto nástrojem a evropskou zárukou pro děti k posílení obou nástrojů přijetím </w:t>
      </w:r>
      <w:r w:rsidRPr="00B93FA1">
        <w:rPr>
          <w:szCs w:val="24"/>
        </w:rPr>
        <w:lastRenderedPageBreak/>
        <w:t>cílených opatření, která podpoří řešení dostupného bydlení pro mladé lidi v rámci připravovaného plánu dostupného bydlení a posílí na míru přizpůsobenou podporu duševního zdraví a služby sociálního začleňování určené speciálně pro mladé lidi; vyzývá k posílení podpory pro mladé lidi, kteří opouštějí alternativní péči, aby byla zajištěna stabilní a důstojná cesta do dospělosti, konkrétně poskytnutím lepšího přístupu k odbornému vzdělávání a pracovním příležitostem, nebo podpory při vysokoškolském nebo odborném vzdělávání a přípravě, aby se snížilo riziko chudoby, sociálního vyloučení a bezdomovectví v tomto kritickém období;</w:t>
      </w:r>
    </w:p>
    <w:p w14:paraId="7261CAE1" w14:textId="339B2964" w:rsidR="002C52D3" w:rsidRPr="00B93FA1" w:rsidRDefault="002C52D3" w:rsidP="00B93FA1">
      <w:pPr>
        <w:spacing w:after="240"/>
        <w:ind w:left="567" w:hanging="567"/>
        <w:rPr>
          <w:szCs w:val="24"/>
        </w:rPr>
      </w:pPr>
      <w:r w:rsidRPr="00B93FA1">
        <w:rPr>
          <w:szCs w:val="24"/>
        </w:rPr>
        <w:t>3</w:t>
      </w:r>
      <w:r w:rsidR="003E3334">
        <w:rPr>
          <w:szCs w:val="24"/>
        </w:rPr>
        <w:t>3</w:t>
      </w:r>
      <w:r w:rsidRPr="00B93FA1">
        <w:rPr>
          <w:szCs w:val="24"/>
        </w:rPr>
        <w:t>.</w:t>
      </w:r>
      <w:r w:rsidRPr="00B93FA1">
        <w:rPr>
          <w:szCs w:val="24"/>
        </w:rPr>
        <w:tab/>
        <w:t>vyzývá Komisi a členské státy, aby zohledňovaly jev skryté chudoby, bojovaly proti stigmatizaci osob žijících v chudobě a nevyužívání dostupných sociálních dávek;</w:t>
      </w:r>
    </w:p>
    <w:p w14:paraId="2C49A0F4" w14:textId="712EA5EC" w:rsidR="00A27140" w:rsidRPr="000C6FCA" w:rsidRDefault="00A27140" w:rsidP="00B93FA1">
      <w:pPr>
        <w:spacing w:after="240"/>
        <w:ind w:left="567" w:hanging="567"/>
        <w:rPr>
          <w:bCs/>
          <w:iCs/>
        </w:rPr>
      </w:pPr>
      <w:r w:rsidRPr="000C6FCA">
        <w:rPr>
          <w:bCs/>
          <w:iCs/>
        </w:rPr>
        <w:t>3</w:t>
      </w:r>
      <w:r w:rsidR="003E3334">
        <w:rPr>
          <w:bCs/>
          <w:iCs/>
        </w:rPr>
        <w:t>4</w:t>
      </w:r>
      <w:r w:rsidRPr="000C6FCA">
        <w:rPr>
          <w:bCs/>
          <w:iCs/>
        </w:rPr>
        <w:t>.</w:t>
      </w:r>
      <w:r w:rsidRPr="00A27140">
        <w:rPr>
          <w:bCs/>
          <w:iCs/>
        </w:rPr>
        <w:tab/>
      </w:r>
      <w:r w:rsidRPr="000C6FCA">
        <w:rPr>
          <w:bCs/>
          <w:iCs/>
        </w:rPr>
        <w:t>zdůrazňuje, že je důležité překonat administrativní překážky, které mohou bránit zranitelným skupinám, jako jsou Romové, v přístupu k základním službám a sociální ochraně, neboť tyto překážky udržují a prohlubují chudobu a vyloučení; zdůrazňuje, že usnadňovat rovný přístup k základním službám a současně zachovávat správní jasnost a odpovědnost by mohla vnitrostátní identifikační čísla;</w:t>
      </w:r>
    </w:p>
    <w:p w14:paraId="2CB0FF91" w14:textId="628FB70B" w:rsidR="002C52D3" w:rsidRPr="00B93FA1" w:rsidRDefault="002C52D3" w:rsidP="00B93FA1">
      <w:pPr>
        <w:spacing w:after="240"/>
        <w:ind w:left="567" w:hanging="567"/>
        <w:rPr>
          <w:bCs/>
          <w:iCs/>
          <w:szCs w:val="24"/>
        </w:rPr>
      </w:pPr>
      <w:r w:rsidRPr="00B93FA1">
        <w:rPr>
          <w:szCs w:val="24"/>
        </w:rPr>
        <w:t>3</w:t>
      </w:r>
      <w:r w:rsidR="003E3334">
        <w:rPr>
          <w:szCs w:val="24"/>
        </w:rPr>
        <w:t>5</w:t>
      </w:r>
      <w:r w:rsidRPr="00B93FA1">
        <w:rPr>
          <w:szCs w:val="24"/>
        </w:rPr>
        <w:t>.</w:t>
      </w:r>
      <w:r w:rsidRPr="00B93FA1">
        <w:rPr>
          <w:szCs w:val="24"/>
        </w:rPr>
        <w:tab/>
        <w:t>vyzývá Komisi a členské státy, aby revidovaly příslušné právní předpisy s cílem výslovně zakázat diskriminaci na základě socioekonomického postavení a uznaly, že se tato diskriminace prolíná s jinými formami diskriminace; zdůrazňuje, že k zajištění vymahatelných práv a ochrany osob postižených chudobou a sociálním vyloučením je nezbytný jasný právní základ; dále vyzývá Radu, aby zaujala postoj k horizontální antidiskriminační směrnici s cílem zahájit interinstitucionální jednání;</w:t>
      </w:r>
    </w:p>
    <w:p w14:paraId="1D4931D3" w14:textId="3E6E1968" w:rsidR="002C52D3" w:rsidRPr="00B93FA1" w:rsidRDefault="002C52D3" w:rsidP="00B93FA1">
      <w:pPr>
        <w:spacing w:after="240"/>
        <w:ind w:left="567" w:hanging="567"/>
        <w:rPr>
          <w:bCs/>
          <w:iCs/>
          <w:szCs w:val="24"/>
        </w:rPr>
      </w:pPr>
      <w:r w:rsidRPr="00B93FA1">
        <w:rPr>
          <w:szCs w:val="24"/>
        </w:rPr>
        <w:t>3</w:t>
      </w:r>
      <w:r w:rsidR="003E3334">
        <w:rPr>
          <w:szCs w:val="24"/>
        </w:rPr>
        <w:t>6</w:t>
      </w:r>
      <w:r w:rsidRPr="00B93FA1">
        <w:rPr>
          <w:szCs w:val="24"/>
        </w:rPr>
        <w:t>.</w:t>
      </w:r>
      <w:r w:rsidRPr="00B93FA1">
        <w:rPr>
          <w:szCs w:val="24"/>
        </w:rPr>
        <w:tab/>
        <w:t>vyzývá členské státy, aby přezkoumaly politiky a opatření, která postihují lidi žijící v extrémní chudobě a sankce vůči osobám poskytujícím podporu; zdůrazňuje, že taková opatření často podkopávají důstojnost, prohlubují vyloučení a jsou kontraproduktivní z hlediska dlouhodobých cílů sociálního začlenění;</w:t>
      </w:r>
    </w:p>
    <w:p w14:paraId="1C091E75" w14:textId="20D180A7" w:rsidR="002C52D3" w:rsidRPr="00B93FA1" w:rsidRDefault="002C52D3" w:rsidP="00B93FA1">
      <w:pPr>
        <w:spacing w:after="240"/>
        <w:ind w:left="567" w:hanging="567"/>
        <w:rPr>
          <w:bCs/>
          <w:iCs/>
          <w:szCs w:val="24"/>
        </w:rPr>
      </w:pPr>
      <w:r w:rsidRPr="00B93FA1">
        <w:rPr>
          <w:szCs w:val="24"/>
        </w:rPr>
        <w:t>3</w:t>
      </w:r>
      <w:r w:rsidR="003E3334">
        <w:rPr>
          <w:szCs w:val="24"/>
        </w:rPr>
        <w:t>7</w:t>
      </w:r>
      <w:r w:rsidRPr="00B93FA1">
        <w:rPr>
          <w:szCs w:val="24"/>
        </w:rPr>
        <w:t>.</w:t>
      </w:r>
      <w:r w:rsidRPr="00B93FA1">
        <w:rPr>
          <w:szCs w:val="24"/>
        </w:rPr>
        <w:tab/>
        <w:t>naléhavě vyzývá členské státy, aby prozkoumaly a zavedly proaktivní mechanismy, které zajistí, že všechny osoby, které mají nárok na sociální dávky, zejména osoby z řad cílových skupin sociální pomoci, o nich budou účinně informovány a bude jim umožněn přístup k nim, čímž se sníží jejich nevyužívání, a to i snížením administrativní zátěže spojené s žádostmi o dávky, zajištěním větší transparentnosti a zajištěním školení zaměstnanců, kteří budou schopni oslovit osoby zažívající chudobu a pomáhat jim, s cílem budovat důvěru v instituce;</w:t>
      </w:r>
    </w:p>
    <w:p w14:paraId="24E227D3" w14:textId="2041404A" w:rsidR="002C52D3" w:rsidRPr="00B93FA1" w:rsidRDefault="002C52D3" w:rsidP="00B93FA1">
      <w:pPr>
        <w:spacing w:after="240"/>
        <w:ind w:left="567" w:hanging="567"/>
        <w:rPr>
          <w:bCs/>
          <w:iCs/>
          <w:szCs w:val="24"/>
        </w:rPr>
      </w:pPr>
      <w:r w:rsidRPr="00B93FA1">
        <w:rPr>
          <w:szCs w:val="24"/>
        </w:rPr>
        <w:t>3</w:t>
      </w:r>
      <w:r w:rsidR="003E3334">
        <w:rPr>
          <w:szCs w:val="24"/>
        </w:rPr>
        <w:t>8</w:t>
      </w:r>
      <w:r w:rsidRPr="00B93FA1">
        <w:rPr>
          <w:szCs w:val="24"/>
        </w:rPr>
        <w:t>.</w:t>
      </w:r>
      <w:r w:rsidRPr="00B93FA1">
        <w:rPr>
          <w:szCs w:val="24"/>
        </w:rPr>
        <w:tab/>
        <w:t xml:space="preserve">lituje, že cíl strategického rámce EU pro Romy na období 2021–2030, kterým je snížení rozdílu v chudobě mezi romskými komunitami a obecnou populací alespoň o polovinu, ještě zdaleka nebyl splněn; zdůrazňuje, že strategie EU pro boj proti chudobě by měla mít společný cíl podporovat základní práva, snižovat nerovnosti a řešit strukturální diskriminaci se strategickým rámcem EU pro Romy a evropskou zárukou pro děti; zdůrazňuje, že je důležité zajistit, aby tyto iniciativy byly prováděny v součinnosti, zejména při řešení chudoby dětí a prolomení cyklu mezigeneračního znevýhodnění romských rodin a komunit </w:t>
      </w:r>
      <w:proofErr w:type="spellStart"/>
      <w:r w:rsidRPr="00B93FA1">
        <w:rPr>
          <w:szCs w:val="24"/>
        </w:rPr>
        <w:t>Travellerů</w:t>
      </w:r>
      <w:proofErr w:type="spellEnd"/>
      <w:r w:rsidRPr="00B93FA1">
        <w:rPr>
          <w:szCs w:val="24"/>
        </w:rPr>
        <w:t>;</w:t>
      </w:r>
    </w:p>
    <w:p w14:paraId="131EA1C5" w14:textId="024C2483" w:rsidR="002C52D3" w:rsidRPr="00B93FA1" w:rsidRDefault="003E3334" w:rsidP="00B93FA1">
      <w:pPr>
        <w:spacing w:after="240"/>
        <w:ind w:left="567" w:hanging="567"/>
        <w:rPr>
          <w:bCs/>
          <w:iCs/>
          <w:szCs w:val="24"/>
        </w:rPr>
      </w:pPr>
      <w:r>
        <w:rPr>
          <w:szCs w:val="24"/>
        </w:rPr>
        <w:t>39</w:t>
      </w:r>
      <w:r w:rsidR="002C52D3" w:rsidRPr="00B93FA1">
        <w:rPr>
          <w:szCs w:val="24"/>
        </w:rPr>
        <w:t>.</w:t>
      </w:r>
      <w:r w:rsidR="002C52D3" w:rsidRPr="00B93FA1">
        <w:rPr>
          <w:szCs w:val="24"/>
        </w:rPr>
        <w:tab/>
        <w:t>zdůrazňuje rostoucí digitální propast, která může prohlubovat chudobu tím, že omezuje přístup k informacím, a potřebu opatření k řešení digitálního vyloučení nízkopříjmových a </w:t>
      </w:r>
      <w:proofErr w:type="spellStart"/>
      <w:r w:rsidR="002C52D3" w:rsidRPr="00B93FA1">
        <w:rPr>
          <w:szCs w:val="24"/>
        </w:rPr>
        <w:t>marginalizovaných</w:t>
      </w:r>
      <w:proofErr w:type="spellEnd"/>
      <w:r w:rsidR="002C52D3" w:rsidRPr="00B93FA1">
        <w:rPr>
          <w:szCs w:val="24"/>
        </w:rPr>
        <w:t xml:space="preserve"> skupin, včetně starších osob; v této souvislosti vyzývá Komisi a členské státy, aby podporovaly digitální začleňování zranitelných </w:t>
      </w:r>
      <w:r w:rsidR="002C52D3" w:rsidRPr="00B93FA1">
        <w:rPr>
          <w:szCs w:val="24"/>
        </w:rPr>
        <w:lastRenderedPageBreak/>
        <w:t>skupin prostřednictvím opatření a podpůrných programů, které jim zajistí přístup k digitálním technologiím, infrastruktuře a konektivitě, jakož i školení v oblasti základních digitálních dovedností; doporučuje zahrnout jasné ukazatele pro sledování digitálního začlenění, zejména u dětí, zároveň pokračovat v ochraně online aktivit dětí a dospívajících;</w:t>
      </w:r>
    </w:p>
    <w:p w14:paraId="1930CD6C" w14:textId="3E216FF6" w:rsidR="002C52D3" w:rsidRPr="00B93FA1" w:rsidRDefault="002C52D3" w:rsidP="00B93FA1">
      <w:pPr>
        <w:spacing w:after="240"/>
        <w:ind w:left="567" w:hanging="567"/>
        <w:rPr>
          <w:bCs/>
          <w:iCs/>
          <w:szCs w:val="24"/>
        </w:rPr>
      </w:pPr>
      <w:r w:rsidRPr="00B93FA1">
        <w:rPr>
          <w:szCs w:val="24"/>
        </w:rPr>
        <w:t>4</w:t>
      </w:r>
      <w:r w:rsidR="003E3334">
        <w:rPr>
          <w:szCs w:val="24"/>
        </w:rPr>
        <w:t>0</w:t>
      </w:r>
      <w:r w:rsidRPr="00B93FA1">
        <w:rPr>
          <w:szCs w:val="24"/>
        </w:rPr>
        <w:t>.</w:t>
      </w:r>
      <w:r w:rsidRPr="00B93FA1">
        <w:rPr>
          <w:szCs w:val="24"/>
        </w:rPr>
        <w:tab/>
        <w:t>domnívá se, že cíl úplné digitalizace klíčových veřejných služeb v programu EU Digitální dekáda může odklonem od individualizované podpory zvýraznit nerovnosti, a to zejména mezi městskými a venkovskými oblastmi, věkovými a socioekonomickými skupinami; zdůrazňuje v tomto ohledu, že je třeba nalézt rovnováhu mezi procesem digitalizace veřejných služeb a správy a potřebami zranitelných skupin; vyzývá Komisi a členské státy, aby se touto otázkou zabývaly v rámci strategie pro boj proti chudobě i národních akčních plánů a zajistily potřebné zdroje, osobní podporu a řádná školení pro zaměstnance v klíčových službách veřejné správy s cílem zajistit rovný přístup k veřejným službám a zabránit prohlubování digitální propasti;</w:t>
      </w:r>
    </w:p>
    <w:p w14:paraId="00456D53" w14:textId="23D0F6F4" w:rsidR="002C52D3" w:rsidRPr="00B93FA1" w:rsidRDefault="002C52D3" w:rsidP="00B93FA1">
      <w:pPr>
        <w:spacing w:after="240"/>
        <w:ind w:left="567" w:hanging="567"/>
        <w:rPr>
          <w:bCs/>
          <w:iCs/>
          <w:szCs w:val="24"/>
        </w:rPr>
      </w:pPr>
      <w:r w:rsidRPr="00B93FA1">
        <w:rPr>
          <w:szCs w:val="24"/>
        </w:rPr>
        <w:t>4</w:t>
      </w:r>
      <w:r w:rsidR="003E3334">
        <w:rPr>
          <w:szCs w:val="24"/>
        </w:rPr>
        <w:t>1</w:t>
      </w:r>
      <w:r w:rsidRPr="00B93FA1">
        <w:rPr>
          <w:szCs w:val="24"/>
        </w:rPr>
        <w:t>.</w:t>
      </w:r>
      <w:r w:rsidRPr="00B93FA1">
        <w:rPr>
          <w:szCs w:val="24"/>
        </w:rPr>
        <w:tab/>
        <w:t>připomíná, že rostoucí využívání algoritmů a systémů umělé inteligence v základních veřejných službách může představovat značné riziko posílení stávajících forem diskriminace, zejména vůči lidem žijícím v chudobě; naléhavě vyzývá Komisi, aby podporovala etické systémy umělé inteligence již od návrhu a aby zajistila průřezovou zásadu nediskriminace ve všech předpisech EU týkajících se umělé inteligence;</w:t>
      </w:r>
    </w:p>
    <w:p w14:paraId="027FA867" w14:textId="229EBD2B" w:rsidR="002C52D3" w:rsidRPr="00B93FA1" w:rsidRDefault="002C52D3" w:rsidP="00B93FA1">
      <w:pPr>
        <w:spacing w:after="240"/>
        <w:ind w:left="567" w:hanging="567"/>
        <w:rPr>
          <w:szCs w:val="24"/>
        </w:rPr>
      </w:pPr>
      <w:r w:rsidRPr="00B93FA1">
        <w:rPr>
          <w:szCs w:val="24"/>
        </w:rPr>
        <w:t>4</w:t>
      </w:r>
      <w:r w:rsidR="003E3334">
        <w:rPr>
          <w:szCs w:val="24"/>
        </w:rPr>
        <w:t>2</w:t>
      </w:r>
      <w:r w:rsidRPr="00B93FA1">
        <w:rPr>
          <w:szCs w:val="24"/>
        </w:rPr>
        <w:t>.</w:t>
      </w:r>
      <w:r w:rsidRPr="00B93FA1">
        <w:rPr>
          <w:szCs w:val="24"/>
        </w:rPr>
        <w:tab/>
        <w:t>zdůrazňuje, že chudoba a duševní zdraví jsou úzce propojeny a že každá z těchto oblastí může negativně ovlivnit tu druhou; doporučuje, aby členské státy posílily podporu osob ve zranitelném postavení, včetně rodin a dětí, prostřednictvím služeb podpory v oblasti duševního zdraví a psychosociální podpory a zajistily využívání dostatečných zdrojů a odpovídajícím způsobem vyškolených odborníků, kteří by tyto služby účinně poskytovali;</w:t>
      </w:r>
    </w:p>
    <w:p w14:paraId="766C2114" w14:textId="3ECBDBE2" w:rsidR="002C52D3" w:rsidRPr="00B93FA1" w:rsidRDefault="002C52D3" w:rsidP="00B93FA1">
      <w:pPr>
        <w:spacing w:after="240"/>
        <w:ind w:left="567" w:hanging="567"/>
        <w:rPr>
          <w:bCs/>
          <w:iCs/>
          <w:szCs w:val="24"/>
        </w:rPr>
      </w:pPr>
      <w:r w:rsidRPr="00B93FA1">
        <w:rPr>
          <w:szCs w:val="24"/>
        </w:rPr>
        <w:t>4</w:t>
      </w:r>
      <w:r w:rsidR="003E3334">
        <w:rPr>
          <w:szCs w:val="24"/>
        </w:rPr>
        <w:t>3</w:t>
      </w:r>
      <w:r w:rsidRPr="00B93FA1">
        <w:rPr>
          <w:szCs w:val="24"/>
        </w:rPr>
        <w:t>.</w:t>
      </w:r>
      <w:r w:rsidRPr="00B93FA1">
        <w:rPr>
          <w:szCs w:val="24"/>
        </w:rPr>
        <w:tab/>
        <w:t>zdůrazňuje, že je důležité zajistit právo každého na přístup ke kultuře, na k jejímu utváření a k účasti na ní a odstranit hospodářskou, sociální a územní diskriminaci v přístupu ke kultuře;</w:t>
      </w:r>
    </w:p>
    <w:p w14:paraId="2D3DE42E" w14:textId="2DBF4EF6" w:rsidR="002C52D3" w:rsidRPr="00B93FA1" w:rsidRDefault="002C52D3" w:rsidP="00B93FA1">
      <w:pPr>
        <w:spacing w:after="240"/>
        <w:ind w:left="567" w:hanging="567"/>
        <w:rPr>
          <w:bCs/>
          <w:iCs/>
          <w:szCs w:val="24"/>
        </w:rPr>
      </w:pPr>
      <w:r w:rsidRPr="00B93FA1">
        <w:rPr>
          <w:szCs w:val="24"/>
        </w:rPr>
        <w:t>4</w:t>
      </w:r>
      <w:r w:rsidR="003E3334">
        <w:rPr>
          <w:szCs w:val="24"/>
        </w:rPr>
        <w:t>4</w:t>
      </w:r>
      <w:r w:rsidRPr="00B93FA1">
        <w:rPr>
          <w:szCs w:val="24"/>
        </w:rPr>
        <w:t>.</w:t>
      </w:r>
      <w:r w:rsidRPr="00B93FA1">
        <w:rPr>
          <w:szCs w:val="24"/>
        </w:rPr>
        <w:tab/>
        <w:t>zdůrazňuje, že lidé ohrožení chudobou a sociálním vyloučením jsou neúměrně zasaženi změnou klimatu; opakuje, že ekologická a digitální transformace musí být sociálně spravedlivý a inkluzivní; vyzývá, aby strategie EU pro boj proti chudobě zahrnovala přiměřená a cílená opatření, která posílí a doplní úsilí o spravedlivou transformaci a zajistí komplexní přístup k řešení sociálních a ekonomických nerovností; naléhavě vyzývá Komisi, aby ve víceletém finančním rámci na období 2028–2034 vyčlenila dostatečné finanční prostředky na podporu lidí při těchto transformacích, a to s obzvláštním zřetelem k nízkopříjmovým domácnostem;</w:t>
      </w:r>
    </w:p>
    <w:p w14:paraId="3A67904E" w14:textId="1F44EF63" w:rsidR="002C52D3" w:rsidRPr="00B93FA1" w:rsidRDefault="002C52D3" w:rsidP="000C6FCA">
      <w:pPr>
        <w:spacing w:after="240"/>
        <w:ind w:left="567" w:hanging="567"/>
        <w:rPr>
          <w:bCs/>
          <w:iCs/>
          <w:szCs w:val="24"/>
        </w:rPr>
      </w:pPr>
      <w:r w:rsidRPr="00B93FA1">
        <w:rPr>
          <w:szCs w:val="24"/>
        </w:rPr>
        <w:t>4</w:t>
      </w:r>
      <w:r w:rsidR="003E3334">
        <w:rPr>
          <w:szCs w:val="24"/>
        </w:rPr>
        <w:t>5</w:t>
      </w:r>
      <w:r w:rsidRPr="00B93FA1">
        <w:rPr>
          <w:szCs w:val="24"/>
        </w:rPr>
        <w:t>.</w:t>
      </w:r>
      <w:r w:rsidRPr="00B93FA1">
        <w:rPr>
          <w:szCs w:val="24"/>
        </w:rPr>
        <w:tab/>
        <w:t>zdůrazňuje, že lidé, kteří žijí ve venkovských oblastech, odlehlých komunitách a v oblastech s nízkou hustotou veřejných služeb jsou chudobou a sociálním vyloučením více ohroženi z důvodu nedostatku pracovních příležitostí, veřejných služeb (včetně vzdělávání a veřejné dopravy), digitální konektivity a vysokých cen energií a dopravy; žádá, aby ve strategii pro boj proti chudobě byly zohledněny specifické potřeby lidí, kteří žijí v těchto oblastech;</w:t>
      </w:r>
    </w:p>
    <w:p w14:paraId="544B4DDC" w14:textId="77777777" w:rsidR="002C52D3" w:rsidRPr="00B93FA1" w:rsidRDefault="002C52D3" w:rsidP="00B93FA1">
      <w:pPr>
        <w:spacing w:after="240"/>
        <w:ind w:left="567" w:hanging="567"/>
        <w:rPr>
          <w:b/>
          <w:i/>
          <w:szCs w:val="24"/>
        </w:rPr>
      </w:pPr>
      <w:r w:rsidRPr="00B93FA1">
        <w:rPr>
          <w:b/>
          <w:i/>
          <w:szCs w:val="24"/>
        </w:rPr>
        <w:t>Strategie, v jejímž centru je chudoba dětí</w:t>
      </w:r>
    </w:p>
    <w:p w14:paraId="67F6DA45" w14:textId="32A06F66" w:rsidR="002C52D3" w:rsidRDefault="002C52D3" w:rsidP="00B93FA1">
      <w:pPr>
        <w:spacing w:after="240"/>
        <w:ind w:left="567" w:hanging="567"/>
        <w:rPr>
          <w:szCs w:val="24"/>
        </w:rPr>
      </w:pPr>
      <w:r w:rsidRPr="00B93FA1">
        <w:rPr>
          <w:szCs w:val="24"/>
        </w:rPr>
        <w:lastRenderedPageBreak/>
        <w:t>4</w:t>
      </w:r>
      <w:r w:rsidR="003E3334">
        <w:rPr>
          <w:szCs w:val="24"/>
        </w:rPr>
        <w:t>6</w:t>
      </w:r>
      <w:r w:rsidRPr="00B93FA1">
        <w:rPr>
          <w:szCs w:val="24"/>
        </w:rPr>
        <w:t>.</w:t>
      </w:r>
      <w:r w:rsidRPr="00B93FA1">
        <w:rPr>
          <w:szCs w:val="24"/>
        </w:rPr>
        <w:tab/>
        <w:t>s politováním konstatuje, že počet dětí, kterým hrozí chudoba a sociální vyloučení, se zvýšil; vyzývá Komisi, aby zajistila, že s cílem přerušit cyklus mezigenerační chudoby bude strategie pro boj proti chudobě aktivně bojovat proti chudobě dětí díky přístupu, který zahrne celý životní cyklus, jelikož první roky života dětí mají zásadní význam pro jejich fyzický, duševní, kognitivní, sociální a emocionální vývoj a pro jejich celoživotní naplnění;</w:t>
      </w:r>
    </w:p>
    <w:p w14:paraId="270D5E7D" w14:textId="6D08613B" w:rsidR="00A27140" w:rsidRPr="00A27140" w:rsidRDefault="00A27140" w:rsidP="00B93FA1">
      <w:pPr>
        <w:spacing w:after="240"/>
        <w:ind w:left="567" w:hanging="567"/>
        <w:rPr>
          <w:bCs/>
          <w:iCs/>
          <w:szCs w:val="24"/>
        </w:rPr>
      </w:pPr>
      <w:r w:rsidRPr="000C6FCA">
        <w:rPr>
          <w:bCs/>
          <w:iCs/>
        </w:rPr>
        <w:t>47.</w:t>
      </w:r>
      <w:r w:rsidRPr="00A27140">
        <w:rPr>
          <w:bCs/>
          <w:iCs/>
        </w:rPr>
        <w:tab/>
      </w:r>
      <w:r w:rsidRPr="000C6FCA">
        <w:rPr>
          <w:bCs/>
          <w:iCs/>
        </w:rPr>
        <w:t xml:space="preserve">připomíná, že předsedkyně Komise Ursula von der </w:t>
      </w:r>
      <w:proofErr w:type="spellStart"/>
      <w:r w:rsidRPr="000C6FCA">
        <w:rPr>
          <w:bCs/>
          <w:iCs/>
        </w:rPr>
        <w:t>Leyenová</w:t>
      </w:r>
      <w:proofErr w:type="spellEnd"/>
      <w:r w:rsidRPr="000C6FCA">
        <w:rPr>
          <w:bCs/>
          <w:iCs/>
        </w:rPr>
        <w:t xml:space="preserve"> v roce 2019 přislíbila, že každé dítě v Evropě ohrožené chudobou nebo sociálním vyloučením bude mít přístup k nejzákladnějším právům, jako je zdravotní péče a vzdělávání, a že v roce 2021 bylo následně přijato doporučení Rady, kterým se zavádí evropská záruka pro děti; zdůrazňuje, že cílů evropské záruky pro děti nelze dosáhnout bez ambiciózního rozpočtu, který bude konkrétně pro tyto účely vyhrazen na evropské i vnitrostátní úrovni; v této souvislosti opakuje svou výzvu, aby na evropskou záruku pro děti byly vyčleněny zvláštní finanční prostředky ve výši nejméně 20 miliard EUR ; zdůrazňuje, že pro řešení rostoucího problému dětské chudoby a sociálního vyloučení je naléhavě nutné, aby byly tyto finanční prostředky pro tyto účely vyčleněny v příštím víceletém finančním rámci;</w:t>
      </w:r>
    </w:p>
    <w:p w14:paraId="042071BF" w14:textId="77777777" w:rsidR="002C52D3" w:rsidRDefault="002C52D3" w:rsidP="00B93FA1">
      <w:pPr>
        <w:spacing w:after="240"/>
        <w:ind w:left="567" w:hanging="567"/>
        <w:rPr>
          <w:szCs w:val="24"/>
        </w:rPr>
      </w:pPr>
      <w:r w:rsidRPr="00B93FA1">
        <w:rPr>
          <w:szCs w:val="24"/>
        </w:rPr>
        <w:t>48.</w:t>
      </w:r>
      <w:r w:rsidRPr="00B93FA1">
        <w:rPr>
          <w:szCs w:val="24"/>
        </w:rPr>
        <w:tab/>
        <w:t>vyzývá Komisi, aby členské státy podporovala při posilování a bezodkladném plném provádění záruky pro děti s cílem zajistit všem dětem v nouzi přístup k účinné a bezplatné zdravotní péči, vzdělání, předškolnímu vzdělávání a péči a účinný přístup k přiměřenému a důstojnému bydlení a zdravé výživě; vyzdvihuje v této souvislosti význam skutečného a všeobecného přístupu k dostupnému školnímu stravování; zdůrazňuje ústřední úlohu evropské záruky pro děti v boji proti chudobě dětí a sociálnímu vyloučení a doporučuje řádnou koordinaci a propojení tohoto nástroje se strategií pro boj proti chudobě; zdůrazňuje, že je důležité, aby ji členské státy plně a včas prováděly; vyzývá Komisi a členské státy, aby daly k dispozici všechny zdroje, včetně ESF+ a Nástroje pro oživení a odolnost, a plně je využily k účinnému provádění evropské záruky pro děti a současně aby zajistily navýšení prostředků na posílení začleňování do vzdělávání;</w:t>
      </w:r>
    </w:p>
    <w:p w14:paraId="7E126274" w14:textId="722F3319" w:rsidR="00A27140" w:rsidRPr="00A27140" w:rsidRDefault="00A27140" w:rsidP="00B93FA1">
      <w:pPr>
        <w:spacing w:after="240"/>
        <w:ind w:left="567" w:hanging="567"/>
        <w:rPr>
          <w:bCs/>
          <w:iCs/>
          <w:szCs w:val="24"/>
        </w:rPr>
      </w:pPr>
      <w:r w:rsidRPr="000C6FCA">
        <w:rPr>
          <w:bCs/>
          <w:iCs/>
        </w:rPr>
        <w:t>4</w:t>
      </w:r>
      <w:r w:rsidR="003E3334">
        <w:rPr>
          <w:bCs/>
          <w:iCs/>
        </w:rPr>
        <w:t>9</w:t>
      </w:r>
      <w:r w:rsidRPr="000C6FCA">
        <w:rPr>
          <w:bCs/>
          <w:iCs/>
        </w:rPr>
        <w:t>.</w:t>
      </w:r>
      <w:r w:rsidRPr="00A27140">
        <w:rPr>
          <w:bCs/>
          <w:iCs/>
        </w:rPr>
        <w:tab/>
      </w:r>
      <w:r w:rsidRPr="000C6FCA">
        <w:rPr>
          <w:bCs/>
          <w:iCs/>
        </w:rPr>
        <w:t>vítá nedávnou aktualizaci rámce pro monitorování evropské záruky pro děti</w:t>
      </w:r>
      <w:r>
        <w:rPr>
          <w:rStyle w:val="FootnoteReference"/>
          <w:bCs/>
          <w:iCs/>
        </w:rPr>
        <w:footnoteReference w:id="60"/>
      </w:r>
      <w:r w:rsidRPr="000C6FCA">
        <w:rPr>
          <w:bCs/>
          <w:iCs/>
        </w:rPr>
        <w:t xml:space="preserve"> a začlenění nových ukazatelů do rámce pro zlepšení účinnosti monitorování pokroku při provádění tohoto nástroje v členských státech; zdůrazňuje důležitou úlohu, kterou hrají systémy shromažďování a monitorování údajů pro pochopení překážek, jimž čelí zranitelné děti, a pro umožnění individualizovaných zásahů a přidělování zdrojů; vyzývá Výbor pro sociální ochranu, aby pokračoval v práci na zlepšení rámce pro monitorování s cílem zachovat jeho relevanci a řešit zbývající nedostatky v údajích, a členské státy, aby tento společný monitorovací rámec využívaly a přizpůsobily jej, pokud jde o dětskou chudobu, svým specifickým podmínkám;</w:t>
      </w:r>
    </w:p>
    <w:p w14:paraId="6BB85658" w14:textId="4FDE6C01" w:rsidR="002C52D3" w:rsidRPr="00B93FA1" w:rsidRDefault="003E3334" w:rsidP="00B93FA1">
      <w:pPr>
        <w:spacing w:after="240"/>
        <w:ind w:left="567" w:hanging="567"/>
        <w:rPr>
          <w:bCs/>
          <w:iCs/>
          <w:szCs w:val="24"/>
        </w:rPr>
      </w:pPr>
      <w:r>
        <w:rPr>
          <w:szCs w:val="24"/>
        </w:rPr>
        <w:t>50</w:t>
      </w:r>
      <w:r w:rsidR="002C52D3" w:rsidRPr="00B93FA1">
        <w:rPr>
          <w:szCs w:val="24"/>
        </w:rPr>
        <w:t>.</w:t>
      </w:r>
      <w:r w:rsidR="002C52D3" w:rsidRPr="00B93FA1">
        <w:rPr>
          <w:szCs w:val="24"/>
        </w:rPr>
        <w:tab/>
        <w:t xml:space="preserve">vyzdvihuje význam mimoškolní péče a boje proti předčasnému ukončování školní docházky; domnívá se, že strategie pro boj proti chudobě je příležitostí k podpoře zlepšení kvality služeb předškolního vzdělávání a péče prostřednictvím odpovídajících finančních a lidských zdrojů, školení pracovníků, zdokonalených systémů včasného </w:t>
      </w:r>
      <w:r w:rsidR="002C52D3" w:rsidRPr="00B93FA1">
        <w:rPr>
          <w:szCs w:val="24"/>
        </w:rPr>
        <w:lastRenderedPageBreak/>
        <w:t>varování a opatření pro hodnocení a neustálé zlepšování pedagogické kvality, jako je čtenářská a matematická gramotnost, s cílem zajistit celkový rozvoj dětí; zdůrazňuje, že aby se omezily významné překážky pro překonání chudoby, je nutné odstranit přetrvávající nedostatky v oblasti funkční čtenářské a matematické gramotnosti, a to prostřednictvím cílených intervencí ve formálním i neformálním vzdělávání;</w:t>
      </w:r>
    </w:p>
    <w:p w14:paraId="19D56362" w14:textId="1ECEC65C" w:rsidR="002C52D3" w:rsidRPr="00B93FA1" w:rsidRDefault="002C52D3" w:rsidP="00B93FA1">
      <w:pPr>
        <w:spacing w:after="240"/>
        <w:ind w:left="567" w:hanging="567"/>
        <w:rPr>
          <w:szCs w:val="24"/>
        </w:rPr>
      </w:pPr>
      <w:r w:rsidRPr="00B93FA1">
        <w:rPr>
          <w:szCs w:val="24"/>
        </w:rPr>
        <w:t>5</w:t>
      </w:r>
      <w:r w:rsidR="003E3334">
        <w:rPr>
          <w:szCs w:val="24"/>
        </w:rPr>
        <w:t>1</w:t>
      </w:r>
      <w:r w:rsidRPr="00B93FA1">
        <w:rPr>
          <w:szCs w:val="24"/>
        </w:rPr>
        <w:t>.</w:t>
      </w:r>
      <w:r w:rsidRPr="00B93FA1">
        <w:rPr>
          <w:szCs w:val="24"/>
        </w:rPr>
        <w:tab/>
        <w:t xml:space="preserve">vyzývá Komisi, aby </w:t>
      </w:r>
      <w:r w:rsidR="00A15BFD">
        <w:rPr>
          <w:szCs w:val="24"/>
        </w:rPr>
        <w:t>zajistila, že na</w:t>
      </w:r>
      <w:r w:rsidRPr="00B93FA1">
        <w:rPr>
          <w:szCs w:val="24"/>
        </w:rPr>
        <w:t xml:space="preserve"> evropskou záruku pro děti </w:t>
      </w:r>
      <w:r w:rsidR="00A15BFD">
        <w:rPr>
          <w:szCs w:val="24"/>
        </w:rPr>
        <w:t>bude přidělen zvláštní</w:t>
      </w:r>
      <w:r w:rsidRPr="00B93FA1">
        <w:rPr>
          <w:szCs w:val="24"/>
        </w:rPr>
        <w:t xml:space="preserve"> rozpočet v</w:t>
      </w:r>
      <w:r w:rsidR="00A15BFD">
        <w:rPr>
          <w:szCs w:val="24"/>
        </w:rPr>
        <w:t xml:space="preserve"> podstatné</w:t>
      </w:r>
      <w:r w:rsidRPr="00B93FA1">
        <w:rPr>
          <w:szCs w:val="24"/>
        </w:rPr>
        <w:t xml:space="preserve"> výši, který se použije prostřednictvím ESF+, aby se mohlo reagovat na rostoucí výzvu dětské chudoby a sociálního vyloučení, a vyzývá členské státy, aby vyčlenily alespoň 5 % prostředků ESF+ na konkrétní projekty a strukturální investice bojující proti dětské chudobě, přičemž 10 % by mělo být vyčleněno pro členské státy, v nichž míra dětské chudoby a sociálního vyloučení přesahuje průměr EU; zdůrazňuje, že tato investice do další generace je kromě zajištění dobrých životních podmínek dětí rozumnou investicí, která by zabránila budoucím společenským nákladům</w:t>
      </w:r>
      <w:r w:rsidRPr="00B93FA1">
        <w:rPr>
          <w:rStyle w:val="FootnoteReference"/>
          <w:szCs w:val="24"/>
        </w:rPr>
        <w:footnoteReference w:id="61"/>
      </w:r>
      <w:r w:rsidRPr="00B93FA1">
        <w:rPr>
          <w:szCs w:val="24"/>
        </w:rPr>
        <w:t>; zdůrazňuje, že využívání těchto prostředků by mělo být transparentní a mělo by vyžadovat zapojení sociálních organizací do jeho plánování, provádění a hodnocení;</w:t>
      </w:r>
    </w:p>
    <w:p w14:paraId="2A52725B" w14:textId="7D9C8738" w:rsidR="002C52D3" w:rsidRPr="00B93FA1" w:rsidRDefault="002C52D3" w:rsidP="00B93FA1">
      <w:pPr>
        <w:spacing w:after="240"/>
        <w:ind w:left="567" w:hanging="567"/>
        <w:rPr>
          <w:bCs/>
          <w:iCs/>
          <w:szCs w:val="24"/>
        </w:rPr>
      </w:pPr>
      <w:r w:rsidRPr="00B93FA1">
        <w:rPr>
          <w:szCs w:val="24"/>
        </w:rPr>
        <w:t>5</w:t>
      </w:r>
      <w:r w:rsidR="003E3334">
        <w:rPr>
          <w:szCs w:val="24"/>
        </w:rPr>
        <w:t>2</w:t>
      </w:r>
      <w:r w:rsidRPr="00B93FA1">
        <w:rPr>
          <w:szCs w:val="24"/>
        </w:rPr>
        <w:t>.</w:t>
      </w:r>
      <w:r w:rsidRPr="00B93FA1">
        <w:rPr>
          <w:szCs w:val="24"/>
        </w:rPr>
        <w:tab/>
        <w:t>znovu vyzývá Komisi, aby v rámci evropského semestru a doporučení pro jednotlivé země pečlivě sledovala provádění evropské záruky pro děti ve všech členských státech; domnívá se, že doporučení pro jednotlivé země by měla odrážet, jak členské státy dodržují minimální požadavky na přidělování prostředků na boj proti dětské chudobě stanovené v nařízení o ESF+;</w:t>
      </w:r>
    </w:p>
    <w:p w14:paraId="37F9D909" w14:textId="78FC5A57" w:rsidR="002C52D3" w:rsidRPr="00B93FA1" w:rsidRDefault="002C52D3" w:rsidP="00B93FA1">
      <w:pPr>
        <w:spacing w:after="240"/>
        <w:ind w:left="567" w:hanging="567"/>
        <w:rPr>
          <w:bCs/>
          <w:iCs/>
          <w:szCs w:val="24"/>
        </w:rPr>
      </w:pPr>
      <w:r w:rsidRPr="00B93FA1">
        <w:rPr>
          <w:szCs w:val="24"/>
        </w:rPr>
        <w:t>5</w:t>
      </w:r>
      <w:r w:rsidR="003E3334">
        <w:rPr>
          <w:szCs w:val="24"/>
        </w:rPr>
        <w:t>3</w:t>
      </w:r>
      <w:r w:rsidRPr="00B93FA1">
        <w:rPr>
          <w:szCs w:val="24"/>
        </w:rPr>
        <w:t>.</w:t>
      </w:r>
      <w:r w:rsidRPr="00B93FA1">
        <w:rPr>
          <w:szCs w:val="24"/>
        </w:rPr>
        <w:tab/>
        <w:t>naléhavě vyzývá členské státy, aby zajistily poskytování kvalitní péče o děti dostupné pro všechny s cílem podpořit vzdělávání a péči v raném dětství jako klíčovou hnací sílu pro prolomení cyklu chudoby a zvýšení účasti rodičů na trhu práce, přičemž uznává, že pečovatelské povinnosti neúměrně dopadají na ženy;</w:t>
      </w:r>
    </w:p>
    <w:p w14:paraId="07080F28" w14:textId="0422A422" w:rsidR="002C52D3" w:rsidRPr="00B93FA1" w:rsidRDefault="002C52D3" w:rsidP="00B93FA1">
      <w:pPr>
        <w:spacing w:after="240"/>
        <w:ind w:left="567" w:hanging="567"/>
        <w:rPr>
          <w:bCs/>
          <w:iCs/>
          <w:szCs w:val="24"/>
        </w:rPr>
      </w:pPr>
      <w:r w:rsidRPr="00B93FA1">
        <w:rPr>
          <w:szCs w:val="24"/>
        </w:rPr>
        <w:t>5</w:t>
      </w:r>
      <w:r w:rsidR="003E3334">
        <w:rPr>
          <w:szCs w:val="24"/>
        </w:rPr>
        <w:t>4</w:t>
      </w:r>
      <w:r w:rsidRPr="00B93FA1">
        <w:rPr>
          <w:szCs w:val="24"/>
        </w:rPr>
        <w:t>.</w:t>
      </w:r>
      <w:r w:rsidRPr="00B93FA1">
        <w:rPr>
          <w:szCs w:val="24"/>
        </w:rPr>
        <w:tab/>
        <w:t>vyzývá členské státy, aby zajistily orientaci svých systémů sociální ochrany na děti a posílily je poskytováním zvláštních dávek potřebným dětem na podporu jejich rozvoje a blahobytu, jako jsou přídavky na děti, školní stravování a programy snižování nákladů na kulturní, sportovní, volnočasové a mimoškolní aktivity;</w:t>
      </w:r>
    </w:p>
    <w:p w14:paraId="5B3A1FB0" w14:textId="3FFF6ED0" w:rsidR="002C52D3" w:rsidRPr="00B93FA1" w:rsidRDefault="002C52D3" w:rsidP="00B93FA1">
      <w:pPr>
        <w:spacing w:after="240"/>
        <w:ind w:left="567" w:hanging="567"/>
        <w:rPr>
          <w:szCs w:val="24"/>
        </w:rPr>
      </w:pPr>
      <w:r w:rsidRPr="00B93FA1">
        <w:rPr>
          <w:szCs w:val="24"/>
        </w:rPr>
        <w:t>5</w:t>
      </w:r>
      <w:r w:rsidR="003E3334">
        <w:rPr>
          <w:szCs w:val="24"/>
        </w:rPr>
        <w:t>5</w:t>
      </w:r>
      <w:r w:rsidRPr="00B93FA1">
        <w:rPr>
          <w:szCs w:val="24"/>
        </w:rPr>
        <w:t>.</w:t>
      </w:r>
      <w:r w:rsidRPr="00B93FA1">
        <w:rPr>
          <w:szCs w:val="24"/>
        </w:rPr>
        <w:tab/>
        <w:t xml:space="preserve">zdůrazňuje, že děti postižené chudobou a sociálním vyloučením čelí obtížím v různých oblastech svého vývoje; v této souvislosti zdůrazňuje význam </w:t>
      </w:r>
      <w:proofErr w:type="spellStart"/>
      <w:r w:rsidRPr="00B93FA1">
        <w:rPr>
          <w:szCs w:val="24"/>
        </w:rPr>
        <w:t>víceodvětvového</w:t>
      </w:r>
      <w:proofErr w:type="spellEnd"/>
      <w:r w:rsidRPr="00B93FA1">
        <w:rPr>
          <w:szCs w:val="24"/>
        </w:rPr>
        <w:t xml:space="preserve"> přístupu, v jehož rámci všechny příslušné zúčastněné strany spolupracují na vytvoření integrované strategie pro identifikaci obtíží a boj proti nerovnostem v dětství a poskytují služby v oblasti ochrany dětí a podpory rodin; zdůrazňuje, že některé děti a jejich rodiny postižené chudobou mohou potřebovat specifickou podporu, například od logopedů, oftalmologů, psychologů, ergoterapeutů a nutričních terapeutů; vyzývá, aby strategie pro boj proti chudobě aktivně podporovala partnerství mezi vzdělávacími, zdravotnickými a sociálními službami s cílem usnadnit přístup k péči a předávání informací mezi službami, aby se zlepšily integrované mechanismy podpory a koordinace pro děti v nouzi;</w:t>
      </w:r>
    </w:p>
    <w:p w14:paraId="5FDE7894" w14:textId="454AFFD3" w:rsidR="002C52D3" w:rsidRDefault="002C52D3" w:rsidP="00B93FA1">
      <w:pPr>
        <w:spacing w:after="240"/>
        <w:ind w:left="567" w:hanging="567"/>
        <w:rPr>
          <w:szCs w:val="24"/>
        </w:rPr>
      </w:pPr>
      <w:r w:rsidRPr="00B93FA1">
        <w:rPr>
          <w:szCs w:val="24"/>
        </w:rPr>
        <w:t>5</w:t>
      </w:r>
      <w:r w:rsidR="003E3334">
        <w:rPr>
          <w:szCs w:val="24"/>
        </w:rPr>
        <w:t>6</w:t>
      </w:r>
      <w:r w:rsidRPr="00B93FA1">
        <w:rPr>
          <w:szCs w:val="24"/>
        </w:rPr>
        <w:t>.</w:t>
      </w:r>
      <w:r w:rsidRPr="00B93FA1">
        <w:rPr>
          <w:szCs w:val="24"/>
        </w:rPr>
        <w:tab/>
        <w:t xml:space="preserve">vyzývá Komisi a členské státy, aby zajistily právo každého dítěte na rodinný život, což </w:t>
      </w:r>
      <w:r w:rsidRPr="00B93FA1">
        <w:rPr>
          <w:szCs w:val="24"/>
        </w:rPr>
        <w:lastRenderedPageBreak/>
        <w:t>znamená, že chudoba, nejisté bydlení nebo nedostatečný přístup k odpovídajícím veřejným službám nebudou nikdy použity jako jediný důvod pro umístění dětí do ústavní péče; doporučuje, aby členské státy rozvíjely vnitrostátní strategie prevence a proaktivní sociální politiky s cílem předcházet chudobě a odebírání dětí z rodinného prostředí; vyzývá členské státy, aby zajistily, že umístění dětí a mladých lidí do ústavní péče bude považováno pouze za krajní možnost, a aby investovaly do systémů bezpečné pěstounské péče pro děti a mladé lidi, které usnadní přechod z ústavní péče do péče rodinné a komunitní; doporučuje, aby členské státy navrhly a zavedly monitorovací mechanismy pro zjišťování rozdělení rodin v důsledku chudoby;</w:t>
      </w:r>
    </w:p>
    <w:p w14:paraId="3485C4BE" w14:textId="23289031" w:rsidR="00663C68" w:rsidRPr="00663C68" w:rsidRDefault="00663C68" w:rsidP="00B93FA1">
      <w:pPr>
        <w:spacing w:after="240"/>
        <w:ind w:left="567" w:hanging="567"/>
        <w:rPr>
          <w:bCs/>
          <w:iCs/>
          <w:szCs w:val="24"/>
        </w:rPr>
      </w:pPr>
      <w:r w:rsidRPr="000C6FCA">
        <w:rPr>
          <w:bCs/>
          <w:iCs/>
        </w:rPr>
        <w:t>5</w:t>
      </w:r>
      <w:r w:rsidR="003E3334">
        <w:rPr>
          <w:bCs/>
          <w:iCs/>
        </w:rPr>
        <w:t>7</w:t>
      </w:r>
      <w:r w:rsidRPr="000C6FCA">
        <w:rPr>
          <w:bCs/>
          <w:iCs/>
        </w:rPr>
        <w:t>.</w:t>
      </w:r>
      <w:r w:rsidRPr="00663C68">
        <w:rPr>
          <w:bCs/>
          <w:iCs/>
        </w:rPr>
        <w:tab/>
      </w:r>
      <w:r w:rsidRPr="000C6FCA">
        <w:rPr>
          <w:bCs/>
          <w:iCs/>
        </w:rPr>
        <w:t>připomíná cíl EU přejít od ústavní péče ke komunitní nebo rodinné péči; uznává, že strategie pro boj proti chudobě nabízí příležitost navázat vazby na evropskou záruku pro děti, zejména na opatření na podporu cílové skupiny dětí v ústavní péči; vyzývá členské státy, aby k dokončení procesu deinstitucionalizace a zajištění toho, aby děti mohly žít v rodinném nebo komunitním prostředí, plně využívaly ESF+ a další příslušné evropské i vnitrostátní fondy;</w:t>
      </w:r>
    </w:p>
    <w:p w14:paraId="74C4B734" w14:textId="69450875" w:rsidR="002C52D3" w:rsidRPr="00B93FA1" w:rsidRDefault="002C52D3" w:rsidP="00B93FA1">
      <w:pPr>
        <w:spacing w:after="240"/>
        <w:ind w:left="567" w:hanging="567"/>
        <w:rPr>
          <w:bCs/>
          <w:iCs/>
          <w:szCs w:val="24"/>
        </w:rPr>
      </w:pPr>
      <w:r w:rsidRPr="00B93FA1">
        <w:rPr>
          <w:szCs w:val="24"/>
        </w:rPr>
        <w:t>5</w:t>
      </w:r>
      <w:r w:rsidR="003E3334">
        <w:rPr>
          <w:szCs w:val="24"/>
        </w:rPr>
        <w:t>8</w:t>
      </w:r>
      <w:r w:rsidRPr="00B93FA1">
        <w:rPr>
          <w:szCs w:val="24"/>
        </w:rPr>
        <w:t>.</w:t>
      </w:r>
      <w:r w:rsidRPr="00B93FA1">
        <w:rPr>
          <w:szCs w:val="24"/>
        </w:rPr>
        <w:tab/>
        <w:t>odsuzuje všechny formy násilí, zneužívání, vykořisťování a zanedbávání dětí; požaduje, aby Komise a členské státy zajistily investice do systémů ochrany dětí, včetně řešení násilí na dětech a mezi dětmi, například kybernetického násilí a šikany, zejména pokud je založeno na socioekonomických důvodech a týká se zranitelných dětí, s cílem podpořit výměnu osvědčených postupů v této oblasti s cílem vymýtit násilí a obtěžování;</w:t>
      </w:r>
    </w:p>
    <w:p w14:paraId="39B5463E" w14:textId="77777777" w:rsidR="002C52D3" w:rsidRPr="00B93FA1" w:rsidRDefault="002C52D3" w:rsidP="00B93FA1">
      <w:pPr>
        <w:spacing w:after="240"/>
        <w:ind w:left="567" w:hanging="567"/>
        <w:rPr>
          <w:b/>
          <w:bCs/>
          <w:i/>
          <w:iCs/>
          <w:szCs w:val="24"/>
        </w:rPr>
      </w:pPr>
      <w:r w:rsidRPr="00B93FA1">
        <w:rPr>
          <w:b/>
          <w:i/>
          <w:szCs w:val="24"/>
        </w:rPr>
        <w:t>Boj proti chudobě posílením demokratické účasti</w:t>
      </w:r>
    </w:p>
    <w:p w14:paraId="7A549834" w14:textId="1862634C" w:rsidR="002C52D3" w:rsidRPr="00B93FA1" w:rsidRDefault="002C52D3" w:rsidP="00B93FA1">
      <w:pPr>
        <w:spacing w:after="240"/>
        <w:ind w:left="567" w:hanging="567"/>
        <w:rPr>
          <w:szCs w:val="24"/>
        </w:rPr>
      </w:pPr>
      <w:r w:rsidRPr="00B93FA1">
        <w:rPr>
          <w:szCs w:val="24"/>
        </w:rPr>
        <w:t>5</w:t>
      </w:r>
      <w:r w:rsidR="003E3334">
        <w:rPr>
          <w:szCs w:val="24"/>
        </w:rPr>
        <w:t>9</w:t>
      </w:r>
      <w:r w:rsidRPr="00B93FA1">
        <w:rPr>
          <w:szCs w:val="24"/>
        </w:rPr>
        <w:t>.</w:t>
      </w:r>
      <w:r w:rsidRPr="00B93FA1">
        <w:rPr>
          <w:szCs w:val="24"/>
        </w:rPr>
        <w:tab/>
        <w:t>vyzývá Komisi a členské státy, aby zajistily odpovídající, účinné a transparentní mechanismy pro usnadnění smysluplné a trvalé účasti osob, které zažívají chudobu, na všech fázích tvorby politik, včetně navrhování, provádění a hodnocení politik, které se týkají osob žijících v chudobě a jdou ruku v ruce s metodikou a budováním kapacit, které tuto účast umožní, což povede ke spoluvytváření, nikoli pouhým konzultacím, v souladu se zásadou „nikdy o nás bez nás“;</w:t>
      </w:r>
    </w:p>
    <w:p w14:paraId="1A60015F" w14:textId="11881894" w:rsidR="002C52D3" w:rsidRPr="00B93FA1" w:rsidRDefault="003E3334" w:rsidP="00B93FA1">
      <w:pPr>
        <w:spacing w:after="240"/>
        <w:ind w:left="567" w:hanging="567"/>
        <w:rPr>
          <w:szCs w:val="24"/>
        </w:rPr>
      </w:pPr>
      <w:r>
        <w:rPr>
          <w:szCs w:val="24"/>
        </w:rPr>
        <w:t>60</w:t>
      </w:r>
      <w:r w:rsidR="002C52D3" w:rsidRPr="00B93FA1">
        <w:rPr>
          <w:szCs w:val="24"/>
        </w:rPr>
        <w:t>.</w:t>
      </w:r>
      <w:r w:rsidR="002C52D3" w:rsidRPr="00B93FA1">
        <w:rPr>
          <w:szCs w:val="24"/>
        </w:rPr>
        <w:tab/>
        <w:t>doporučuje, aby se každoročně konala konference se širokým a různorodým složením účastníků včetně osob, které chudobu zažívají, zejména žen, s cílem posuzovat provádění strategie pro boj proti chudobě; zdůrazňuje, že konference by měla přispět k formálnímu monitorování strategie pro boj proti chudobě ze strany EU tím, že poskytne prostor pro přezkum pokroku na základě jasných kritérií a ukazatelů; v této souvislosti požaduje, aby byla aktivně podporována přímá účast osob se zkušeností s chudobou a aby byla uznána jako zásadní pro hodnocení skutečného dopadu strategie pro boj proti chudobě;</w:t>
      </w:r>
    </w:p>
    <w:p w14:paraId="7021645D" w14:textId="2D23A18F" w:rsidR="002C52D3" w:rsidRPr="00B93FA1" w:rsidRDefault="003E3334" w:rsidP="00B93FA1">
      <w:pPr>
        <w:spacing w:after="240"/>
        <w:ind w:left="567" w:hanging="567"/>
        <w:rPr>
          <w:bCs/>
          <w:iCs/>
          <w:szCs w:val="24"/>
        </w:rPr>
      </w:pPr>
      <w:r>
        <w:rPr>
          <w:szCs w:val="24"/>
        </w:rPr>
        <w:t>61</w:t>
      </w:r>
      <w:r w:rsidR="002C52D3" w:rsidRPr="00B93FA1">
        <w:rPr>
          <w:szCs w:val="24"/>
        </w:rPr>
        <w:t>.</w:t>
      </w:r>
      <w:r w:rsidR="002C52D3" w:rsidRPr="00B93FA1">
        <w:rPr>
          <w:szCs w:val="24"/>
        </w:rPr>
        <w:tab/>
        <w:t>uznává význam různých sociálních organizací, včetně těch neziskových, zapojených do boje proti chudobě a jejího předcházení, a úlohu, kterou tyto organizace hrají v boji proti chudobě a zdůrazňuje, že je třeba je smysluplně zapojit a posílit zdroje vyčleněné na podporu jejich práce;</w:t>
      </w:r>
    </w:p>
    <w:p w14:paraId="4C142F3B" w14:textId="77777777" w:rsidR="002C52D3" w:rsidRPr="00B93FA1" w:rsidRDefault="002C52D3" w:rsidP="00B93FA1">
      <w:pPr>
        <w:spacing w:after="240"/>
        <w:ind w:left="567" w:hanging="567"/>
        <w:rPr>
          <w:b/>
          <w:bCs/>
          <w:i/>
          <w:iCs/>
          <w:szCs w:val="24"/>
        </w:rPr>
      </w:pPr>
      <w:r w:rsidRPr="00B93FA1">
        <w:rPr>
          <w:b/>
          <w:i/>
          <w:szCs w:val="24"/>
        </w:rPr>
        <w:t>Řádná institucionální koordinace, správa</w:t>
      </w:r>
    </w:p>
    <w:p w14:paraId="3D64D68E" w14:textId="4AF9C2D7" w:rsidR="002C52D3" w:rsidRPr="00B93FA1" w:rsidRDefault="002C52D3" w:rsidP="00B93FA1">
      <w:pPr>
        <w:spacing w:after="240"/>
        <w:ind w:left="567" w:hanging="567"/>
        <w:rPr>
          <w:szCs w:val="24"/>
        </w:rPr>
      </w:pPr>
      <w:r w:rsidRPr="00B93FA1">
        <w:rPr>
          <w:szCs w:val="24"/>
        </w:rPr>
        <w:t>6</w:t>
      </w:r>
      <w:r w:rsidR="003E3334">
        <w:rPr>
          <w:szCs w:val="24"/>
        </w:rPr>
        <w:t>2</w:t>
      </w:r>
      <w:r w:rsidRPr="00B93FA1">
        <w:rPr>
          <w:szCs w:val="24"/>
        </w:rPr>
        <w:t>.</w:t>
      </w:r>
      <w:r w:rsidRPr="00B93FA1">
        <w:rPr>
          <w:szCs w:val="24"/>
        </w:rPr>
        <w:tab/>
        <w:t xml:space="preserve">zdůrazňuje, že úspěch strategie pro boj proti chudobě bude rovněž záviset na průřezovém přístupu a odpovídajícím financování a také na řádné průřezové a </w:t>
      </w:r>
      <w:r w:rsidRPr="00B93FA1">
        <w:rPr>
          <w:szCs w:val="24"/>
        </w:rPr>
        <w:lastRenderedPageBreak/>
        <w:t>víceúrovňové koordinaci mezi všemi úrovněmi správy a rozhodovacími orgány, které se podílejí na jejím provádění; opakuje, že aby se zajistila konzistentnost, dopad a dlouhodobá udržitelnost; je nezbytné strategii pro boj proti chudobě komplexně zahrnout do všech příslušných politik;</w:t>
      </w:r>
    </w:p>
    <w:p w14:paraId="6087E38B" w14:textId="6AB48E6A" w:rsidR="002C52D3" w:rsidRPr="00B93FA1" w:rsidRDefault="002C52D3" w:rsidP="00B93FA1">
      <w:pPr>
        <w:spacing w:after="240"/>
        <w:ind w:left="567" w:hanging="567"/>
        <w:rPr>
          <w:szCs w:val="24"/>
        </w:rPr>
      </w:pPr>
      <w:r w:rsidRPr="00B93FA1">
        <w:rPr>
          <w:szCs w:val="24"/>
        </w:rPr>
        <w:t>6</w:t>
      </w:r>
      <w:r w:rsidR="003E3334">
        <w:rPr>
          <w:szCs w:val="24"/>
        </w:rPr>
        <w:t>3</w:t>
      </w:r>
      <w:r w:rsidRPr="00B93FA1">
        <w:rPr>
          <w:szCs w:val="24"/>
        </w:rPr>
        <w:t>.</w:t>
      </w:r>
      <w:r w:rsidRPr="00B93FA1">
        <w:rPr>
          <w:szCs w:val="24"/>
        </w:rPr>
        <w:tab/>
        <w:t>domnívá se, že by měl být v souladu se zásadou subsidiarity přiměřeně vymezen rozsah odpovědnosti za dosažení cíle vymýcení chudoby na úrovni EU, členských států a regionů;</w:t>
      </w:r>
    </w:p>
    <w:p w14:paraId="58314328" w14:textId="2BC87052" w:rsidR="002C52D3" w:rsidRPr="00B93FA1" w:rsidRDefault="002C52D3" w:rsidP="00B93FA1">
      <w:pPr>
        <w:spacing w:after="240"/>
        <w:ind w:left="567" w:hanging="567"/>
        <w:rPr>
          <w:szCs w:val="24"/>
        </w:rPr>
      </w:pPr>
      <w:r w:rsidRPr="00B93FA1">
        <w:rPr>
          <w:szCs w:val="24"/>
        </w:rPr>
        <w:t>6</w:t>
      </w:r>
      <w:r w:rsidR="003E3334">
        <w:rPr>
          <w:szCs w:val="24"/>
        </w:rPr>
        <w:t>4</w:t>
      </w:r>
      <w:r w:rsidRPr="00B93FA1">
        <w:rPr>
          <w:szCs w:val="24"/>
        </w:rPr>
        <w:t>.</w:t>
      </w:r>
      <w:r w:rsidRPr="00B93FA1">
        <w:rPr>
          <w:szCs w:val="24"/>
        </w:rPr>
        <w:tab/>
        <w:t>vyzývá Komisi, aby do strategie pro boj proti chudobě začlenila horizontální zásadu, která by vyžadovala, aby všechny příslušné odvětvové politiky EU prováděly předběžné posouzení dopadů na chudobu a nerovnost, a to i prostřednictvím posouzení distribučního dopadu</w:t>
      </w:r>
      <w:r w:rsidRPr="00B93FA1">
        <w:rPr>
          <w:rStyle w:val="FootnoteReference"/>
          <w:szCs w:val="24"/>
        </w:rPr>
        <w:footnoteReference w:id="62"/>
      </w:r>
      <w:r w:rsidRPr="00B93FA1">
        <w:rPr>
          <w:szCs w:val="24"/>
        </w:rPr>
        <w:t xml:space="preserve"> se zvláštním důrazem na dopady na osoby nejvíce ohrožené sociálním vyloučením a extrémní chudobou;</w:t>
      </w:r>
    </w:p>
    <w:p w14:paraId="74EA3270" w14:textId="4389BE46" w:rsidR="002C52D3" w:rsidRPr="00B93FA1" w:rsidRDefault="002C52D3" w:rsidP="00B93FA1">
      <w:pPr>
        <w:spacing w:after="240"/>
        <w:ind w:left="567" w:hanging="567"/>
        <w:rPr>
          <w:bCs/>
          <w:iCs/>
          <w:szCs w:val="24"/>
        </w:rPr>
      </w:pPr>
      <w:r w:rsidRPr="00B93FA1">
        <w:rPr>
          <w:szCs w:val="24"/>
        </w:rPr>
        <w:t>6</w:t>
      </w:r>
      <w:r w:rsidR="003E3334">
        <w:rPr>
          <w:szCs w:val="24"/>
        </w:rPr>
        <w:t>5</w:t>
      </w:r>
      <w:r w:rsidRPr="00B93FA1">
        <w:rPr>
          <w:szCs w:val="24"/>
        </w:rPr>
        <w:t>.</w:t>
      </w:r>
      <w:r w:rsidRPr="00B93FA1">
        <w:rPr>
          <w:szCs w:val="24"/>
        </w:rPr>
        <w:tab/>
        <w:t>zdůrazňuje, že je třeba, aby se EU nadále zaměřovala na boj proti bezdomovectví, extrémní chudobě a sociálnímu vyloučení, a to prostřednictvím odpovídající finanční podpory, podporou vzájemného učení ze strategií a zkušeností členských států a zavedení systematického přístupu ke sledování pokroku a účinnosti přijatých opatření;</w:t>
      </w:r>
    </w:p>
    <w:p w14:paraId="1A4B18A4" w14:textId="77777777" w:rsidR="002C52D3" w:rsidRPr="00B93FA1" w:rsidRDefault="002C52D3" w:rsidP="00B93FA1">
      <w:pPr>
        <w:spacing w:after="240"/>
        <w:ind w:left="567" w:hanging="567"/>
        <w:rPr>
          <w:bCs/>
          <w:iCs/>
          <w:szCs w:val="24"/>
        </w:rPr>
      </w:pPr>
      <w:r w:rsidRPr="00B93FA1">
        <w:rPr>
          <w:szCs w:val="24"/>
        </w:rPr>
        <w:t>66.</w:t>
      </w:r>
      <w:r w:rsidRPr="00B93FA1">
        <w:rPr>
          <w:szCs w:val="24"/>
        </w:rPr>
        <w:tab/>
        <w:t>připomíná, že ukazatel ohrožení chudobou nebo sociálním vyloučením nezahrnuje základní příčiny chudoby, zejména opominutím osob žijících mimo soukromé domácnosti, kvalitativních aspektů chudoby a životní zkušenosti s marginalizací; zdůrazňuje, že chudoba přesahuje rámec nedostatečného příjmu nebo materiální deprivace; vyzývá Výbor pro sociální ochranu, aby ve spolupráci s příslušnými zúčastněnými stranami obnovil statistické měření ohrožení chudobou nebo sociálním vyloučením s cílem rozšířit jej o silnější, členěnější a </w:t>
      </w:r>
      <w:proofErr w:type="spellStart"/>
      <w:r w:rsidRPr="00B93FA1">
        <w:rPr>
          <w:szCs w:val="24"/>
        </w:rPr>
        <w:t>vícerozměrnější</w:t>
      </w:r>
      <w:proofErr w:type="spellEnd"/>
      <w:r w:rsidRPr="00B93FA1">
        <w:rPr>
          <w:szCs w:val="24"/>
        </w:rPr>
        <w:t xml:space="preserve"> pohled na chudobu a sociální vyloučení;</w:t>
      </w:r>
    </w:p>
    <w:p w14:paraId="4DFD1C46" w14:textId="47953F2A" w:rsidR="002C52D3" w:rsidRPr="00663C68" w:rsidRDefault="002C52D3" w:rsidP="00B93FA1">
      <w:pPr>
        <w:spacing w:after="240"/>
        <w:ind w:left="567" w:hanging="567"/>
        <w:rPr>
          <w:szCs w:val="24"/>
        </w:rPr>
      </w:pPr>
      <w:r w:rsidRPr="00B93FA1">
        <w:rPr>
          <w:szCs w:val="24"/>
        </w:rPr>
        <w:t>67.</w:t>
      </w:r>
      <w:r w:rsidRPr="00B93FA1">
        <w:rPr>
          <w:szCs w:val="24"/>
        </w:rPr>
        <w:tab/>
        <w:t xml:space="preserve">zdůrazňuje, že strategie pro boj proti chudobě přinese výsledky pouze tehdy, bude-li doprovázena odpovídajícím financováním na úrovni EU a na vnitrostátní úrovni; trvá na tom, že je třeba zachovat a posílit politiku soudržnosti, aby se v příštím VFR nadále podporovala hospodářská, sociální a územní soudržnost v Evropě a bojovalo se proti asymetriím mezi členskými státy EU i v rámci států; žádá v této souvislosti odpovídající a vyčleněné finančních prostředky na posílení politik, které přispívají k vymýcení chudoby, včetně cílené podpory pro </w:t>
      </w:r>
      <w:proofErr w:type="spellStart"/>
      <w:r w:rsidRPr="00B93FA1">
        <w:rPr>
          <w:szCs w:val="24"/>
        </w:rPr>
        <w:t>marginalizované</w:t>
      </w:r>
      <w:proofErr w:type="spellEnd"/>
      <w:r w:rsidRPr="00B93FA1">
        <w:rPr>
          <w:szCs w:val="24"/>
        </w:rPr>
        <w:t xml:space="preserve"> a zranitelné skupiny; vyzdvihuje v této souvislosti zásadní úlohu ESF+ při podpoře sociálního začleňování a boje proti chudobě, zejména díky poskytování pomoci těm nejchudším a díky evropské záruce pro děti, jakož i Evropského fondu pro regionální rozvoj (EFRR) a Azylového, migračního a integračního fondu; zdůrazňuje, že je důležité optimalizovat využívání fondů EU, včetně Nástroje pro oživení a odolnost, k financování konkrétních opatření proti chudobě, jako je dostupné a energeticky účinné bydlení, přístup ke kvalitnímu předškolnímu vzdělávání a péči</w:t>
      </w:r>
      <w:r w:rsidR="00663C68" w:rsidRPr="000C6FCA">
        <w:t>, například prostřednictvím školního projektu EU</w:t>
      </w:r>
      <w:r w:rsidRPr="00663C68">
        <w:rPr>
          <w:szCs w:val="24"/>
        </w:rPr>
        <w:t>, dostupná veřejná doprava a cílená energetická podpora pro domácnosti s nízkými příjmy;</w:t>
      </w:r>
      <w:r w:rsidR="00663C68" w:rsidRPr="00663C68">
        <w:rPr>
          <w:szCs w:val="24"/>
        </w:rPr>
        <w:t xml:space="preserve"> </w:t>
      </w:r>
      <w:r w:rsidR="00663C68" w:rsidRPr="000C6FCA">
        <w:t xml:space="preserve">zdůrazňuje, že je třeba zajistit účelové a dostatečně zdroje pro příděly finančních prostředků pro potravinové banky, které poskytují materiální podporu, včetně potravinové pomoci, aby měly odpovídající provozní kapacitu a schopnost rychle reagovat na rostoucí míru nedostatku potravin a materiální deprivace; </w:t>
      </w:r>
      <w:r w:rsidR="00663C68" w:rsidRPr="000C6FCA">
        <w:lastRenderedPageBreak/>
        <w:t>zdůrazňuje, že tato podpora musí být doplněna doprovodnými opatřeními, která podpoří sociální začleňování a možnosti, jak se vymanit z chudoby, v souladu s pravidly ESF+;</w:t>
      </w:r>
    </w:p>
    <w:p w14:paraId="02329B53" w14:textId="77777777" w:rsidR="002C52D3" w:rsidRPr="00B93FA1" w:rsidRDefault="002C52D3" w:rsidP="00B93FA1">
      <w:pPr>
        <w:spacing w:after="240"/>
        <w:ind w:left="567" w:hanging="567"/>
        <w:rPr>
          <w:bCs/>
          <w:iCs/>
          <w:szCs w:val="24"/>
        </w:rPr>
      </w:pPr>
      <w:r w:rsidRPr="00B93FA1">
        <w:rPr>
          <w:szCs w:val="24"/>
        </w:rPr>
        <w:t>68.</w:t>
      </w:r>
      <w:r w:rsidRPr="00B93FA1">
        <w:rPr>
          <w:szCs w:val="24"/>
        </w:rPr>
        <w:tab/>
        <w:t>připomíná tematické základní podmínky platné pro EFRR, ESF+ a Fond soudržnosti stanovené v příloze IV nařízení Evropského parlamentu (EU) 2021/1060</w:t>
      </w:r>
      <w:r w:rsidRPr="00B93FA1">
        <w:rPr>
          <w:rStyle w:val="FootnoteReference"/>
          <w:bCs/>
          <w:iCs/>
          <w:szCs w:val="24"/>
        </w:rPr>
        <w:footnoteReference w:id="63"/>
      </w:r>
      <w:r w:rsidRPr="00B93FA1">
        <w:rPr>
          <w:szCs w:val="24"/>
        </w:rPr>
        <w:t xml:space="preserve"> o společných ustanoveních pro tyto fondy, zejména základní podmínku 4.4. nazvanou „Vnitrostátní strategický rámec politiky pro sociální začleňování a snižování chudoby“; zdůrazňuje, že je důležité propojit strategii pro boj proti chudobě a její financování s dříve definovanými specifickými cíli; vyzývá Komisi a Radu, aby zajistily, že společná ustanovení EFRR a ESF+ budou lépe odrážet tyto specifické cíle, a aby do příštího víceletého finančního rámce začlenily strategii pro boj proti chudobě, jakož i genderové hledisko;</w:t>
      </w:r>
    </w:p>
    <w:p w14:paraId="6A7D7639" w14:textId="77777777" w:rsidR="002C52D3" w:rsidRPr="00B93FA1" w:rsidRDefault="002C52D3" w:rsidP="00B93FA1">
      <w:pPr>
        <w:spacing w:after="240"/>
        <w:ind w:left="567" w:hanging="567"/>
        <w:rPr>
          <w:bCs/>
          <w:iCs/>
          <w:szCs w:val="24"/>
        </w:rPr>
      </w:pPr>
      <w:r w:rsidRPr="00B93FA1">
        <w:rPr>
          <w:szCs w:val="24"/>
        </w:rPr>
        <w:t>69.</w:t>
      </w:r>
      <w:r w:rsidRPr="00B93FA1">
        <w:rPr>
          <w:szCs w:val="24"/>
        </w:rPr>
        <w:tab/>
        <w:t>připomíná, že energie a doprava jsou mimo jiné základními službami, k nimž by měl mít každý přístup, a proto trvá na tom, aby byla věnována zvýšená pozornost sociálním klimatickým plánům, které mají jednotlivé členské státy v rámci Sociálního klimatického fondu naplánovat a provést, a investicím do účinnosti, renovace bytů a dostupnosti a cenové přijatelnosti obnovitelných zdrojů energie a dopravních systémů; vyzývá členské státy, aby aktivně zapojily osoby ve zranitelných situacích, aby se podpora mohla účinně dostat k těm, kteří ji nejvíce potřebují; vyzývá členské státy, aby si vyměňovaly osvědčené postupy v boji proti energetické chudobě, jako jsou energetické poukázky a regulace cen energie;</w:t>
      </w:r>
    </w:p>
    <w:p w14:paraId="6A2D55F4" w14:textId="77777777" w:rsidR="002C52D3" w:rsidRDefault="002C52D3" w:rsidP="00B93FA1">
      <w:pPr>
        <w:spacing w:after="240"/>
        <w:ind w:left="567" w:hanging="567"/>
        <w:rPr>
          <w:szCs w:val="24"/>
        </w:rPr>
      </w:pPr>
      <w:r w:rsidRPr="00B93FA1">
        <w:rPr>
          <w:szCs w:val="24"/>
        </w:rPr>
        <w:t>70.</w:t>
      </w:r>
      <w:r w:rsidRPr="00B93FA1">
        <w:rPr>
          <w:szCs w:val="24"/>
        </w:rPr>
        <w:tab/>
        <w:t>zdůrazňuje, že k fondům EU se kvůli jejich složitosti na místní úrovni a pro organizace s menšími technickými zdroji dostává těžko; zdůrazňuje, že je třeba zjednodušit provádění mechanismů financování EU a opatření pro poskytování přístupu konečných příjemců k těmto prostředkům a proškolit pracovníky příslušných orgánů veřejné správy a organizací; zdůrazňuje, že podle nařízení o ESF+ musí být míra spolufinancování na podporu nejchudších osob trvalá a musí zůstat nebo být blízko 90 %, což by mělo usnadnit přístup k tomuto financování pro programy a činnosti, které mají pomoci vymýtit chudobu;</w:t>
      </w:r>
    </w:p>
    <w:p w14:paraId="444E7CCB" w14:textId="12165FE6" w:rsidR="00852239" w:rsidRDefault="00852239" w:rsidP="00852239">
      <w:pPr>
        <w:widowControl/>
        <w:spacing w:after="240"/>
        <w:jc w:val="center"/>
        <w:rPr>
          <w:bCs/>
          <w:iCs/>
          <w:szCs w:val="24"/>
        </w:rPr>
      </w:pPr>
      <w:r>
        <w:rPr>
          <w:bCs/>
          <w:iCs/>
          <w:szCs w:val="24"/>
        </w:rPr>
        <w:t>°</w:t>
      </w:r>
    </w:p>
    <w:p w14:paraId="17095AC4" w14:textId="5CEBDA42" w:rsidR="00852239" w:rsidRDefault="00852239" w:rsidP="00852239">
      <w:pPr>
        <w:widowControl/>
        <w:spacing w:after="240"/>
        <w:jc w:val="center"/>
        <w:rPr>
          <w:bCs/>
          <w:iCs/>
          <w:szCs w:val="24"/>
        </w:rPr>
      </w:pPr>
      <w:r>
        <w:rPr>
          <w:bCs/>
          <w:iCs/>
          <w:szCs w:val="24"/>
        </w:rPr>
        <w:t>°     °</w:t>
      </w:r>
    </w:p>
    <w:p w14:paraId="68475C09" w14:textId="5B74E17D" w:rsidR="009454B7" w:rsidRPr="00B93FA1" w:rsidRDefault="002C52D3" w:rsidP="00B93FA1">
      <w:pPr>
        <w:pStyle w:val="NormalHanging12a"/>
        <w:rPr>
          <w:szCs w:val="24"/>
        </w:rPr>
      </w:pPr>
      <w:r w:rsidRPr="00B93FA1">
        <w:rPr>
          <w:szCs w:val="24"/>
        </w:rPr>
        <w:t>71.</w:t>
      </w:r>
      <w:r w:rsidRPr="00B93FA1">
        <w:rPr>
          <w:szCs w:val="24"/>
        </w:rPr>
        <w:tab/>
        <w:t>pověřuje svou předsedkyni, aby předala toto usnesení Radě a Komisi.</w:t>
      </w:r>
    </w:p>
    <w:p w14:paraId="0FC87F7B" w14:textId="3F8F96A4" w:rsidR="00E365E1" w:rsidRPr="00B93FA1" w:rsidRDefault="00E365E1" w:rsidP="000C6FCA">
      <w:pPr>
        <w:spacing w:after="240"/>
        <w:ind w:hanging="567"/>
        <w:rPr>
          <w:szCs w:val="24"/>
        </w:rPr>
      </w:pPr>
    </w:p>
    <w:sectPr w:rsidR="00E365E1" w:rsidRPr="00B93FA1" w:rsidSect="009454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4129B" w14:textId="77777777" w:rsidR="009E2E37" w:rsidRPr="009454B7" w:rsidRDefault="009E2E37">
      <w:r w:rsidRPr="009454B7">
        <w:separator/>
      </w:r>
    </w:p>
  </w:endnote>
  <w:endnote w:type="continuationSeparator" w:id="0">
    <w:p w14:paraId="24AA5954" w14:textId="77777777" w:rsidR="009E2E37" w:rsidRPr="009454B7" w:rsidRDefault="009E2E37">
      <w:r w:rsidRPr="009454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4F30C" w14:textId="77777777" w:rsidR="00064002" w:rsidRPr="009454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EFF37" w14:textId="77777777" w:rsidR="00064002" w:rsidRPr="009454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1F7AA" w14:textId="77777777" w:rsidR="00064002" w:rsidRPr="009454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B3493" w14:textId="77777777" w:rsidR="009E2E37" w:rsidRPr="009454B7" w:rsidRDefault="009E2E37">
      <w:r w:rsidRPr="009454B7">
        <w:separator/>
      </w:r>
    </w:p>
  </w:footnote>
  <w:footnote w:type="continuationSeparator" w:id="0">
    <w:p w14:paraId="1350CB17" w14:textId="77777777" w:rsidR="009E2E37" w:rsidRPr="009454B7" w:rsidRDefault="009E2E37">
      <w:r w:rsidRPr="009454B7">
        <w:continuationSeparator/>
      </w:r>
    </w:p>
  </w:footnote>
  <w:footnote w:id="1">
    <w:p w14:paraId="43170949" w14:textId="2066DFF5"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Sachs</w:t>
      </w:r>
      <w:proofErr w:type="spellEnd"/>
      <w:r w:rsidRPr="001E5EF9">
        <w:rPr>
          <w:sz w:val="24"/>
          <w:szCs w:val="24"/>
          <w:lang w:val="cs-CZ"/>
        </w:rPr>
        <w:t xml:space="preserve">, J.D., </w:t>
      </w:r>
      <w:proofErr w:type="spellStart"/>
      <w:r w:rsidRPr="001E5EF9">
        <w:rPr>
          <w:sz w:val="24"/>
          <w:szCs w:val="24"/>
          <w:lang w:val="cs-CZ"/>
        </w:rPr>
        <w:t>Lafortune</w:t>
      </w:r>
      <w:proofErr w:type="spellEnd"/>
      <w:r w:rsidRPr="001E5EF9">
        <w:rPr>
          <w:sz w:val="24"/>
          <w:szCs w:val="24"/>
          <w:lang w:val="cs-CZ"/>
        </w:rPr>
        <w:t xml:space="preserve">, G., </w:t>
      </w:r>
      <w:proofErr w:type="spellStart"/>
      <w:r w:rsidRPr="001E5EF9">
        <w:rPr>
          <w:sz w:val="24"/>
          <w:szCs w:val="24"/>
          <w:lang w:val="cs-CZ"/>
        </w:rPr>
        <w:t>Fuller</w:t>
      </w:r>
      <w:proofErr w:type="spellEnd"/>
      <w:r w:rsidRPr="001E5EF9">
        <w:rPr>
          <w:sz w:val="24"/>
          <w:szCs w:val="24"/>
          <w:lang w:val="cs-CZ"/>
        </w:rPr>
        <w:t xml:space="preserve">, G., </w:t>
      </w:r>
      <w:proofErr w:type="spellStart"/>
      <w:r w:rsidRPr="001E5EF9">
        <w:rPr>
          <w:sz w:val="24"/>
          <w:szCs w:val="24"/>
          <w:lang w:val="cs-CZ"/>
        </w:rPr>
        <w:t>Iablonovski</w:t>
      </w:r>
      <w:proofErr w:type="spellEnd"/>
      <w:r w:rsidRPr="001E5EF9">
        <w:rPr>
          <w:sz w:val="24"/>
          <w:szCs w:val="24"/>
          <w:lang w:val="cs-CZ"/>
        </w:rPr>
        <w:t xml:space="preserve">, G., </w:t>
      </w:r>
      <w:proofErr w:type="spellStart"/>
      <w:r w:rsidRPr="001E5EF9">
        <w:rPr>
          <w:i/>
          <w:sz w:val="24"/>
          <w:szCs w:val="24"/>
          <w:lang w:val="cs-CZ"/>
        </w:rPr>
        <w:t>Sustainable</w:t>
      </w:r>
      <w:proofErr w:type="spellEnd"/>
      <w:r w:rsidRPr="001E5EF9">
        <w:rPr>
          <w:i/>
          <w:sz w:val="24"/>
          <w:szCs w:val="24"/>
          <w:lang w:val="cs-CZ"/>
        </w:rPr>
        <w:t xml:space="preserve"> Development Report 2025 – </w:t>
      </w:r>
      <w:proofErr w:type="spellStart"/>
      <w:r w:rsidRPr="001E5EF9">
        <w:rPr>
          <w:i/>
          <w:sz w:val="24"/>
          <w:szCs w:val="24"/>
          <w:lang w:val="cs-CZ"/>
        </w:rPr>
        <w:t>Financing</w:t>
      </w:r>
      <w:proofErr w:type="spellEnd"/>
      <w:r w:rsidRPr="001E5EF9">
        <w:rPr>
          <w:i/>
          <w:sz w:val="24"/>
          <w:szCs w:val="24"/>
          <w:lang w:val="cs-CZ"/>
        </w:rPr>
        <w:t xml:space="preserve"> </w:t>
      </w:r>
      <w:proofErr w:type="spellStart"/>
      <w:r w:rsidRPr="001E5EF9">
        <w:rPr>
          <w:i/>
          <w:sz w:val="24"/>
          <w:szCs w:val="24"/>
          <w:lang w:val="cs-CZ"/>
        </w:rPr>
        <w:t>Sustainable</w:t>
      </w:r>
      <w:proofErr w:type="spellEnd"/>
      <w:r w:rsidRPr="001E5EF9">
        <w:rPr>
          <w:i/>
          <w:sz w:val="24"/>
          <w:szCs w:val="24"/>
          <w:lang w:val="cs-CZ"/>
        </w:rPr>
        <w:t xml:space="preserve"> Development to 2030 and </w:t>
      </w:r>
      <w:proofErr w:type="spellStart"/>
      <w:r w:rsidRPr="001E5EF9">
        <w:rPr>
          <w:i/>
          <w:sz w:val="24"/>
          <w:szCs w:val="24"/>
          <w:lang w:val="cs-CZ"/>
        </w:rPr>
        <w:t>Mid-Century</w:t>
      </w:r>
      <w:proofErr w:type="spellEnd"/>
      <w:r w:rsidRPr="001E5EF9">
        <w:rPr>
          <w:sz w:val="24"/>
          <w:szCs w:val="24"/>
          <w:lang w:val="cs-CZ"/>
        </w:rPr>
        <w:t xml:space="preserve">, Dublin University </w:t>
      </w:r>
      <w:proofErr w:type="spellStart"/>
      <w:r w:rsidRPr="001E5EF9">
        <w:rPr>
          <w:sz w:val="24"/>
          <w:szCs w:val="24"/>
          <w:lang w:val="cs-CZ"/>
        </w:rPr>
        <w:t>Press</w:t>
      </w:r>
      <w:proofErr w:type="spellEnd"/>
      <w:r w:rsidRPr="001E5EF9">
        <w:rPr>
          <w:sz w:val="24"/>
          <w:szCs w:val="24"/>
          <w:lang w:val="cs-CZ"/>
        </w:rPr>
        <w:t>, Dublin, Irsko, 2025.</w:t>
      </w:r>
    </w:p>
  </w:footnote>
  <w:footnote w:id="2">
    <w:p w14:paraId="65CC09D0" w14:textId="1A642940"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L 180, 19.7.2000, s. 22, ELI: </w:t>
      </w:r>
      <w:hyperlink r:id="rId1" w:tooltip="Umožňuje přístup k tomuto dokumentu prostřednictvím jeho ELI URI." w:history="1">
        <w:r w:rsidRPr="001E5EF9">
          <w:rPr>
            <w:rStyle w:val="Hyperlink"/>
            <w:sz w:val="24"/>
            <w:szCs w:val="24"/>
            <w:lang w:val="cs-CZ"/>
          </w:rPr>
          <w:t>http://data.europa.eu/eli/dir/2000/43/oj</w:t>
        </w:r>
      </w:hyperlink>
      <w:r w:rsidRPr="001E5EF9">
        <w:rPr>
          <w:sz w:val="24"/>
          <w:szCs w:val="24"/>
          <w:lang w:val="cs-CZ"/>
        </w:rPr>
        <w:t>.</w:t>
      </w:r>
    </w:p>
  </w:footnote>
  <w:footnote w:id="3">
    <w:p w14:paraId="5FA157AA" w14:textId="034F0270"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L 303, 2.12.2000, s. 16, ELI: </w:t>
      </w:r>
      <w:hyperlink r:id="rId2" w:tooltip="Umožňuje přístup k tomuto dokumentu prostřednictvím jeho ELI URI." w:history="1">
        <w:r w:rsidRPr="001E5EF9">
          <w:rPr>
            <w:rStyle w:val="Hyperlink"/>
            <w:sz w:val="24"/>
            <w:szCs w:val="24"/>
            <w:lang w:val="cs-CZ"/>
          </w:rPr>
          <w:t>http://data.europa.eu/eli/dir/2000/78/oj</w:t>
        </w:r>
      </w:hyperlink>
      <w:r w:rsidRPr="001E5EF9">
        <w:rPr>
          <w:sz w:val="24"/>
          <w:szCs w:val="24"/>
          <w:lang w:val="cs-CZ"/>
        </w:rPr>
        <w:t>.</w:t>
      </w:r>
    </w:p>
  </w:footnote>
  <w:footnote w:id="4">
    <w:p w14:paraId="4BACEC33" w14:textId="3DBCDD13"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L 188, 12.7.2019, s. 79, ELI: </w:t>
      </w:r>
      <w:hyperlink r:id="rId3" w:tooltip="Umožňuje přístup k tomuto dokumentu prostřednictvím jeho ELI URI." w:history="1">
        <w:r w:rsidRPr="001E5EF9">
          <w:rPr>
            <w:rStyle w:val="Hyperlink"/>
            <w:sz w:val="24"/>
            <w:szCs w:val="24"/>
            <w:lang w:val="cs-CZ"/>
          </w:rPr>
          <w:t>http://data.europa.eu/eli/dir/2019/1158/oj</w:t>
        </w:r>
      </w:hyperlink>
      <w:r w:rsidRPr="001E5EF9">
        <w:rPr>
          <w:sz w:val="24"/>
          <w:szCs w:val="24"/>
          <w:lang w:val="cs-CZ"/>
        </w:rPr>
        <w:t>.</w:t>
      </w:r>
    </w:p>
  </w:footnote>
  <w:footnote w:id="5">
    <w:p w14:paraId="43EE3964" w14:textId="22F1DBF5"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L 275, 25.10.2022, s. 33, ELI: </w:t>
      </w:r>
      <w:hyperlink r:id="rId4" w:tooltip="Umožňuje přístup k tomuto dokumentu prostřednictvím jeho ELI URI." w:history="1">
        <w:r w:rsidRPr="001E5EF9">
          <w:rPr>
            <w:rStyle w:val="Hyperlink"/>
            <w:sz w:val="24"/>
            <w:szCs w:val="24"/>
            <w:lang w:val="cs-CZ"/>
          </w:rPr>
          <w:t>http://data.europa.eu/</w:t>
        </w:r>
        <w:proofErr w:type="spellStart"/>
        <w:r w:rsidRPr="001E5EF9">
          <w:rPr>
            <w:rStyle w:val="Hyperlink"/>
            <w:sz w:val="24"/>
            <w:szCs w:val="24"/>
            <w:lang w:val="cs-CZ"/>
          </w:rPr>
          <w:t>eli</w:t>
        </w:r>
        <w:proofErr w:type="spellEnd"/>
        <w:r w:rsidRPr="001E5EF9">
          <w:rPr>
            <w:rStyle w:val="Hyperlink"/>
            <w:sz w:val="24"/>
            <w:szCs w:val="24"/>
            <w:lang w:val="cs-CZ"/>
          </w:rPr>
          <w:t>/</w:t>
        </w:r>
        <w:proofErr w:type="spellStart"/>
        <w:r w:rsidRPr="001E5EF9">
          <w:rPr>
            <w:rStyle w:val="Hyperlink"/>
            <w:sz w:val="24"/>
            <w:szCs w:val="24"/>
            <w:lang w:val="cs-CZ"/>
          </w:rPr>
          <w:t>dir</w:t>
        </w:r>
        <w:proofErr w:type="spellEnd"/>
        <w:r w:rsidRPr="001E5EF9">
          <w:rPr>
            <w:rStyle w:val="Hyperlink"/>
            <w:sz w:val="24"/>
            <w:szCs w:val="24"/>
            <w:lang w:val="cs-CZ"/>
          </w:rPr>
          <w:t>/2022/2041/oj</w:t>
        </w:r>
      </w:hyperlink>
      <w:r w:rsidRPr="001E5EF9">
        <w:rPr>
          <w:sz w:val="24"/>
          <w:szCs w:val="24"/>
          <w:lang w:val="cs-CZ"/>
        </w:rPr>
        <w:t>.</w:t>
      </w:r>
    </w:p>
  </w:footnote>
  <w:footnote w:id="6">
    <w:p w14:paraId="251C9B81" w14:textId="0D052F1B"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L 132, 17.5.2023, s. 21, ELI: </w:t>
      </w:r>
      <w:hyperlink r:id="rId5" w:tooltip="Umožňuje přístup k tomuto dokumentu prostřednictvím jeho ELI URI." w:history="1">
        <w:r w:rsidRPr="001E5EF9">
          <w:rPr>
            <w:rStyle w:val="Hyperlink"/>
            <w:sz w:val="24"/>
            <w:szCs w:val="24"/>
            <w:lang w:val="cs-CZ"/>
          </w:rPr>
          <w:t>http://data.europa.eu/eli/dir/2023/970/oj</w:t>
        </w:r>
      </w:hyperlink>
      <w:r w:rsidRPr="001E5EF9">
        <w:rPr>
          <w:sz w:val="24"/>
          <w:szCs w:val="24"/>
          <w:lang w:val="cs-CZ"/>
        </w:rPr>
        <w:t>.</w:t>
      </w:r>
    </w:p>
  </w:footnote>
  <w:footnote w:id="7">
    <w:p w14:paraId="55866619" w14:textId="0AFE442D"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L 130, 16.5.2023, s. 1, ELI: </w:t>
      </w:r>
      <w:hyperlink r:id="rId6" w:tooltip="Umožňuje přístup k tomuto dokumentu prostřednictvím jeho ELI URI." w:history="1">
        <w:r w:rsidRPr="001E5EF9">
          <w:rPr>
            <w:rStyle w:val="Hyperlink"/>
            <w:sz w:val="24"/>
            <w:szCs w:val="24"/>
            <w:lang w:val="cs-CZ"/>
          </w:rPr>
          <w:t>http://data.europa.eu/eli/reg/2023/955/oj</w:t>
        </w:r>
      </w:hyperlink>
      <w:r w:rsidRPr="001E5EF9">
        <w:rPr>
          <w:sz w:val="24"/>
          <w:szCs w:val="24"/>
          <w:lang w:val="cs-CZ"/>
        </w:rPr>
        <w:t>.</w:t>
      </w:r>
    </w:p>
  </w:footnote>
  <w:footnote w:id="8">
    <w:p w14:paraId="2007BCCD" w14:textId="6BBCCB98"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xml:space="preserve">. L, 2024/1385, 24.5.2024, ELI: </w:t>
      </w:r>
      <w:hyperlink r:id="rId7" w:history="1">
        <w:r w:rsidRPr="001E5EF9">
          <w:rPr>
            <w:rStyle w:val="Hyperlink"/>
            <w:sz w:val="24"/>
            <w:szCs w:val="24"/>
            <w:lang w:val="cs-CZ"/>
          </w:rPr>
          <w:t>http://data.europa.eu/eli/dir/2024/1385/oj</w:t>
        </w:r>
      </w:hyperlink>
      <w:r w:rsidRPr="001E5EF9">
        <w:rPr>
          <w:sz w:val="24"/>
          <w:szCs w:val="24"/>
          <w:lang w:val="cs-CZ"/>
        </w:rPr>
        <w:t>.</w:t>
      </w:r>
    </w:p>
  </w:footnote>
  <w:footnote w:id="9">
    <w:p w14:paraId="63E2D7A4" w14:textId="346A72DD"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331, 17.8.2021, s. 5.</w:t>
      </w:r>
    </w:p>
  </w:footnote>
  <w:footnote w:id="10">
    <w:p w14:paraId="1077A03F" w14:textId="15D43F85"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456, 10.11.2021, s. 145.</w:t>
      </w:r>
    </w:p>
  </w:footnote>
  <w:footnote w:id="11">
    <w:p w14:paraId="584B596B" w14:textId="275E970A"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465, 17.11.2021, s. 62.</w:t>
      </w:r>
    </w:p>
  </w:footnote>
  <w:footnote w:id="12">
    <w:p w14:paraId="5DB2311D" w14:textId="72F854ED"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474, 24.11.2021, s. 146.</w:t>
      </w:r>
    </w:p>
  </w:footnote>
  <w:footnote w:id="13">
    <w:p w14:paraId="18131E2C" w14:textId="75C449ED"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506, 15.12.2021, s. 94.</w:t>
      </w:r>
    </w:p>
  </w:footnote>
  <w:footnote w:id="14">
    <w:p w14:paraId="30794265" w14:textId="0372ED6A"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47, 7.2.2023, s. 2.</w:t>
      </w:r>
    </w:p>
  </w:footnote>
  <w:footnote w:id="15">
    <w:p w14:paraId="36F4F050" w14:textId="16464FEF"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132, 14.4.2023, s. 29.</w:t>
      </w:r>
    </w:p>
  </w:footnote>
  <w:footnote w:id="16">
    <w:p w14:paraId="6DB3FBCF" w14:textId="07B4812E"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xml:space="preserve">. C, C/2023/400, 23.11.2023, ELI: </w:t>
      </w:r>
      <w:hyperlink r:id="rId8" w:history="1">
        <w:r w:rsidRPr="001E5EF9">
          <w:rPr>
            <w:rStyle w:val="Hyperlink"/>
            <w:sz w:val="24"/>
            <w:szCs w:val="24"/>
            <w:lang w:val="cs-CZ"/>
          </w:rPr>
          <w:t>http://data.europa.eu/eli/C/2023/400/oj</w:t>
        </w:r>
      </w:hyperlink>
      <w:r w:rsidRPr="001E5EF9">
        <w:rPr>
          <w:sz w:val="24"/>
          <w:szCs w:val="24"/>
          <w:lang w:val="cs-CZ"/>
        </w:rPr>
        <w:t>.</w:t>
      </w:r>
    </w:p>
  </w:footnote>
  <w:footnote w:id="17">
    <w:p w14:paraId="2CD030BB" w14:textId="699E79C3"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xml:space="preserve">. C, C/2023/1063, 15.12.2023, ELI: </w:t>
      </w:r>
      <w:hyperlink r:id="rId9" w:history="1">
        <w:r w:rsidRPr="001E5EF9">
          <w:rPr>
            <w:rStyle w:val="Hyperlink"/>
            <w:sz w:val="24"/>
            <w:szCs w:val="24"/>
            <w:lang w:val="cs-CZ"/>
          </w:rPr>
          <w:t>http://data.europa.eu/eli/C/2023/1063/oj</w:t>
        </w:r>
      </w:hyperlink>
      <w:r w:rsidRPr="001E5EF9">
        <w:rPr>
          <w:sz w:val="24"/>
          <w:szCs w:val="24"/>
          <w:lang w:val="cs-CZ"/>
        </w:rPr>
        <w:t>.</w:t>
      </w:r>
    </w:p>
  </w:footnote>
  <w:footnote w:id="18">
    <w:p w14:paraId="49EA4B94" w14:textId="6E2215C2"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xml:space="preserve">. C, C/2024/4211, 24.7.2024, ELI: </w:t>
      </w:r>
      <w:hyperlink r:id="rId10" w:history="1">
        <w:r w:rsidRPr="001E5EF9">
          <w:rPr>
            <w:rStyle w:val="Hyperlink"/>
            <w:sz w:val="24"/>
            <w:szCs w:val="24"/>
            <w:lang w:val="cs-CZ"/>
          </w:rPr>
          <w:t>http://data.europa.eu/eli/C/2024/4211/oj</w:t>
        </w:r>
      </w:hyperlink>
      <w:r w:rsidRPr="001E5EF9">
        <w:rPr>
          <w:sz w:val="24"/>
          <w:szCs w:val="24"/>
          <w:lang w:val="cs-CZ"/>
        </w:rPr>
        <w:t>.</w:t>
      </w:r>
    </w:p>
  </w:footnote>
  <w:footnote w:id="19">
    <w:p w14:paraId="3C6237D8" w14:textId="01489B09"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xml:space="preserve">. C, C/2024/4212, 24.7.2024, ELI: </w:t>
      </w:r>
      <w:hyperlink r:id="rId11" w:history="1">
        <w:r w:rsidRPr="001E5EF9">
          <w:rPr>
            <w:rStyle w:val="Hyperlink"/>
            <w:sz w:val="24"/>
            <w:szCs w:val="24"/>
            <w:lang w:val="cs-CZ"/>
          </w:rPr>
          <w:t>http://data.europa.eu/eli/C/2024/4212/oj</w:t>
        </w:r>
      </w:hyperlink>
      <w:r w:rsidRPr="001E5EF9">
        <w:rPr>
          <w:sz w:val="24"/>
          <w:szCs w:val="24"/>
          <w:lang w:val="cs-CZ"/>
        </w:rPr>
        <w:t>.</w:t>
      </w:r>
    </w:p>
  </w:footnote>
  <w:footnote w:id="20">
    <w:p w14:paraId="1F053376" w14:textId="480C0E15"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xml:space="preserve">. C, C/2024/4224, 24.7.2024, ELI: </w:t>
      </w:r>
      <w:hyperlink r:id="rId12" w:history="1">
        <w:r w:rsidRPr="001E5EF9">
          <w:rPr>
            <w:rStyle w:val="Hyperlink"/>
            <w:sz w:val="24"/>
            <w:szCs w:val="24"/>
            <w:lang w:val="cs-CZ"/>
          </w:rPr>
          <w:t>http://data.europa.eu/eli/C/2024/4224/oj</w:t>
        </w:r>
      </w:hyperlink>
      <w:r w:rsidRPr="001E5EF9">
        <w:rPr>
          <w:sz w:val="24"/>
          <w:szCs w:val="24"/>
          <w:lang w:val="cs-CZ"/>
        </w:rPr>
        <w:t>.</w:t>
      </w:r>
    </w:p>
  </w:footnote>
  <w:footnote w:id="21">
    <w:p w14:paraId="2593EF1D" w14:textId="3BA096BB"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189, 5.6.2019, s. 4.</w:t>
      </w:r>
    </w:p>
  </w:footnote>
  <w:footnote w:id="22">
    <w:p w14:paraId="3748FCAF" w14:textId="50B56BD9"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L 59, 2.3.2013, s. 5.</w:t>
      </w:r>
    </w:p>
  </w:footnote>
  <w:footnote w:id="23">
    <w:p w14:paraId="0612948D" w14:textId="59988612"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xml:space="preserve">. L, 2024/1238, 14.5.2024, ELI: </w:t>
      </w:r>
      <w:hyperlink r:id="rId13" w:history="1">
        <w:r w:rsidRPr="001E5EF9">
          <w:rPr>
            <w:rStyle w:val="Hyperlink"/>
            <w:sz w:val="24"/>
            <w:szCs w:val="24"/>
            <w:lang w:val="cs-CZ"/>
          </w:rPr>
          <w:t>http://data.europa.eu/eli/reco/2024/1238/oj</w:t>
        </w:r>
      </w:hyperlink>
      <w:r w:rsidRPr="001E5EF9">
        <w:rPr>
          <w:sz w:val="24"/>
          <w:szCs w:val="24"/>
          <w:lang w:val="cs-CZ"/>
        </w:rPr>
        <w:t>.</w:t>
      </w:r>
    </w:p>
  </w:footnote>
  <w:footnote w:id="24">
    <w:p w14:paraId="11D9A9EF" w14:textId="2C9FE842"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w:t>
      </w:r>
      <w:proofErr w:type="spellStart"/>
      <w:r w:rsidRPr="001E5EF9">
        <w:rPr>
          <w:sz w:val="24"/>
          <w:szCs w:val="24"/>
          <w:lang w:val="cs-CZ"/>
        </w:rPr>
        <w:t>věst</w:t>
      </w:r>
      <w:proofErr w:type="spellEnd"/>
      <w:r w:rsidRPr="001E5EF9">
        <w:rPr>
          <w:sz w:val="24"/>
          <w:szCs w:val="24"/>
          <w:lang w:val="cs-CZ"/>
        </w:rPr>
        <w:t xml:space="preserve">. L 223, 22.6.2021, s. 14, ELI: </w:t>
      </w:r>
      <w:hyperlink r:id="rId14" w:history="1">
        <w:r w:rsidRPr="001E5EF9">
          <w:rPr>
            <w:rStyle w:val="Hyperlink"/>
            <w:sz w:val="24"/>
            <w:szCs w:val="24"/>
            <w:lang w:val="cs-CZ"/>
          </w:rPr>
          <w:t>http://data.europa.eu/eli/reco/2021/1004/oj</w:t>
        </w:r>
      </w:hyperlink>
      <w:r w:rsidRPr="001E5EF9">
        <w:rPr>
          <w:sz w:val="24"/>
          <w:szCs w:val="24"/>
          <w:lang w:val="cs-CZ"/>
        </w:rPr>
        <w:t>.</w:t>
      </w:r>
    </w:p>
  </w:footnote>
  <w:footnote w:id="25">
    <w:p w14:paraId="6658FEF4" w14:textId="7D446ECA"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93, 19.3.2021, s. 1.</w:t>
      </w:r>
    </w:p>
  </w:footnote>
  <w:footnote w:id="26">
    <w:p w14:paraId="7F39BB44" w14:textId="59ECA583"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387, 15.11.2019, s. 1.</w:t>
      </w:r>
    </w:p>
  </w:footnote>
  <w:footnote w:id="27">
    <w:p w14:paraId="64D21DBB" w14:textId="347FA17C"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41, 3.2.2023, s. 1.</w:t>
      </w:r>
    </w:p>
  </w:footnote>
  <w:footnote w:id="28">
    <w:p w14:paraId="6BCB7CDA" w14:textId="32450686"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xml:space="preserve">. C, C/2025/6322, 3.12.2025, ELI: </w:t>
      </w:r>
      <w:hyperlink r:id="rId15" w:history="1">
        <w:r w:rsidRPr="001E5EF9">
          <w:rPr>
            <w:rStyle w:val="Hyperlink"/>
            <w:sz w:val="24"/>
            <w:szCs w:val="24"/>
            <w:lang w:val="cs-CZ"/>
          </w:rPr>
          <w:t>http://data.europa.eu/eli/C/2025/6322/oj</w:t>
        </w:r>
      </w:hyperlink>
      <w:r w:rsidRPr="001E5EF9">
        <w:rPr>
          <w:sz w:val="24"/>
          <w:szCs w:val="24"/>
          <w:lang w:val="cs-CZ"/>
        </w:rPr>
        <w:t>.</w:t>
      </w:r>
    </w:p>
  </w:footnote>
  <w:footnote w:id="29">
    <w:p w14:paraId="7881A2F0" w14:textId="339017FA"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Eurostat</w:t>
      </w:r>
      <w:proofErr w:type="spellEnd"/>
      <w:r w:rsidRPr="001E5EF9">
        <w:rPr>
          <w:sz w:val="24"/>
          <w:szCs w:val="24"/>
          <w:lang w:val="cs-CZ"/>
        </w:rPr>
        <w:t xml:space="preserve">, „Severe </w:t>
      </w:r>
      <w:proofErr w:type="spellStart"/>
      <w:r w:rsidRPr="001E5EF9">
        <w:rPr>
          <w:sz w:val="24"/>
          <w:szCs w:val="24"/>
          <w:lang w:val="cs-CZ"/>
        </w:rPr>
        <w:t>material</w:t>
      </w:r>
      <w:proofErr w:type="spellEnd"/>
      <w:r w:rsidRPr="001E5EF9">
        <w:rPr>
          <w:sz w:val="24"/>
          <w:szCs w:val="24"/>
          <w:lang w:val="cs-CZ"/>
        </w:rPr>
        <w:t xml:space="preserve"> and </w:t>
      </w:r>
      <w:proofErr w:type="spellStart"/>
      <w:r w:rsidRPr="001E5EF9">
        <w:rPr>
          <w:sz w:val="24"/>
          <w:szCs w:val="24"/>
          <w:lang w:val="cs-CZ"/>
        </w:rPr>
        <w:t>social</w:t>
      </w:r>
      <w:proofErr w:type="spellEnd"/>
      <w:r w:rsidRPr="001E5EF9">
        <w:rPr>
          <w:sz w:val="24"/>
          <w:szCs w:val="24"/>
          <w:lang w:val="cs-CZ"/>
        </w:rPr>
        <w:t xml:space="preserve"> </w:t>
      </w:r>
      <w:proofErr w:type="spellStart"/>
      <w:r w:rsidRPr="001E5EF9">
        <w:rPr>
          <w:sz w:val="24"/>
          <w:szCs w:val="24"/>
          <w:lang w:val="cs-CZ"/>
        </w:rPr>
        <w:t>deprivation</w:t>
      </w:r>
      <w:proofErr w:type="spellEnd"/>
      <w:r w:rsidRPr="001E5EF9">
        <w:rPr>
          <w:sz w:val="24"/>
          <w:szCs w:val="24"/>
          <w:lang w:val="cs-CZ"/>
        </w:rPr>
        <w:t xml:space="preserve"> </w:t>
      </w:r>
      <w:proofErr w:type="spellStart"/>
      <w:r w:rsidRPr="001E5EF9">
        <w:rPr>
          <w:sz w:val="24"/>
          <w:szCs w:val="24"/>
          <w:lang w:val="cs-CZ"/>
        </w:rPr>
        <w:t>rate</w:t>
      </w:r>
      <w:proofErr w:type="spellEnd"/>
      <w:r w:rsidRPr="001E5EF9">
        <w:rPr>
          <w:sz w:val="24"/>
          <w:szCs w:val="24"/>
          <w:lang w:val="cs-CZ"/>
        </w:rPr>
        <w:t xml:space="preserve"> by </w:t>
      </w:r>
      <w:proofErr w:type="spellStart"/>
      <w:r w:rsidRPr="001E5EF9">
        <w:rPr>
          <w:sz w:val="24"/>
          <w:szCs w:val="24"/>
          <w:lang w:val="cs-CZ"/>
        </w:rPr>
        <w:t>age</w:t>
      </w:r>
      <w:proofErr w:type="spellEnd"/>
      <w:r w:rsidRPr="001E5EF9">
        <w:rPr>
          <w:sz w:val="24"/>
          <w:szCs w:val="24"/>
          <w:lang w:val="cs-CZ"/>
        </w:rPr>
        <w:t xml:space="preserve"> and sex“ (Míra závažné materiální a sociální deprivace podle věku a pohlaví), </w:t>
      </w:r>
      <w:proofErr w:type="spellStart"/>
      <w:r w:rsidRPr="001E5EF9">
        <w:rPr>
          <w:sz w:val="24"/>
          <w:szCs w:val="24"/>
          <w:lang w:val="cs-CZ"/>
        </w:rPr>
        <w:t>Eurostat</w:t>
      </w:r>
      <w:proofErr w:type="spellEnd"/>
      <w:r w:rsidRPr="001E5EF9">
        <w:rPr>
          <w:sz w:val="24"/>
          <w:szCs w:val="24"/>
          <w:lang w:val="cs-CZ"/>
        </w:rPr>
        <w:t xml:space="preserve"> data browser, 14.</w:t>
      </w:r>
      <w:r w:rsidR="00E12202" w:rsidRPr="000C6FCA">
        <w:rPr>
          <w:sz w:val="24"/>
          <w:szCs w:val="24"/>
          <w:lang w:val="cs-CZ"/>
        </w:rPr>
        <w:t> </w:t>
      </w:r>
      <w:r w:rsidRPr="001E5EF9">
        <w:rPr>
          <w:sz w:val="24"/>
          <w:szCs w:val="24"/>
          <w:lang w:val="cs-CZ"/>
        </w:rPr>
        <w:t xml:space="preserve">listopadu 2025, zobrazeno 9. prosince 2025, </w:t>
      </w:r>
      <w:hyperlink r:id="rId16" w:history="1">
        <w:r w:rsidRPr="001E5EF9">
          <w:rPr>
            <w:rStyle w:val="Hyperlink"/>
            <w:sz w:val="24"/>
            <w:szCs w:val="24"/>
            <w:lang w:val="cs-CZ"/>
          </w:rPr>
          <w:t>https://ec.europa.eu/eurostat/databrowser/view/ilc_mdsd11/default/table?lang=en</w:t>
        </w:r>
      </w:hyperlink>
      <w:r w:rsidRPr="001E5EF9">
        <w:rPr>
          <w:sz w:val="24"/>
          <w:szCs w:val="24"/>
          <w:lang w:val="cs-CZ"/>
        </w:rPr>
        <w:t>.</w:t>
      </w:r>
    </w:p>
  </w:footnote>
  <w:footnote w:id="30">
    <w:p w14:paraId="2054D92F" w14:textId="39F4A0B8"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Eurostat</w:t>
      </w:r>
      <w:proofErr w:type="spellEnd"/>
      <w:r w:rsidRPr="001E5EF9">
        <w:rPr>
          <w:sz w:val="24"/>
          <w:szCs w:val="24"/>
          <w:lang w:val="cs-CZ"/>
        </w:rPr>
        <w:t>, „At-risk-</w:t>
      </w:r>
      <w:proofErr w:type="spellStart"/>
      <w:r w:rsidRPr="001E5EF9">
        <w:rPr>
          <w:sz w:val="24"/>
          <w:szCs w:val="24"/>
          <w:lang w:val="cs-CZ"/>
        </w:rPr>
        <w:t>of</w:t>
      </w:r>
      <w:proofErr w:type="spellEnd"/>
      <w:r w:rsidRPr="001E5EF9">
        <w:rPr>
          <w:sz w:val="24"/>
          <w:szCs w:val="24"/>
          <w:lang w:val="cs-CZ"/>
        </w:rPr>
        <w:t>-</w:t>
      </w:r>
      <w:proofErr w:type="spellStart"/>
      <w:r w:rsidRPr="001E5EF9">
        <w:rPr>
          <w:sz w:val="24"/>
          <w:szCs w:val="24"/>
          <w:lang w:val="cs-CZ"/>
        </w:rPr>
        <w:t>poverty</w:t>
      </w:r>
      <w:proofErr w:type="spellEnd"/>
      <w:r w:rsidRPr="001E5EF9">
        <w:rPr>
          <w:sz w:val="24"/>
          <w:szCs w:val="24"/>
          <w:lang w:val="cs-CZ"/>
        </w:rPr>
        <w:t xml:space="preserve"> </w:t>
      </w:r>
      <w:proofErr w:type="spellStart"/>
      <w:r w:rsidRPr="001E5EF9">
        <w:rPr>
          <w:sz w:val="24"/>
          <w:szCs w:val="24"/>
          <w:lang w:val="cs-CZ"/>
        </w:rPr>
        <w:t>rate</w:t>
      </w:r>
      <w:proofErr w:type="spellEnd"/>
      <w:r w:rsidRPr="001E5EF9">
        <w:rPr>
          <w:sz w:val="24"/>
          <w:szCs w:val="24"/>
          <w:lang w:val="cs-CZ"/>
        </w:rPr>
        <w:t xml:space="preserve"> by </w:t>
      </w:r>
      <w:proofErr w:type="spellStart"/>
      <w:r w:rsidRPr="001E5EF9">
        <w:rPr>
          <w:sz w:val="24"/>
          <w:szCs w:val="24"/>
          <w:lang w:val="cs-CZ"/>
        </w:rPr>
        <w:t>poverty</w:t>
      </w:r>
      <w:proofErr w:type="spellEnd"/>
      <w:r w:rsidRPr="001E5EF9">
        <w:rPr>
          <w:sz w:val="24"/>
          <w:szCs w:val="24"/>
          <w:lang w:val="cs-CZ"/>
        </w:rPr>
        <w:t xml:space="preserve"> </w:t>
      </w:r>
      <w:proofErr w:type="spellStart"/>
      <w:r w:rsidRPr="001E5EF9">
        <w:rPr>
          <w:sz w:val="24"/>
          <w:szCs w:val="24"/>
          <w:lang w:val="cs-CZ"/>
        </w:rPr>
        <w:t>threshold</w:t>
      </w:r>
      <w:proofErr w:type="spellEnd"/>
      <w:r w:rsidRPr="001E5EF9">
        <w:rPr>
          <w:sz w:val="24"/>
          <w:szCs w:val="24"/>
          <w:lang w:val="cs-CZ"/>
        </w:rPr>
        <w:t xml:space="preserve"> and </w:t>
      </w:r>
      <w:proofErr w:type="spellStart"/>
      <w:r w:rsidRPr="001E5EF9">
        <w:rPr>
          <w:sz w:val="24"/>
          <w:szCs w:val="24"/>
          <w:lang w:val="cs-CZ"/>
        </w:rPr>
        <w:t>household</w:t>
      </w:r>
      <w:proofErr w:type="spellEnd"/>
      <w:r w:rsidRPr="001E5EF9">
        <w:rPr>
          <w:sz w:val="24"/>
          <w:szCs w:val="24"/>
          <w:lang w:val="cs-CZ"/>
        </w:rPr>
        <w:t xml:space="preserve"> type“ (Míra ohrožení chudobou podle prahu chudoby a typu domácnosti), </w:t>
      </w:r>
      <w:proofErr w:type="spellStart"/>
      <w:r w:rsidRPr="001E5EF9">
        <w:rPr>
          <w:sz w:val="24"/>
          <w:szCs w:val="24"/>
          <w:lang w:val="cs-CZ"/>
        </w:rPr>
        <w:t>Eurostat</w:t>
      </w:r>
      <w:proofErr w:type="spellEnd"/>
      <w:r w:rsidRPr="001E5EF9">
        <w:rPr>
          <w:sz w:val="24"/>
          <w:szCs w:val="24"/>
          <w:lang w:val="cs-CZ"/>
        </w:rPr>
        <w:t xml:space="preserve"> data browser, 14.</w:t>
      </w:r>
      <w:r w:rsidR="00E12202" w:rsidRPr="000C6FCA">
        <w:rPr>
          <w:sz w:val="24"/>
          <w:szCs w:val="24"/>
          <w:lang w:val="cs-CZ"/>
        </w:rPr>
        <w:t> </w:t>
      </w:r>
      <w:r w:rsidRPr="001E5EF9">
        <w:rPr>
          <w:sz w:val="24"/>
          <w:szCs w:val="24"/>
          <w:lang w:val="cs-CZ"/>
        </w:rPr>
        <w:t xml:space="preserve">listopadu 2025, zobrazeno 9. prosince 2025, </w:t>
      </w:r>
      <w:hyperlink r:id="rId17" w:history="1">
        <w:r w:rsidRPr="001E5EF9">
          <w:rPr>
            <w:rStyle w:val="Hyperlink"/>
            <w:sz w:val="24"/>
            <w:szCs w:val="24"/>
            <w:lang w:val="cs-CZ"/>
          </w:rPr>
          <w:t>https://ec.europa.eu/eurostat/databrowser/view/ilc_li03/default/table?lang=en</w:t>
        </w:r>
      </w:hyperlink>
      <w:r w:rsidRPr="001E5EF9">
        <w:rPr>
          <w:sz w:val="24"/>
          <w:szCs w:val="24"/>
          <w:lang w:val="cs-CZ"/>
        </w:rPr>
        <w:t>.</w:t>
      </w:r>
    </w:p>
  </w:footnote>
  <w:footnote w:id="31">
    <w:p w14:paraId="721CAD9F" w14:textId="6243E87C"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Evropská komise: Generální ředitelství pro zaměstnanost, sociální věci a sociální začleňování, </w:t>
      </w:r>
      <w:proofErr w:type="spellStart"/>
      <w:r w:rsidRPr="001E5EF9">
        <w:rPr>
          <w:i/>
          <w:sz w:val="24"/>
          <w:szCs w:val="24"/>
          <w:lang w:val="cs-CZ"/>
        </w:rPr>
        <w:t>Employment</w:t>
      </w:r>
      <w:proofErr w:type="spellEnd"/>
      <w:r w:rsidRPr="001E5EF9">
        <w:rPr>
          <w:i/>
          <w:sz w:val="24"/>
          <w:szCs w:val="24"/>
          <w:lang w:val="cs-CZ"/>
        </w:rPr>
        <w:t xml:space="preserve"> and </w:t>
      </w:r>
      <w:proofErr w:type="spellStart"/>
      <w:r w:rsidRPr="001E5EF9">
        <w:rPr>
          <w:i/>
          <w:sz w:val="24"/>
          <w:szCs w:val="24"/>
          <w:lang w:val="cs-CZ"/>
        </w:rPr>
        <w:t>social</w:t>
      </w:r>
      <w:proofErr w:type="spellEnd"/>
      <w:r w:rsidRPr="001E5EF9">
        <w:rPr>
          <w:i/>
          <w:sz w:val="24"/>
          <w:szCs w:val="24"/>
          <w:lang w:val="cs-CZ"/>
        </w:rPr>
        <w:t xml:space="preserve"> </w:t>
      </w:r>
      <w:proofErr w:type="spellStart"/>
      <w:r w:rsidRPr="001E5EF9">
        <w:rPr>
          <w:i/>
          <w:sz w:val="24"/>
          <w:szCs w:val="24"/>
          <w:lang w:val="cs-CZ"/>
        </w:rPr>
        <w:t>developments</w:t>
      </w:r>
      <w:proofErr w:type="spellEnd"/>
      <w:r w:rsidRPr="001E5EF9">
        <w:rPr>
          <w:i/>
          <w:sz w:val="24"/>
          <w:szCs w:val="24"/>
          <w:lang w:val="cs-CZ"/>
        </w:rPr>
        <w:t xml:space="preserve"> in </w:t>
      </w:r>
      <w:proofErr w:type="spellStart"/>
      <w:r w:rsidRPr="001E5EF9">
        <w:rPr>
          <w:i/>
          <w:sz w:val="24"/>
          <w:szCs w:val="24"/>
          <w:lang w:val="cs-CZ"/>
        </w:rPr>
        <w:t>Europe</w:t>
      </w:r>
      <w:proofErr w:type="spellEnd"/>
      <w:r w:rsidRPr="001E5EF9">
        <w:rPr>
          <w:i/>
          <w:sz w:val="24"/>
          <w:szCs w:val="24"/>
          <w:lang w:val="cs-CZ"/>
        </w:rPr>
        <w:t xml:space="preserve"> 2024</w:t>
      </w:r>
      <w:r w:rsidRPr="001E5EF9">
        <w:rPr>
          <w:sz w:val="24"/>
          <w:szCs w:val="24"/>
          <w:lang w:val="cs-CZ"/>
        </w:rPr>
        <w:t xml:space="preserve"> ((Vývoj zaměstnanosti a sociální situace v Evropě v roce 2024), Úřad pro publikace Evropské unie, 2024.</w:t>
      </w:r>
    </w:p>
  </w:footnote>
  <w:footnote w:id="32">
    <w:p w14:paraId="513DACE3" w14:textId="060D6006"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Evropská komise: Generální ředitelství pro vzdělávání, mládež, sport a kulturu, </w:t>
      </w:r>
      <w:proofErr w:type="spellStart"/>
      <w:r w:rsidRPr="001E5EF9">
        <w:rPr>
          <w:i/>
          <w:sz w:val="24"/>
          <w:szCs w:val="24"/>
          <w:lang w:val="cs-CZ"/>
        </w:rPr>
        <w:t>Education</w:t>
      </w:r>
      <w:proofErr w:type="spellEnd"/>
      <w:r w:rsidRPr="001E5EF9">
        <w:rPr>
          <w:i/>
          <w:sz w:val="24"/>
          <w:szCs w:val="24"/>
          <w:lang w:val="cs-CZ"/>
        </w:rPr>
        <w:t xml:space="preserve"> and </w:t>
      </w:r>
      <w:proofErr w:type="spellStart"/>
      <w:r w:rsidRPr="001E5EF9">
        <w:rPr>
          <w:i/>
          <w:sz w:val="24"/>
          <w:szCs w:val="24"/>
          <w:lang w:val="cs-CZ"/>
        </w:rPr>
        <w:t>training</w:t>
      </w:r>
      <w:proofErr w:type="spellEnd"/>
      <w:r w:rsidRPr="001E5EF9">
        <w:rPr>
          <w:i/>
          <w:sz w:val="24"/>
          <w:szCs w:val="24"/>
          <w:lang w:val="cs-CZ"/>
        </w:rPr>
        <w:t xml:space="preserve"> monitor 2024 – </w:t>
      </w:r>
      <w:proofErr w:type="spellStart"/>
      <w:r w:rsidRPr="001E5EF9">
        <w:rPr>
          <w:i/>
          <w:sz w:val="24"/>
          <w:szCs w:val="24"/>
          <w:lang w:val="cs-CZ"/>
        </w:rPr>
        <w:t>Comparative</w:t>
      </w:r>
      <w:proofErr w:type="spellEnd"/>
      <w:r w:rsidRPr="001E5EF9">
        <w:rPr>
          <w:i/>
          <w:sz w:val="24"/>
          <w:szCs w:val="24"/>
          <w:lang w:val="cs-CZ"/>
        </w:rPr>
        <w:t xml:space="preserve"> report</w:t>
      </w:r>
      <w:r w:rsidRPr="001E5EF9">
        <w:rPr>
          <w:sz w:val="24"/>
          <w:szCs w:val="24"/>
          <w:lang w:val="cs-CZ"/>
        </w:rPr>
        <w:t xml:space="preserve"> (Monitor vzdělávání a odborné přípravy 2024 – srovnávací zpráva), Úřad pro publikace Evropské unie, 2024.</w:t>
      </w:r>
    </w:p>
  </w:footnote>
  <w:footnote w:id="33">
    <w:p w14:paraId="461E71AE" w14:textId="326F67C0"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Stručná zpráva – „</w:t>
      </w:r>
      <w:proofErr w:type="spellStart"/>
      <w:r w:rsidRPr="001E5EF9">
        <w:rPr>
          <w:sz w:val="24"/>
          <w:szCs w:val="24"/>
          <w:lang w:val="cs-CZ"/>
        </w:rPr>
        <w:t>The</w:t>
      </w:r>
      <w:proofErr w:type="spellEnd"/>
      <w:r w:rsidRPr="001E5EF9">
        <w:rPr>
          <w:sz w:val="24"/>
          <w:szCs w:val="24"/>
          <w:lang w:val="cs-CZ"/>
        </w:rPr>
        <w:t xml:space="preserve"> gender gap in </w:t>
      </w:r>
      <w:proofErr w:type="spellStart"/>
      <w:r w:rsidRPr="001E5EF9">
        <w:rPr>
          <w:sz w:val="24"/>
          <w:szCs w:val="24"/>
          <w:lang w:val="cs-CZ"/>
        </w:rPr>
        <w:t>pensions</w:t>
      </w:r>
      <w:proofErr w:type="spellEnd"/>
      <w:r w:rsidRPr="001E5EF9">
        <w:rPr>
          <w:sz w:val="24"/>
          <w:szCs w:val="24"/>
          <w:lang w:val="cs-CZ"/>
        </w:rPr>
        <w:t xml:space="preserve"> in </w:t>
      </w:r>
      <w:proofErr w:type="spellStart"/>
      <w:r w:rsidRPr="001E5EF9">
        <w:rPr>
          <w:sz w:val="24"/>
          <w:szCs w:val="24"/>
          <w:lang w:val="cs-CZ"/>
        </w:rPr>
        <w:t>the</w:t>
      </w:r>
      <w:proofErr w:type="spellEnd"/>
      <w:r w:rsidRPr="001E5EF9">
        <w:rPr>
          <w:sz w:val="24"/>
          <w:szCs w:val="24"/>
          <w:lang w:val="cs-CZ"/>
        </w:rPr>
        <w:t xml:space="preserve"> EU“ (Rozdíl v důchodech žen a mužů), Evropský parlament, generální ředitelství pro vnitřní politiky, tematická sekce A – Hospodářská politika a politika v oblasti vědy a kvality života, červenec 2019.</w:t>
      </w:r>
    </w:p>
  </w:footnote>
  <w:footnote w:id="34">
    <w:p w14:paraId="18FC0BA9" w14:textId="564B4C74"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hyperlink r:id="rId18" w:history="1">
        <w:r w:rsidRPr="001E5EF9">
          <w:rPr>
            <w:rStyle w:val="Hyperlink"/>
            <w:sz w:val="24"/>
            <w:szCs w:val="24"/>
            <w:lang w:val="cs-CZ"/>
          </w:rPr>
          <w:t>https://eige.europa.eu/publications-resources/toolkits-guides/gender-equality-index-2021-report/gender-differences-household-chores</w:t>
        </w:r>
      </w:hyperlink>
      <w:r w:rsidRPr="001E5EF9">
        <w:rPr>
          <w:sz w:val="24"/>
          <w:szCs w:val="24"/>
          <w:lang w:val="cs-CZ"/>
        </w:rPr>
        <w:t>.</w:t>
      </w:r>
    </w:p>
  </w:footnote>
  <w:footnote w:id="35">
    <w:p w14:paraId="18581801" w14:textId="422F7ED3"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Eurostat</w:t>
      </w:r>
      <w:proofErr w:type="spellEnd"/>
      <w:r w:rsidRPr="001E5EF9">
        <w:rPr>
          <w:sz w:val="24"/>
          <w:szCs w:val="24"/>
          <w:lang w:val="cs-CZ"/>
        </w:rPr>
        <w:t xml:space="preserve">, „Severe </w:t>
      </w:r>
      <w:proofErr w:type="spellStart"/>
      <w:r w:rsidRPr="001E5EF9">
        <w:rPr>
          <w:sz w:val="24"/>
          <w:szCs w:val="24"/>
          <w:lang w:val="cs-CZ"/>
        </w:rPr>
        <w:t>material</w:t>
      </w:r>
      <w:proofErr w:type="spellEnd"/>
      <w:r w:rsidRPr="001E5EF9">
        <w:rPr>
          <w:sz w:val="24"/>
          <w:szCs w:val="24"/>
          <w:lang w:val="cs-CZ"/>
        </w:rPr>
        <w:t xml:space="preserve"> and </w:t>
      </w:r>
      <w:proofErr w:type="spellStart"/>
      <w:r w:rsidRPr="001E5EF9">
        <w:rPr>
          <w:sz w:val="24"/>
          <w:szCs w:val="24"/>
          <w:lang w:val="cs-CZ"/>
        </w:rPr>
        <w:t>social</w:t>
      </w:r>
      <w:proofErr w:type="spellEnd"/>
      <w:r w:rsidRPr="001E5EF9">
        <w:rPr>
          <w:sz w:val="24"/>
          <w:szCs w:val="24"/>
          <w:lang w:val="cs-CZ"/>
        </w:rPr>
        <w:t xml:space="preserve"> </w:t>
      </w:r>
      <w:proofErr w:type="spellStart"/>
      <w:r w:rsidRPr="001E5EF9">
        <w:rPr>
          <w:sz w:val="24"/>
          <w:szCs w:val="24"/>
          <w:lang w:val="cs-CZ"/>
        </w:rPr>
        <w:t>deprivation</w:t>
      </w:r>
      <w:proofErr w:type="spellEnd"/>
      <w:r w:rsidRPr="001E5EF9">
        <w:rPr>
          <w:sz w:val="24"/>
          <w:szCs w:val="24"/>
          <w:lang w:val="cs-CZ"/>
        </w:rPr>
        <w:t xml:space="preserve"> </w:t>
      </w:r>
      <w:proofErr w:type="spellStart"/>
      <w:r w:rsidRPr="001E5EF9">
        <w:rPr>
          <w:sz w:val="24"/>
          <w:szCs w:val="24"/>
          <w:lang w:val="cs-CZ"/>
        </w:rPr>
        <w:t>rate</w:t>
      </w:r>
      <w:proofErr w:type="spellEnd"/>
      <w:r w:rsidRPr="001E5EF9">
        <w:rPr>
          <w:sz w:val="24"/>
          <w:szCs w:val="24"/>
          <w:lang w:val="cs-CZ"/>
        </w:rPr>
        <w:t xml:space="preserve"> by </w:t>
      </w:r>
      <w:proofErr w:type="spellStart"/>
      <w:r w:rsidRPr="001E5EF9">
        <w:rPr>
          <w:sz w:val="24"/>
          <w:szCs w:val="24"/>
          <w:lang w:val="cs-CZ"/>
        </w:rPr>
        <w:t>age</w:t>
      </w:r>
      <w:proofErr w:type="spellEnd"/>
      <w:r w:rsidRPr="001E5EF9">
        <w:rPr>
          <w:sz w:val="24"/>
          <w:szCs w:val="24"/>
          <w:lang w:val="cs-CZ"/>
        </w:rPr>
        <w:t xml:space="preserve"> and sex“ (Míra závažné materiální a sociální deprivace podle věku a pohlaví), </w:t>
      </w:r>
      <w:proofErr w:type="spellStart"/>
      <w:r w:rsidRPr="001E5EF9">
        <w:rPr>
          <w:sz w:val="24"/>
          <w:szCs w:val="24"/>
          <w:lang w:val="cs-CZ"/>
        </w:rPr>
        <w:t>Eurostat</w:t>
      </w:r>
      <w:proofErr w:type="spellEnd"/>
      <w:r w:rsidRPr="001E5EF9">
        <w:rPr>
          <w:sz w:val="24"/>
          <w:szCs w:val="24"/>
          <w:lang w:val="cs-CZ"/>
        </w:rPr>
        <w:t xml:space="preserve"> data browser, 14.</w:t>
      </w:r>
      <w:r w:rsidR="00FD6644" w:rsidRPr="00FD6644">
        <w:rPr>
          <w:szCs w:val="24"/>
          <w:lang w:val="cs-CZ"/>
        </w:rPr>
        <w:t> </w:t>
      </w:r>
      <w:r w:rsidRPr="001E5EF9">
        <w:rPr>
          <w:sz w:val="24"/>
          <w:szCs w:val="24"/>
          <w:lang w:val="cs-CZ"/>
        </w:rPr>
        <w:t xml:space="preserve">listopadu 2025, zobrazeno 9. prosince 2025, </w:t>
      </w:r>
      <w:hyperlink r:id="rId19" w:history="1">
        <w:r w:rsidRPr="001E5EF9">
          <w:rPr>
            <w:rStyle w:val="Hyperlink"/>
            <w:sz w:val="24"/>
            <w:szCs w:val="24"/>
            <w:lang w:val="cs-CZ"/>
          </w:rPr>
          <w:t>https://ec.europa.eu/eurostat/databrowser/view/ilc_mdsd11/default/table?lang=en</w:t>
        </w:r>
      </w:hyperlink>
      <w:r w:rsidRPr="001E5EF9">
        <w:rPr>
          <w:sz w:val="24"/>
          <w:szCs w:val="24"/>
          <w:lang w:val="cs-CZ"/>
        </w:rPr>
        <w:t>.</w:t>
      </w:r>
    </w:p>
  </w:footnote>
  <w:footnote w:id="36">
    <w:p w14:paraId="069DAE64" w14:textId="5B643F25"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Eurostat</w:t>
      </w:r>
      <w:proofErr w:type="spellEnd"/>
      <w:r w:rsidRPr="001E5EF9">
        <w:rPr>
          <w:sz w:val="24"/>
          <w:szCs w:val="24"/>
          <w:lang w:val="cs-CZ"/>
        </w:rPr>
        <w:t>, „</w:t>
      </w:r>
      <w:proofErr w:type="spellStart"/>
      <w:r w:rsidRPr="001E5EF9">
        <w:rPr>
          <w:sz w:val="24"/>
          <w:szCs w:val="24"/>
          <w:lang w:val="cs-CZ"/>
        </w:rPr>
        <w:t>Persons</w:t>
      </w:r>
      <w:proofErr w:type="spellEnd"/>
      <w:r w:rsidRPr="001E5EF9">
        <w:rPr>
          <w:sz w:val="24"/>
          <w:szCs w:val="24"/>
          <w:lang w:val="cs-CZ"/>
        </w:rPr>
        <w:t xml:space="preserve"> </w:t>
      </w:r>
      <w:proofErr w:type="spellStart"/>
      <w:r w:rsidRPr="001E5EF9">
        <w:rPr>
          <w:sz w:val="24"/>
          <w:szCs w:val="24"/>
          <w:lang w:val="cs-CZ"/>
        </w:rPr>
        <w:t>at</w:t>
      </w:r>
      <w:proofErr w:type="spellEnd"/>
      <w:r w:rsidRPr="001E5EF9">
        <w:rPr>
          <w:sz w:val="24"/>
          <w:szCs w:val="24"/>
          <w:lang w:val="cs-CZ"/>
        </w:rPr>
        <w:t xml:space="preserve"> risk </w:t>
      </w:r>
      <w:proofErr w:type="spellStart"/>
      <w:r w:rsidRPr="001E5EF9">
        <w:rPr>
          <w:sz w:val="24"/>
          <w:szCs w:val="24"/>
          <w:lang w:val="cs-CZ"/>
        </w:rPr>
        <w:t>of</w:t>
      </w:r>
      <w:proofErr w:type="spellEnd"/>
      <w:r w:rsidRPr="001E5EF9">
        <w:rPr>
          <w:sz w:val="24"/>
          <w:szCs w:val="24"/>
          <w:lang w:val="cs-CZ"/>
        </w:rPr>
        <w:t xml:space="preserve"> </w:t>
      </w:r>
      <w:proofErr w:type="spellStart"/>
      <w:r w:rsidRPr="001E5EF9">
        <w:rPr>
          <w:sz w:val="24"/>
          <w:szCs w:val="24"/>
          <w:lang w:val="cs-CZ"/>
        </w:rPr>
        <w:t>poverty</w:t>
      </w:r>
      <w:proofErr w:type="spellEnd"/>
      <w:r w:rsidRPr="001E5EF9">
        <w:rPr>
          <w:sz w:val="24"/>
          <w:szCs w:val="24"/>
          <w:lang w:val="cs-CZ"/>
        </w:rPr>
        <w:t xml:space="preserve"> </w:t>
      </w:r>
      <w:proofErr w:type="spellStart"/>
      <w:r w:rsidRPr="001E5EF9">
        <w:rPr>
          <w:sz w:val="24"/>
          <w:szCs w:val="24"/>
          <w:lang w:val="cs-CZ"/>
        </w:rPr>
        <w:t>or</w:t>
      </w:r>
      <w:proofErr w:type="spellEnd"/>
      <w:r w:rsidRPr="001E5EF9">
        <w:rPr>
          <w:sz w:val="24"/>
          <w:szCs w:val="24"/>
          <w:lang w:val="cs-CZ"/>
        </w:rPr>
        <w:t xml:space="preserve"> </w:t>
      </w:r>
      <w:proofErr w:type="spellStart"/>
      <w:r w:rsidRPr="001E5EF9">
        <w:rPr>
          <w:sz w:val="24"/>
          <w:szCs w:val="24"/>
          <w:lang w:val="cs-CZ"/>
        </w:rPr>
        <w:t>social</w:t>
      </w:r>
      <w:proofErr w:type="spellEnd"/>
      <w:r w:rsidRPr="001E5EF9">
        <w:rPr>
          <w:sz w:val="24"/>
          <w:szCs w:val="24"/>
          <w:lang w:val="cs-CZ"/>
        </w:rPr>
        <w:t xml:space="preserve"> </w:t>
      </w:r>
      <w:proofErr w:type="spellStart"/>
      <w:r w:rsidRPr="001E5EF9">
        <w:rPr>
          <w:sz w:val="24"/>
          <w:szCs w:val="24"/>
          <w:lang w:val="cs-CZ"/>
        </w:rPr>
        <w:t>exclusion</w:t>
      </w:r>
      <w:proofErr w:type="spellEnd"/>
      <w:r w:rsidRPr="001E5EF9">
        <w:rPr>
          <w:sz w:val="24"/>
          <w:szCs w:val="24"/>
          <w:lang w:val="cs-CZ"/>
        </w:rPr>
        <w:t xml:space="preserve"> by </w:t>
      </w:r>
      <w:proofErr w:type="spellStart"/>
      <w:r w:rsidRPr="001E5EF9">
        <w:rPr>
          <w:sz w:val="24"/>
          <w:szCs w:val="24"/>
          <w:lang w:val="cs-CZ"/>
        </w:rPr>
        <w:t>age</w:t>
      </w:r>
      <w:proofErr w:type="spellEnd"/>
      <w:r w:rsidRPr="001E5EF9">
        <w:rPr>
          <w:sz w:val="24"/>
          <w:szCs w:val="24"/>
          <w:lang w:val="cs-CZ"/>
        </w:rPr>
        <w:t xml:space="preserve"> and sex“ (Osoby ohrožené chudobou nebo sociálním vyloučením podle věku a pohlaví), </w:t>
      </w:r>
      <w:proofErr w:type="spellStart"/>
      <w:r w:rsidRPr="001E5EF9">
        <w:rPr>
          <w:sz w:val="24"/>
          <w:szCs w:val="24"/>
          <w:lang w:val="cs-CZ"/>
        </w:rPr>
        <w:t>Eurostat</w:t>
      </w:r>
      <w:proofErr w:type="spellEnd"/>
      <w:r w:rsidRPr="001E5EF9">
        <w:rPr>
          <w:sz w:val="24"/>
          <w:szCs w:val="24"/>
          <w:lang w:val="cs-CZ"/>
        </w:rPr>
        <w:t xml:space="preserve"> data Browser, 14. listopadu 2025, zobrazeno 9. prosince 2025, </w:t>
      </w:r>
      <w:hyperlink r:id="rId20" w:history="1">
        <w:r w:rsidRPr="001E5EF9">
          <w:rPr>
            <w:rStyle w:val="Hyperlink"/>
            <w:sz w:val="24"/>
            <w:szCs w:val="24"/>
            <w:lang w:val="cs-CZ"/>
          </w:rPr>
          <w:t>https://ec.europa.eu/eurostat/databrowser/view/ilc_peps01n__custom_17280682/bookmark/table?lang=en&amp;bookmarkId=1136c1ef-3d9f-4fda-82fb-cf7423eac65e&amp;&amp;page=time:2024</w:t>
        </w:r>
      </w:hyperlink>
      <w:r w:rsidR="00E12202" w:rsidRPr="001E5EF9">
        <w:rPr>
          <w:sz w:val="24"/>
          <w:szCs w:val="24"/>
          <w:lang w:val="cs-CZ"/>
        </w:rPr>
        <w:t>.</w:t>
      </w:r>
    </w:p>
  </w:footnote>
  <w:footnote w:id="37">
    <w:p w14:paraId="6A37E580" w14:textId="656A5AD0"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Eurostat</w:t>
      </w:r>
      <w:proofErr w:type="spellEnd"/>
      <w:r w:rsidRPr="001E5EF9">
        <w:rPr>
          <w:sz w:val="24"/>
          <w:szCs w:val="24"/>
          <w:lang w:val="cs-CZ"/>
        </w:rPr>
        <w:t>, „</w:t>
      </w:r>
      <w:proofErr w:type="spellStart"/>
      <w:r w:rsidRPr="001E5EF9">
        <w:rPr>
          <w:sz w:val="24"/>
          <w:szCs w:val="24"/>
          <w:lang w:val="cs-CZ"/>
        </w:rPr>
        <w:t>Subjective</w:t>
      </w:r>
      <w:proofErr w:type="spellEnd"/>
      <w:r w:rsidRPr="001E5EF9">
        <w:rPr>
          <w:sz w:val="24"/>
          <w:szCs w:val="24"/>
          <w:lang w:val="cs-CZ"/>
        </w:rPr>
        <w:t xml:space="preserve"> </w:t>
      </w:r>
      <w:proofErr w:type="spellStart"/>
      <w:r w:rsidRPr="001E5EF9">
        <w:rPr>
          <w:sz w:val="24"/>
          <w:szCs w:val="24"/>
          <w:lang w:val="cs-CZ"/>
        </w:rPr>
        <w:t>poverty</w:t>
      </w:r>
      <w:proofErr w:type="spellEnd"/>
      <w:r w:rsidRPr="001E5EF9">
        <w:rPr>
          <w:sz w:val="24"/>
          <w:szCs w:val="24"/>
          <w:lang w:val="cs-CZ"/>
        </w:rPr>
        <w:t xml:space="preserve"> by </w:t>
      </w:r>
      <w:proofErr w:type="spellStart"/>
      <w:r w:rsidRPr="001E5EF9">
        <w:rPr>
          <w:sz w:val="24"/>
          <w:szCs w:val="24"/>
          <w:lang w:val="cs-CZ"/>
        </w:rPr>
        <w:t>age</w:t>
      </w:r>
      <w:proofErr w:type="spellEnd"/>
      <w:r w:rsidRPr="001E5EF9">
        <w:rPr>
          <w:sz w:val="24"/>
          <w:szCs w:val="24"/>
          <w:lang w:val="cs-CZ"/>
        </w:rPr>
        <w:t xml:space="preserve"> and sex“ (Subjektivní chudoba podle věku a pohlaví), </w:t>
      </w:r>
      <w:proofErr w:type="spellStart"/>
      <w:r w:rsidRPr="001E5EF9">
        <w:rPr>
          <w:sz w:val="24"/>
          <w:szCs w:val="24"/>
          <w:lang w:val="cs-CZ"/>
        </w:rPr>
        <w:t>Eurostat</w:t>
      </w:r>
      <w:proofErr w:type="spellEnd"/>
      <w:r w:rsidRPr="001E5EF9">
        <w:rPr>
          <w:sz w:val="24"/>
          <w:szCs w:val="24"/>
          <w:lang w:val="cs-CZ"/>
        </w:rPr>
        <w:t xml:space="preserve"> data browser, 14. listopadu 2025, zobrazeno 9. prosince 2025, </w:t>
      </w:r>
      <w:hyperlink r:id="rId21" w:history="1">
        <w:r w:rsidRPr="001E5EF9">
          <w:rPr>
            <w:rStyle w:val="Hyperlink"/>
            <w:sz w:val="24"/>
            <w:szCs w:val="24"/>
            <w:lang w:val="cs-CZ"/>
          </w:rPr>
          <w:t>https://ec.europa.eu/eurostat/databrowser/view/ilc_sbjp01__custom_17284289/bookmark/table?lang=en&amp;&amp;bookmarkId=7d0decb7-866a-4494-b901-58a61bebd575&amp;&amp;page=time:2024</w:t>
        </w:r>
      </w:hyperlink>
      <w:r w:rsidRPr="001E5EF9">
        <w:rPr>
          <w:sz w:val="24"/>
          <w:szCs w:val="24"/>
          <w:lang w:val="cs-CZ"/>
        </w:rPr>
        <w:t>.</w:t>
      </w:r>
    </w:p>
  </w:footnote>
  <w:footnote w:id="38">
    <w:p w14:paraId="7D6C6206" w14:textId="21F89ED4"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Eurostat</w:t>
      </w:r>
      <w:proofErr w:type="spellEnd"/>
      <w:r w:rsidRPr="001E5EF9">
        <w:rPr>
          <w:sz w:val="24"/>
          <w:szCs w:val="24"/>
          <w:lang w:val="cs-CZ"/>
        </w:rPr>
        <w:t>, „</w:t>
      </w:r>
      <w:proofErr w:type="spellStart"/>
      <w:r w:rsidRPr="001E5EF9">
        <w:rPr>
          <w:sz w:val="24"/>
          <w:szCs w:val="24"/>
          <w:lang w:val="cs-CZ"/>
        </w:rPr>
        <w:t>Persons</w:t>
      </w:r>
      <w:proofErr w:type="spellEnd"/>
      <w:r w:rsidRPr="001E5EF9">
        <w:rPr>
          <w:sz w:val="24"/>
          <w:szCs w:val="24"/>
          <w:lang w:val="cs-CZ"/>
        </w:rPr>
        <w:t xml:space="preserve"> </w:t>
      </w:r>
      <w:proofErr w:type="spellStart"/>
      <w:r w:rsidRPr="001E5EF9">
        <w:rPr>
          <w:sz w:val="24"/>
          <w:szCs w:val="24"/>
          <w:lang w:val="cs-CZ"/>
        </w:rPr>
        <w:t>at</w:t>
      </w:r>
      <w:proofErr w:type="spellEnd"/>
      <w:r w:rsidRPr="001E5EF9">
        <w:rPr>
          <w:sz w:val="24"/>
          <w:szCs w:val="24"/>
          <w:lang w:val="cs-CZ"/>
        </w:rPr>
        <w:t xml:space="preserve"> risk </w:t>
      </w:r>
      <w:proofErr w:type="spellStart"/>
      <w:r w:rsidRPr="001E5EF9">
        <w:rPr>
          <w:sz w:val="24"/>
          <w:szCs w:val="24"/>
          <w:lang w:val="cs-CZ"/>
        </w:rPr>
        <w:t>of</w:t>
      </w:r>
      <w:proofErr w:type="spellEnd"/>
      <w:r w:rsidRPr="001E5EF9">
        <w:rPr>
          <w:sz w:val="24"/>
          <w:szCs w:val="24"/>
          <w:lang w:val="cs-CZ"/>
        </w:rPr>
        <w:t xml:space="preserve"> </w:t>
      </w:r>
      <w:proofErr w:type="spellStart"/>
      <w:r w:rsidRPr="001E5EF9">
        <w:rPr>
          <w:sz w:val="24"/>
          <w:szCs w:val="24"/>
          <w:lang w:val="cs-CZ"/>
        </w:rPr>
        <w:t>poverty</w:t>
      </w:r>
      <w:proofErr w:type="spellEnd"/>
      <w:r w:rsidRPr="001E5EF9">
        <w:rPr>
          <w:sz w:val="24"/>
          <w:szCs w:val="24"/>
          <w:lang w:val="cs-CZ"/>
        </w:rPr>
        <w:t xml:space="preserve"> </w:t>
      </w:r>
      <w:proofErr w:type="spellStart"/>
      <w:r w:rsidRPr="001E5EF9">
        <w:rPr>
          <w:sz w:val="24"/>
          <w:szCs w:val="24"/>
          <w:lang w:val="cs-CZ"/>
        </w:rPr>
        <w:t>or</w:t>
      </w:r>
      <w:proofErr w:type="spellEnd"/>
      <w:r w:rsidRPr="001E5EF9">
        <w:rPr>
          <w:sz w:val="24"/>
          <w:szCs w:val="24"/>
          <w:lang w:val="cs-CZ"/>
        </w:rPr>
        <w:t xml:space="preserve"> </w:t>
      </w:r>
      <w:proofErr w:type="spellStart"/>
      <w:r w:rsidRPr="001E5EF9">
        <w:rPr>
          <w:sz w:val="24"/>
          <w:szCs w:val="24"/>
          <w:lang w:val="cs-CZ"/>
        </w:rPr>
        <w:t>social</w:t>
      </w:r>
      <w:proofErr w:type="spellEnd"/>
      <w:r w:rsidRPr="001E5EF9">
        <w:rPr>
          <w:sz w:val="24"/>
          <w:szCs w:val="24"/>
          <w:lang w:val="cs-CZ"/>
        </w:rPr>
        <w:t xml:space="preserve"> </w:t>
      </w:r>
      <w:proofErr w:type="spellStart"/>
      <w:r w:rsidRPr="001E5EF9">
        <w:rPr>
          <w:sz w:val="24"/>
          <w:szCs w:val="24"/>
          <w:lang w:val="cs-CZ"/>
        </w:rPr>
        <w:t>exclusion</w:t>
      </w:r>
      <w:proofErr w:type="spellEnd"/>
      <w:r w:rsidRPr="001E5EF9">
        <w:rPr>
          <w:sz w:val="24"/>
          <w:szCs w:val="24"/>
          <w:lang w:val="cs-CZ"/>
        </w:rPr>
        <w:t xml:space="preserve"> by </w:t>
      </w:r>
      <w:proofErr w:type="spellStart"/>
      <w:r w:rsidRPr="001E5EF9">
        <w:rPr>
          <w:sz w:val="24"/>
          <w:szCs w:val="24"/>
          <w:lang w:val="cs-CZ"/>
        </w:rPr>
        <w:t>age</w:t>
      </w:r>
      <w:proofErr w:type="spellEnd"/>
      <w:r w:rsidRPr="001E5EF9">
        <w:rPr>
          <w:sz w:val="24"/>
          <w:szCs w:val="24"/>
          <w:lang w:val="cs-CZ"/>
        </w:rPr>
        <w:t xml:space="preserve"> and sex“ (Osoby ohrožené chudobou nebo sociálním vyloučením podle věku a pohlaví), </w:t>
      </w:r>
      <w:proofErr w:type="spellStart"/>
      <w:r w:rsidRPr="001E5EF9">
        <w:rPr>
          <w:sz w:val="24"/>
          <w:szCs w:val="24"/>
          <w:lang w:val="cs-CZ"/>
        </w:rPr>
        <w:t>Eurostat</w:t>
      </w:r>
      <w:proofErr w:type="spellEnd"/>
      <w:r w:rsidRPr="001E5EF9">
        <w:rPr>
          <w:sz w:val="24"/>
          <w:szCs w:val="24"/>
          <w:lang w:val="cs-CZ"/>
        </w:rPr>
        <w:t xml:space="preserve"> data Browser, 14. listopadu 2025, zobrazeno 9. prosince 2025, </w:t>
      </w:r>
      <w:hyperlink r:id="rId22" w:history="1">
        <w:r w:rsidRPr="001E5EF9">
          <w:rPr>
            <w:rStyle w:val="Hyperlink"/>
            <w:sz w:val="24"/>
            <w:szCs w:val="24"/>
            <w:lang w:val="cs-CZ"/>
          </w:rPr>
          <w:t>https://ec.europa.eu/eurostat/databrowser/view/ilc_peps01n__custom_17280682/bookmark/table?lang=en&amp;bookmarkId=1136c1ef-3d9f-4fda-82fb-cf7423eac65e&amp;&amp;page=time:2024</w:t>
        </w:r>
      </w:hyperlink>
      <w:r w:rsidR="00EF2961" w:rsidRPr="001E5EF9">
        <w:rPr>
          <w:sz w:val="24"/>
          <w:szCs w:val="24"/>
          <w:lang w:val="cs-CZ"/>
        </w:rPr>
        <w:t>.</w:t>
      </w:r>
    </w:p>
  </w:footnote>
  <w:footnote w:id="39">
    <w:p w14:paraId="41F96A0E" w14:textId="00D4F951" w:rsidR="002C52D3" w:rsidRPr="001E5EF9" w:rsidRDefault="002C52D3" w:rsidP="003E1F3A">
      <w:pPr>
        <w:pStyle w:val="FootnoteText"/>
        <w:ind w:left="567" w:hanging="567"/>
        <w:rPr>
          <w:bCs/>
          <w:iCs/>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Evropský institut pro rovnost žen a mužů, </w:t>
      </w:r>
      <w:proofErr w:type="spellStart"/>
      <w:r w:rsidRPr="001E5EF9">
        <w:rPr>
          <w:i/>
          <w:sz w:val="24"/>
          <w:szCs w:val="24"/>
          <w:lang w:val="cs-CZ"/>
        </w:rPr>
        <w:t>Financial</w:t>
      </w:r>
      <w:proofErr w:type="spellEnd"/>
      <w:r w:rsidRPr="001E5EF9">
        <w:rPr>
          <w:i/>
          <w:sz w:val="24"/>
          <w:szCs w:val="24"/>
          <w:lang w:val="cs-CZ"/>
        </w:rPr>
        <w:t xml:space="preserve"> </w:t>
      </w:r>
      <w:proofErr w:type="spellStart"/>
      <w:r w:rsidRPr="001E5EF9">
        <w:rPr>
          <w:i/>
          <w:sz w:val="24"/>
          <w:szCs w:val="24"/>
          <w:lang w:val="cs-CZ"/>
        </w:rPr>
        <w:t>independence</w:t>
      </w:r>
      <w:proofErr w:type="spellEnd"/>
      <w:r w:rsidRPr="001E5EF9">
        <w:rPr>
          <w:i/>
          <w:sz w:val="24"/>
          <w:szCs w:val="24"/>
          <w:lang w:val="cs-CZ"/>
        </w:rPr>
        <w:t xml:space="preserve"> and gender </w:t>
      </w:r>
      <w:proofErr w:type="spellStart"/>
      <w:r w:rsidRPr="001E5EF9">
        <w:rPr>
          <w:i/>
          <w:sz w:val="24"/>
          <w:szCs w:val="24"/>
          <w:lang w:val="cs-CZ"/>
        </w:rPr>
        <w:t>equality</w:t>
      </w:r>
      <w:proofErr w:type="spellEnd"/>
      <w:r w:rsidRPr="001E5EF9">
        <w:rPr>
          <w:i/>
          <w:sz w:val="24"/>
          <w:szCs w:val="24"/>
          <w:lang w:val="cs-CZ"/>
        </w:rPr>
        <w:t xml:space="preserve">: </w:t>
      </w:r>
      <w:proofErr w:type="spellStart"/>
      <w:r w:rsidRPr="001E5EF9">
        <w:rPr>
          <w:i/>
          <w:sz w:val="24"/>
          <w:szCs w:val="24"/>
          <w:lang w:val="cs-CZ"/>
        </w:rPr>
        <w:t>Joining</w:t>
      </w:r>
      <w:proofErr w:type="spellEnd"/>
      <w:r w:rsidRPr="001E5EF9">
        <w:rPr>
          <w:i/>
          <w:sz w:val="24"/>
          <w:szCs w:val="24"/>
          <w:lang w:val="cs-CZ"/>
        </w:rPr>
        <w:t xml:space="preserve"> </w:t>
      </w:r>
      <w:proofErr w:type="spellStart"/>
      <w:r w:rsidRPr="001E5EF9">
        <w:rPr>
          <w:i/>
          <w:sz w:val="24"/>
          <w:szCs w:val="24"/>
          <w:lang w:val="cs-CZ"/>
        </w:rPr>
        <w:t>the</w:t>
      </w:r>
      <w:proofErr w:type="spellEnd"/>
      <w:r w:rsidRPr="001E5EF9">
        <w:rPr>
          <w:i/>
          <w:sz w:val="24"/>
          <w:szCs w:val="24"/>
          <w:lang w:val="cs-CZ"/>
        </w:rPr>
        <w:t xml:space="preserve"> </w:t>
      </w:r>
      <w:proofErr w:type="spellStart"/>
      <w:r w:rsidRPr="001E5EF9">
        <w:rPr>
          <w:i/>
          <w:sz w:val="24"/>
          <w:szCs w:val="24"/>
          <w:lang w:val="cs-CZ"/>
        </w:rPr>
        <w:t>dots</w:t>
      </w:r>
      <w:proofErr w:type="spellEnd"/>
      <w:r w:rsidRPr="001E5EF9">
        <w:rPr>
          <w:i/>
          <w:sz w:val="24"/>
          <w:szCs w:val="24"/>
          <w:lang w:val="cs-CZ"/>
        </w:rPr>
        <w:t xml:space="preserve"> </w:t>
      </w:r>
      <w:proofErr w:type="spellStart"/>
      <w:r w:rsidRPr="001E5EF9">
        <w:rPr>
          <w:i/>
          <w:sz w:val="24"/>
          <w:szCs w:val="24"/>
          <w:lang w:val="cs-CZ"/>
        </w:rPr>
        <w:t>between</w:t>
      </w:r>
      <w:proofErr w:type="spellEnd"/>
      <w:r w:rsidRPr="001E5EF9">
        <w:rPr>
          <w:i/>
          <w:sz w:val="24"/>
          <w:szCs w:val="24"/>
          <w:lang w:val="cs-CZ"/>
        </w:rPr>
        <w:t xml:space="preserve"> </w:t>
      </w:r>
      <w:proofErr w:type="spellStart"/>
      <w:r w:rsidRPr="001E5EF9">
        <w:rPr>
          <w:i/>
          <w:sz w:val="24"/>
          <w:szCs w:val="24"/>
          <w:lang w:val="cs-CZ"/>
        </w:rPr>
        <w:t>income</w:t>
      </w:r>
      <w:proofErr w:type="spellEnd"/>
      <w:r w:rsidRPr="001E5EF9">
        <w:rPr>
          <w:i/>
          <w:sz w:val="24"/>
          <w:szCs w:val="24"/>
          <w:lang w:val="cs-CZ"/>
        </w:rPr>
        <w:t xml:space="preserve">, </w:t>
      </w:r>
      <w:proofErr w:type="spellStart"/>
      <w:r w:rsidRPr="001E5EF9">
        <w:rPr>
          <w:i/>
          <w:sz w:val="24"/>
          <w:szCs w:val="24"/>
          <w:lang w:val="cs-CZ"/>
        </w:rPr>
        <w:t>wealth</w:t>
      </w:r>
      <w:proofErr w:type="spellEnd"/>
      <w:r w:rsidRPr="001E5EF9">
        <w:rPr>
          <w:i/>
          <w:sz w:val="24"/>
          <w:szCs w:val="24"/>
          <w:lang w:val="cs-CZ"/>
        </w:rPr>
        <w:t xml:space="preserve">, and </w:t>
      </w:r>
      <w:proofErr w:type="spellStart"/>
      <w:r w:rsidRPr="001E5EF9">
        <w:rPr>
          <w:i/>
          <w:sz w:val="24"/>
          <w:szCs w:val="24"/>
          <w:lang w:val="cs-CZ"/>
        </w:rPr>
        <w:t>power</w:t>
      </w:r>
      <w:proofErr w:type="spellEnd"/>
      <w:r w:rsidRPr="001E5EF9">
        <w:rPr>
          <w:sz w:val="24"/>
          <w:szCs w:val="24"/>
          <w:lang w:val="cs-CZ"/>
        </w:rPr>
        <w:t xml:space="preserve"> (Finanční nezávislost a rovnost žen a mužů: Propojení souvislostí mezi příjmy, bohatstvím a mocí), Úřad pro publikace Evropské unie, Lucemburk, 2024, </w:t>
      </w:r>
      <w:hyperlink r:id="rId23" w:history="1">
        <w:r w:rsidRPr="001E5EF9">
          <w:rPr>
            <w:rStyle w:val="Hyperlink"/>
            <w:sz w:val="24"/>
            <w:szCs w:val="24"/>
            <w:lang w:val="cs-CZ"/>
          </w:rPr>
          <w:t>https://eige.europa.eu/sites/default/files/documents/financial-independence-and-gender-equality.pdf</w:t>
        </w:r>
      </w:hyperlink>
      <w:r w:rsidRPr="001E5EF9">
        <w:rPr>
          <w:sz w:val="24"/>
          <w:szCs w:val="24"/>
          <w:lang w:val="cs-CZ"/>
        </w:rPr>
        <w:t>.</w:t>
      </w:r>
    </w:p>
  </w:footnote>
  <w:footnote w:id="40">
    <w:p w14:paraId="186667E4" w14:textId="4D956820" w:rsidR="002C52D3" w:rsidRPr="001E5EF9" w:rsidRDefault="002C52D3" w:rsidP="003E1F3A">
      <w:pPr>
        <w:pStyle w:val="FootnoteText"/>
        <w:ind w:left="567" w:hanging="567"/>
        <w:rPr>
          <w:sz w:val="24"/>
          <w:szCs w:val="24"/>
          <w:lang w:val="cs-CZ"/>
        </w:rPr>
      </w:pPr>
      <w:r w:rsidRPr="001E5EF9">
        <w:rPr>
          <w:rStyle w:val="FootnoteReference"/>
          <w:bCs/>
          <w:iCs/>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Evropský institut pro rovnost žen a mužů, „Gender-</w:t>
      </w:r>
      <w:proofErr w:type="spellStart"/>
      <w:r w:rsidRPr="001E5EF9">
        <w:rPr>
          <w:sz w:val="24"/>
          <w:szCs w:val="24"/>
          <w:lang w:val="cs-CZ"/>
        </w:rPr>
        <w:t>based</w:t>
      </w:r>
      <w:proofErr w:type="spellEnd"/>
      <w:r w:rsidRPr="001E5EF9">
        <w:rPr>
          <w:sz w:val="24"/>
          <w:szCs w:val="24"/>
          <w:lang w:val="cs-CZ"/>
        </w:rPr>
        <w:t xml:space="preserve"> </w:t>
      </w:r>
      <w:proofErr w:type="spellStart"/>
      <w:r w:rsidRPr="001E5EF9">
        <w:rPr>
          <w:sz w:val="24"/>
          <w:szCs w:val="24"/>
          <w:lang w:val="cs-CZ"/>
        </w:rPr>
        <w:t>violence</w:t>
      </w:r>
      <w:proofErr w:type="spellEnd"/>
      <w:r w:rsidRPr="001E5EF9">
        <w:rPr>
          <w:sz w:val="24"/>
          <w:szCs w:val="24"/>
          <w:lang w:val="cs-CZ"/>
        </w:rPr>
        <w:t xml:space="preserve"> </w:t>
      </w:r>
      <w:proofErr w:type="spellStart"/>
      <w:r w:rsidRPr="001E5EF9">
        <w:rPr>
          <w:sz w:val="24"/>
          <w:szCs w:val="24"/>
          <w:lang w:val="cs-CZ"/>
        </w:rPr>
        <w:t>survey</w:t>
      </w:r>
      <w:proofErr w:type="spellEnd"/>
      <w:r w:rsidRPr="001E5EF9">
        <w:rPr>
          <w:sz w:val="24"/>
          <w:szCs w:val="24"/>
          <w:lang w:val="cs-CZ"/>
        </w:rPr>
        <w:t xml:space="preserve">“ (Průzkum genderově podmíněného násilí), </w:t>
      </w:r>
      <w:hyperlink r:id="rId24" w:history="1">
        <w:r w:rsidRPr="001E5EF9">
          <w:rPr>
            <w:rStyle w:val="Hyperlink"/>
            <w:sz w:val="24"/>
            <w:szCs w:val="24"/>
            <w:lang w:val="cs-CZ"/>
          </w:rPr>
          <w:t>https://eige.europa.eu/newsroom/eu-gender-based-violence-survey?language_content_entity=en</w:t>
        </w:r>
      </w:hyperlink>
      <w:r w:rsidRPr="001E5EF9">
        <w:rPr>
          <w:sz w:val="24"/>
          <w:szCs w:val="24"/>
          <w:lang w:val="cs-CZ"/>
        </w:rPr>
        <w:t>.</w:t>
      </w:r>
    </w:p>
  </w:footnote>
  <w:footnote w:id="41">
    <w:p w14:paraId="2BAC5046" w14:textId="5EA1E76E"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Evropské fórum zdravotně postižených, „</w:t>
      </w:r>
      <w:r w:rsidRPr="001E5EF9">
        <w:rPr>
          <w:i/>
          <w:sz w:val="24"/>
          <w:szCs w:val="24"/>
          <w:lang w:val="cs-CZ"/>
        </w:rPr>
        <w:t xml:space="preserve">EDF 7th </w:t>
      </w:r>
      <w:proofErr w:type="spellStart"/>
      <w:r w:rsidRPr="001E5EF9">
        <w:rPr>
          <w:i/>
          <w:sz w:val="24"/>
          <w:szCs w:val="24"/>
          <w:lang w:val="cs-CZ"/>
        </w:rPr>
        <w:t>Human</w:t>
      </w:r>
      <w:proofErr w:type="spellEnd"/>
      <w:r w:rsidRPr="001E5EF9">
        <w:rPr>
          <w:i/>
          <w:sz w:val="24"/>
          <w:szCs w:val="24"/>
          <w:lang w:val="cs-CZ"/>
        </w:rPr>
        <w:t xml:space="preserve"> </w:t>
      </w:r>
      <w:proofErr w:type="spellStart"/>
      <w:r w:rsidRPr="001E5EF9">
        <w:rPr>
          <w:i/>
          <w:sz w:val="24"/>
          <w:szCs w:val="24"/>
          <w:lang w:val="cs-CZ"/>
        </w:rPr>
        <w:t>Rights</w:t>
      </w:r>
      <w:proofErr w:type="spellEnd"/>
      <w:r w:rsidRPr="001E5EF9">
        <w:rPr>
          <w:i/>
          <w:sz w:val="24"/>
          <w:szCs w:val="24"/>
          <w:lang w:val="cs-CZ"/>
        </w:rPr>
        <w:t xml:space="preserve"> Report. </w:t>
      </w:r>
      <w:proofErr w:type="spellStart"/>
      <w:r w:rsidRPr="001E5EF9">
        <w:rPr>
          <w:i/>
          <w:sz w:val="24"/>
          <w:szCs w:val="24"/>
          <w:lang w:val="cs-CZ"/>
        </w:rPr>
        <w:t>The</w:t>
      </w:r>
      <w:proofErr w:type="spellEnd"/>
      <w:r w:rsidRPr="001E5EF9">
        <w:rPr>
          <w:i/>
          <w:sz w:val="24"/>
          <w:szCs w:val="24"/>
          <w:lang w:val="cs-CZ"/>
        </w:rPr>
        <w:t xml:space="preserve"> </w:t>
      </w:r>
      <w:proofErr w:type="spellStart"/>
      <w:r w:rsidRPr="001E5EF9">
        <w:rPr>
          <w:i/>
          <w:sz w:val="24"/>
          <w:szCs w:val="24"/>
          <w:lang w:val="cs-CZ"/>
        </w:rPr>
        <w:t>Right</w:t>
      </w:r>
      <w:proofErr w:type="spellEnd"/>
      <w:r w:rsidRPr="001E5EF9">
        <w:rPr>
          <w:i/>
          <w:sz w:val="24"/>
          <w:szCs w:val="24"/>
          <w:lang w:val="cs-CZ"/>
        </w:rPr>
        <w:t xml:space="preserve"> to </w:t>
      </w:r>
      <w:proofErr w:type="spellStart"/>
      <w:r w:rsidRPr="001E5EF9">
        <w:rPr>
          <w:i/>
          <w:sz w:val="24"/>
          <w:szCs w:val="24"/>
          <w:lang w:val="cs-CZ"/>
        </w:rPr>
        <w:t>work</w:t>
      </w:r>
      <w:proofErr w:type="spellEnd"/>
      <w:r w:rsidRPr="001E5EF9">
        <w:rPr>
          <w:i/>
          <w:sz w:val="24"/>
          <w:szCs w:val="24"/>
          <w:lang w:val="cs-CZ"/>
        </w:rPr>
        <w:t xml:space="preserve">: </w:t>
      </w:r>
      <w:proofErr w:type="spellStart"/>
      <w:r w:rsidRPr="001E5EF9">
        <w:rPr>
          <w:i/>
          <w:sz w:val="24"/>
          <w:szCs w:val="24"/>
          <w:lang w:val="cs-CZ"/>
        </w:rPr>
        <w:t>The</w:t>
      </w:r>
      <w:proofErr w:type="spellEnd"/>
      <w:r w:rsidRPr="001E5EF9">
        <w:rPr>
          <w:i/>
          <w:sz w:val="24"/>
          <w:szCs w:val="24"/>
          <w:lang w:val="cs-CZ"/>
        </w:rPr>
        <w:t xml:space="preserve"> </w:t>
      </w:r>
      <w:proofErr w:type="spellStart"/>
      <w:r w:rsidRPr="001E5EF9">
        <w:rPr>
          <w:i/>
          <w:sz w:val="24"/>
          <w:szCs w:val="24"/>
          <w:lang w:val="cs-CZ"/>
        </w:rPr>
        <w:t>employment</w:t>
      </w:r>
      <w:proofErr w:type="spellEnd"/>
      <w:r w:rsidRPr="001E5EF9">
        <w:rPr>
          <w:i/>
          <w:sz w:val="24"/>
          <w:szCs w:val="24"/>
          <w:lang w:val="cs-CZ"/>
        </w:rPr>
        <w:t xml:space="preserve"> </w:t>
      </w:r>
      <w:proofErr w:type="spellStart"/>
      <w:r w:rsidRPr="001E5EF9">
        <w:rPr>
          <w:i/>
          <w:sz w:val="24"/>
          <w:szCs w:val="24"/>
          <w:lang w:val="cs-CZ"/>
        </w:rPr>
        <w:t>situation</w:t>
      </w:r>
      <w:proofErr w:type="spellEnd"/>
      <w:r w:rsidRPr="001E5EF9">
        <w:rPr>
          <w:i/>
          <w:sz w:val="24"/>
          <w:szCs w:val="24"/>
          <w:lang w:val="cs-CZ"/>
        </w:rPr>
        <w:t xml:space="preserve"> </w:t>
      </w:r>
      <w:proofErr w:type="spellStart"/>
      <w:r w:rsidRPr="001E5EF9">
        <w:rPr>
          <w:i/>
          <w:sz w:val="24"/>
          <w:szCs w:val="24"/>
          <w:lang w:val="cs-CZ"/>
        </w:rPr>
        <w:t>of</w:t>
      </w:r>
      <w:proofErr w:type="spellEnd"/>
      <w:r w:rsidRPr="001E5EF9">
        <w:rPr>
          <w:i/>
          <w:sz w:val="24"/>
          <w:szCs w:val="24"/>
          <w:lang w:val="cs-CZ"/>
        </w:rPr>
        <w:t xml:space="preserve"> </w:t>
      </w:r>
      <w:proofErr w:type="spellStart"/>
      <w:r w:rsidRPr="001E5EF9">
        <w:rPr>
          <w:i/>
          <w:sz w:val="24"/>
          <w:szCs w:val="24"/>
          <w:lang w:val="cs-CZ"/>
        </w:rPr>
        <w:t>persons</w:t>
      </w:r>
      <w:proofErr w:type="spellEnd"/>
      <w:r w:rsidRPr="001E5EF9">
        <w:rPr>
          <w:i/>
          <w:sz w:val="24"/>
          <w:szCs w:val="24"/>
          <w:lang w:val="cs-CZ"/>
        </w:rPr>
        <w:t xml:space="preserve"> </w:t>
      </w:r>
      <w:proofErr w:type="spellStart"/>
      <w:r w:rsidRPr="001E5EF9">
        <w:rPr>
          <w:i/>
          <w:sz w:val="24"/>
          <w:szCs w:val="24"/>
          <w:lang w:val="cs-CZ"/>
        </w:rPr>
        <w:t>with</w:t>
      </w:r>
      <w:proofErr w:type="spellEnd"/>
      <w:r w:rsidRPr="001E5EF9">
        <w:rPr>
          <w:i/>
          <w:sz w:val="24"/>
          <w:szCs w:val="24"/>
          <w:lang w:val="cs-CZ"/>
        </w:rPr>
        <w:t xml:space="preserve"> </w:t>
      </w:r>
      <w:proofErr w:type="spellStart"/>
      <w:r w:rsidRPr="001E5EF9">
        <w:rPr>
          <w:i/>
          <w:sz w:val="24"/>
          <w:szCs w:val="24"/>
          <w:lang w:val="cs-CZ"/>
        </w:rPr>
        <w:t>disabilities</w:t>
      </w:r>
      <w:proofErr w:type="spellEnd"/>
      <w:r w:rsidRPr="001E5EF9">
        <w:rPr>
          <w:i/>
          <w:sz w:val="24"/>
          <w:szCs w:val="24"/>
          <w:lang w:val="cs-CZ"/>
        </w:rPr>
        <w:t xml:space="preserve"> in </w:t>
      </w:r>
      <w:proofErr w:type="spellStart"/>
      <w:r w:rsidRPr="001E5EF9">
        <w:rPr>
          <w:i/>
          <w:sz w:val="24"/>
          <w:szCs w:val="24"/>
          <w:lang w:val="cs-CZ"/>
        </w:rPr>
        <w:t>Europe</w:t>
      </w:r>
      <w:proofErr w:type="spellEnd"/>
      <w:r w:rsidRPr="001E5EF9">
        <w:rPr>
          <w:sz w:val="24"/>
          <w:szCs w:val="24"/>
          <w:lang w:val="cs-CZ"/>
        </w:rPr>
        <w:t xml:space="preserve">“ (Sedmá zpráva ERF o lidských právech. Právo na práci: Zaměstnanost osob se zdravotním postižením v Evropě), 2023, </w:t>
      </w:r>
      <w:hyperlink r:id="rId25" w:history="1">
        <w:r w:rsidRPr="001E5EF9">
          <w:rPr>
            <w:rStyle w:val="Hyperlink"/>
            <w:sz w:val="24"/>
            <w:szCs w:val="24"/>
            <w:lang w:val="cs-CZ"/>
          </w:rPr>
          <w:t>https://www.edf-feph.org/publications/human-rights-report-2023-the-right-to-work/</w:t>
        </w:r>
      </w:hyperlink>
      <w:r w:rsidRPr="001E5EF9">
        <w:rPr>
          <w:sz w:val="24"/>
          <w:szCs w:val="24"/>
          <w:lang w:val="cs-CZ"/>
        </w:rPr>
        <w:t>.</w:t>
      </w:r>
    </w:p>
  </w:footnote>
  <w:footnote w:id="42">
    <w:p w14:paraId="0C905AFC" w14:textId="7DC74262"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Agentura Evropské unie pro základní práva, </w:t>
      </w:r>
      <w:r w:rsidRPr="001E5EF9">
        <w:rPr>
          <w:i/>
          <w:iCs/>
          <w:sz w:val="24"/>
          <w:szCs w:val="24"/>
          <w:lang w:val="cs-CZ"/>
        </w:rPr>
        <w:t xml:space="preserve">Roma </w:t>
      </w:r>
      <w:proofErr w:type="spellStart"/>
      <w:r w:rsidRPr="001E5EF9">
        <w:rPr>
          <w:i/>
          <w:iCs/>
          <w:sz w:val="24"/>
          <w:szCs w:val="24"/>
          <w:lang w:val="cs-CZ"/>
        </w:rPr>
        <w:t>Survey</w:t>
      </w:r>
      <w:proofErr w:type="spellEnd"/>
      <w:r w:rsidRPr="001E5EF9">
        <w:rPr>
          <w:i/>
          <w:iCs/>
          <w:sz w:val="24"/>
          <w:szCs w:val="24"/>
          <w:lang w:val="cs-CZ"/>
        </w:rPr>
        <w:t xml:space="preserve"> – Data in </w:t>
      </w:r>
      <w:proofErr w:type="spellStart"/>
      <w:r w:rsidRPr="001E5EF9">
        <w:rPr>
          <w:i/>
          <w:iCs/>
          <w:sz w:val="24"/>
          <w:szCs w:val="24"/>
          <w:lang w:val="cs-CZ"/>
        </w:rPr>
        <w:t>focus</w:t>
      </w:r>
      <w:proofErr w:type="spellEnd"/>
      <w:r w:rsidRPr="001E5EF9">
        <w:rPr>
          <w:i/>
          <w:iCs/>
          <w:sz w:val="24"/>
          <w:szCs w:val="24"/>
          <w:lang w:val="cs-CZ"/>
        </w:rPr>
        <w:t xml:space="preserve">: </w:t>
      </w:r>
      <w:proofErr w:type="spellStart"/>
      <w:r w:rsidRPr="001E5EF9">
        <w:rPr>
          <w:i/>
          <w:iCs/>
          <w:sz w:val="24"/>
          <w:szCs w:val="24"/>
          <w:lang w:val="cs-CZ"/>
        </w:rPr>
        <w:t>Discrimination</w:t>
      </w:r>
      <w:proofErr w:type="spellEnd"/>
      <w:r w:rsidRPr="001E5EF9">
        <w:rPr>
          <w:i/>
          <w:iCs/>
          <w:sz w:val="24"/>
          <w:szCs w:val="24"/>
          <w:lang w:val="cs-CZ"/>
        </w:rPr>
        <w:t xml:space="preserve"> </w:t>
      </w:r>
      <w:proofErr w:type="spellStart"/>
      <w:r w:rsidRPr="001E5EF9">
        <w:rPr>
          <w:i/>
          <w:iCs/>
          <w:sz w:val="24"/>
          <w:szCs w:val="24"/>
          <w:lang w:val="cs-CZ"/>
        </w:rPr>
        <w:t>against</w:t>
      </w:r>
      <w:proofErr w:type="spellEnd"/>
      <w:r w:rsidRPr="001E5EF9">
        <w:rPr>
          <w:i/>
          <w:iCs/>
          <w:sz w:val="24"/>
          <w:szCs w:val="24"/>
          <w:lang w:val="cs-CZ"/>
        </w:rPr>
        <w:t xml:space="preserve"> and </w:t>
      </w:r>
      <w:proofErr w:type="spellStart"/>
      <w:r w:rsidRPr="001E5EF9">
        <w:rPr>
          <w:i/>
          <w:iCs/>
          <w:sz w:val="24"/>
          <w:szCs w:val="24"/>
          <w:lang w:val="cs-CZ"/>
        </w:rPr>
        <w:t>living</w:t>
      </w:r>
      <w:proofErr w:type="spellEnd"/>
      <w:r w:rsidRPr="001E5EF9">
        <w:rPr>
          <w:i/>
          <w:iCs/>
          <w:sz w:val="24"/>
          <w:szCs w:val="24"/>
          <w:lang w:val="cs-CZ"/>
        </w:rPr>
        <w:t xml:space="preserve"> </w:t>
      </w:r>
      <w:proofErr w:type="spellStart"/>
      <w:r w:rsidRPr="001E5EF9">
        <w:rPr>
          <w:i/>
          <w:iCs/>
          <w:sz w:val="24"/>
          <w:szCs w:val="24"/>
          <w:lang w:val="cs-CZ"/>
        </w:rPr>
        <w:t>conditions</w:t>
      </w:r>
      <w:proofErr w:type="spellEnd"/>
      <w:r w:rsidRPr="001E5EF9">
        <w:rPr>
          <w:i/>
          <w:iCs/>
          <w:sz w:val="24"/>
          <w:szCs w:val="24"/>
          <w:lang w:val="cs-CZ"/>
        </w:rPr>
        <w:t xml:space="preserve"> </w:t>
      </w:r>
      <w:proofErr w:type="spellStart"/>
      <w:r w:rsidRPr="001E5EF9">
        <w:rPr>
          <w:i/>
          <w:iCs/>
          <w:sz w:val="24"/>
          <w:szCs w:val="24"/>
          <w:lang w:val="cs-CZ"/>
        </w:rPr>
        <w:t>of</w:t>
      </w:r>
      <w:proofErr w:type="spellEnd"/>
      <w:r w:rsidRPr="001E5EF9">
        <w:rPr>
          <w:i/>
          <w:iCs/>
          <w:sz w:val="24"/>
          <w:szCs w:val="24"/>
          <w:lang w:val="cs-CZ"/>
        </w:rPr>
        <w:t xml:space="preserve"> Roma </w:t>
      </w:r>
      <w:proofErr w:type="spellStart"/>
      <w:r w:rsidRPr="001E5EF9">
        <w:rPr>
          <w:i/>
          <w:iCs/>
          <w:sz w:val="24"/>
          <w:szCs w:val="24"/>
          <w:lang w:val="cs-CZ"/>
        </w:rPr>
        <w:t>women</w:t>
      </w:r>
      <w:proofErr w:type="spellEnd"/>
      <w:r w:rsidRPr="001E5EF9">
        <w:rPr>
          <w:i/>
          <w:iCs/>
          <w:sz w:val="24"/>
          <w:szCs w:val="24"/>
          <w:lang w:val="cs-CZ"/>
        </w:rPr>
        <w:t xml:space="preserve"> in 11 </w:t>
      </w:r>
      <w:proofErr w:type="spellStart"/>
      <w:r w:rsidRPr="001E5EF9">
        <w:rPr>
          <w:i/>
          <w:iCs/>
          <w:sz w:val="24"/>
          <w:szCs w:val="24"/>
          <w:lang w:val="cs-CZ"/>
        </w:rPr>
        <w:t>Member</w:t>
      </w:r>
      <w:proofErr w:type="spellEnd"/>
      <w:r w:rsidRPr="001E5EF9">
        <w:rPr>
          <w:i/>
          <w:iCs/>
          <w:sz w:val="24"/>
          <w:szCs w:val="24"/>
          <w:lang w:val="cs-CZ"/>
        </w:rPr>
        <w:t xml:space="preserve"> </w:t>
      </w:r>
      <w:proofErr w:type="spellStart"/>
      <w:r w:rsidRPr="001E5EF9">
        <w:rPr>
          <w:i/>
          <w:iCs/>
          <w:sz w:val="24"/>
          <w:szCs w:val="24"/>
          <w:lang w:val="cs-CZ"/>
        </w:rPr>
        <w:t>States</w:t>
      </w:r>
      <w:proofErr w:type="spellEnd"/>
      <w:r w:rsidRPr="001E5EF9">
        <w:rPr>
          <w:sz w:val="24"/>
          <w:szCs w:val="24"/>
          <w:lang w:val="cs-CZ"/>
        </w:rPr>
        <w:t xml:space="preserve"> (Průzkum romské populace – zaměřeno na údaje: Diskriminace a životní podmínky romských žen v 11 členských státech), 2014, </w:t>
      </w:r>
      <w:hyperlink r:id="rId26" w:history="1">
        <w:r w:rsidRPr="001E5EF9">
          <w:rPr>
            <w:rStyle w:val="Hyperlink"/>
            <w:sz w:val="24"/>
            <w:szCs w:val="24"/>
            <w:lang w:val="cs-CZ"/>
          </w:rPr>
          <w:t>https://fra.europa.eu/sites/default/files/fra_uploads/fra-2014-roma-survey-dif-women-2_en.pdf</w:t>
        </w:r>
      </w:hyperlink>
      <w:r w:rsidRPr="001E5EF9">
        <w:rPr>
          <w:sz w:val="24"/>
          <w:szCs w:val="24"/>
          <w:lang w:val="cs-CZ"/>
        </w:rPr>
        <w:t>.</w:t>
      </w:r>
    </w:p>
  </w:footnote>
  <w:footnote w:id="43">
    <w:p w14:paraId="18FF28F3" w14:textId="28C073D9"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Agentura Evropské unie pro základní práva, </w:t>
      </w:r>
      <w:r w:rsidRPr="001E5EF9">
        <w:rPr>
          <w:i/>
          <w:sz w:val="24"/>
          <w:szCs w:val="24"/>
          <w:lang w:val="cs-CZ"/>
        </w:rPr>
        <w:t xml:space="preserve">Roma </w:t>
      </w:r>
      <w:proofErr w:type="spellStart"/>
      <w:r w:rsidRPr="001E5EF9">
        <w:rPr>
          <w:i/>
          <w:sz w:val="24"/>
          <w:szCs w:val="24"/>
          <w:lang w:val="cs-CZ"/>
        </w:rPr>
        <w:t>survey</w:t>
      </w:r>
      <w:proofErr w:type="spellEnd"/>
      <w:r w:rsidRPr="001E5EF9">
        <w:rPr>
          <w:i/>
          <w:sz w:val="24"/>
          <w:szCs w:val="24"/>
          <w:lang w:val="cs-CZ"/>
        </w:rPr>
        <w:t xml:space="preserve"> 2021 – Roma in 10 </w:t>
      </w:r>
      <w:proofErr w:type="spellStart"/>
      <w:r w:rsidRPr="001E5EF9">
        <w:rPr>
          <w:i/>
          <w:sz w:val="24"/>
          <w:szCs w:val="24"/>
          <w:lang w:val="cs-CZ"/>
        </w:rPr>
        <w:t>European</w:t>
      </w:r>
      <w:proofErr w:type="spellEnd"/>
      <w:r w:rsidRPr="001E5EF9">
        <w:rPr>
          <w:i/>
          <w:sz w:val="24"/>
          <w:szCs w:val="24"/>
          <w:lang w:val="cs-CZ"/>
        </w:rPr>
        <w:t xml:space="preserve"> </w:t>
      </w:r>
      <w:proofErr w:type="spellStart"/>
      <w:r w:rsidRPr="001E5EF9">
        <w:rPr>
          <w:i/>
          <w:sz w:val="24"/>
          <w:szCs w:val="24"/>
          <w:lang w:val="cs-CZ"/>
        </w:rPr>
        <w:t>Countries</w:t>
      </w:r>
      <w:proofErr w:type="spellEnd"/>
      <w:r w:rsidRPr="001E5EF9">
        <w:rPr>
          <w:i/>
          <w:sz w:val="24"/>
          <w:szCs w:val="24"/>
          <w:lang w:val="cs-CZ"/>
        </w:rPr>
        <w:t xml:space="preserve">: </w:t>
      </w:r>
      <w:proofErr w:type="spellStart"/>
      <w:r w:rsidRPr="001E5EF9">
        <w:rPr>
          <w:i/>
          <w:sz w:val="24"/>
          <w:szCs w:val="24"/>
          <w:lang w:val="cs-CZ"/>
        </w:rPr>
        <w:t>Main</w:t>
      </w:r>
      <w:proofErr w:type="spellEnd"/>
      <w:r w:rsidRPr="001E5EF9">
        <w:rPr>
          <w:i/>
          <w:sz w:val="24"/>
          <w:szCs w:val="24"/>
          <w:lang w:val="cs-CZ"/>
        </w:rPr>
        <w:t xml:space="preserve"> </w:t>
      </w:r>
      <w:proofErr w:type="spellStart"/>
      <w:r w:rsidRPr="001E5EF9">
        <w:rPr>
          <w:i/>
          <w:sz w:val="24"/>
          <w:szCs w:val="24"/>
          <w:lang w:val="cs-CZ"/>
        </w:rPr>
        <w:t>results</w:t>
      </w:r>
      <w:proofErr w:type="spellEnd"/>
      <w:r w:rsidRPr="001E5EF9">
        <w:rPr>
          <w:sz w:val="24"/>
          <w:szCs w:val="24"/>
          <w:lang w:val="cs-CZ"/>
        </w:rPr>
        <w:t xml:space="preserve"> (Průzkum romské populace – Romové v 10 evropských zemích: hlavní výstupy), 2021, </w:t>
      </w:r>
      <w:hyperlink r:id="rId27" w:history="1">
        <w:r w:rsidRPr="001E5EF9">
          <w:rPr>
            <w:rStyle w:val="Hyperlink"/>
            <w:sz w:val="24"/>
            <w:szCs w:val="24"/>
            <w:lang w:val="cs-CZ"/>
          </w:rPr>
          <w:t>https://fra.europa.eu/sites/default/files/fra_uploads/fra-2022-roma-survey-2021-main-results2_en.pdf</w:t>
        </w:r>
      </w:hyperlink>
      <w:r w:rsidRPr="001E5EF9">
        <w:rPr>
          <w:sz w:val="24"/>
          <w:szCs w:val="24"/>
          <w:lang w:val="cs-CZ"/>
        </w:rPr>
        <w:t xml:space="preserve">. </w:t>
      </w:r>
    </w:p>
  </w:footnote>
  <w:footnote w:id="44">
    <w:p w14:paraId="0FD2BCFC" w14:textId="139A9712" w:rsidR="002C52D3" w:rsidRPr="001E5EF9" w:rsidRDefault="002C52D3" w:rsidP="003E1F3A">
      <w:pPr>
        <w:pStyle w:val="FootnoteText"/>
        <w:ind w:left="567" w:hanging="567"/>
        <w:rPr>
          <w:bCs/>
          <w:i/>
          <w:sz w:val="24"/>
          <w:szCs w:val="24"/>
          <w:vertAlign w:val="superscript"/>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Agentura Evropské unie pro základní práva, </w:t>
      </w:r>
      <w:r w:rsidRPr="001E5EF9">
        <w:rPr>
          <w:i/>
          <w:sz w:val="24"/>
          <w:szCs w:val="24"/>
          <w:lang w:val="cs-CZ"/>
        </w:rPr>
        <w:t xml:space="preserve">Second </w:t>
      </w:r>
      <w:proofErr w:type="spellStart"/>
      <w:r w:rsidRPr="001E5EF9">
        <w:rPr>
          <w:i/>
          <w:sz w:val="24"/>
          <w:szCs w:val="24"/>
          <w:lang w:val="cs-CZ"/>
        </w:rPr>
        <w:t>European</w:t>
      </w:r>
      <w:proofErr w:type="spellEnd"/>
      <w:r w:rsidRPr="001E5EF9">
        <w:rPr>
          <w:i/>
          <w:sz w:val="24"/>
          <w:szCs w:val="24"/>
          <w:lang w:val="cs-CZ"/>
        </w:rPr>
        <w:t xml:space="preserve"> Union </w:t>
      </w:r>
      <w:proofErr w:type="spellStart"/>
      <w:r w:rsidRPr="001E5EF9">
        <w:rPr>
          <w:i/>
          <w:sz w:val="24"/>
          <w:szCs w:val="24"/>
          <w:lang w:val="cs-CZ"/>
        </w:rPr>
        <w:t>Minorities</w:t>
      </w:r>
      <w:proofErr w:type="spellEnd"/>
      <w:r w:rsidRPr="001E5EF9">
        <w:rPr>
          <w:i/>
          <w:sz w:val="24"/>
          <w:szCs w:val="24"/>
          <w:lang w:val="cs-CZ"/>
        </w:rPr>
        <w:t xml:space="preserve"> </w:t>
      </w:r>
    </w:p>
    <w:p w14:paraId="22A8C6B2" w14:textId="2CA245D0" w:rsidR="002C52D3" w:rsidRPr="001E5EF9" w:rsidRDefault="009454B7" w:rsidP="003E1F3A">
      <w:pPr>
        <w:pStyle w:val="FootnoteText"/>
        <w:ind w:left="567" w:hanging="567"/>
        <w:rPr>
          <w:sz w:val="24"/>
          <w:szCs w:val="24"/>
          <w:lang w:val="cs-CZ"/>
        </w:rPr>
      </w:pPr>
      <w:r w:rsidRPr="001E5EF9">
        <w:rPr>
          <w:i/>
          <w:sz w:val="24"/>
          <w:szCs w:val="24"/>
          <w:lang w:val="cs-CZ"/>
        </w:rPr>
        <w:t xml:space="preserve"> </w:t>
      </w:r>
      <w:r w:rsidRPr="001E5EF9">
        <w:rPr>
          <w:i/>
          <w:sz w:val="24"/>
          <w:szCs w:val="24"/>
          <w:lang w:val="cs-CZ"/>
        </w:rPr>
        <w:tab/>
      </w:r>
      <w:r w:rsidR="002C52D3" w:rsidRPr="001E5EF9">
        <w:rPr>
          <w:i/>
          <w:sz w:val="24"/>
          <w:szCs w:val="24"/>
          <w:lang w:val="cs-CZ"/>
        </w:rPr>
        <w:t xml:space="preserve">and </w:t>
      </w:r>
      <w:proofErr w:type="spellStart"/>
      <w:r w:rsidR="002C52D3" w:rsidRPr="001E5EF9">
        <w:rPr>
          <w:i/>
          <w:sz w:val="24"/>
          <w:szCs w:val="24"/>
          <w:lang w:val="cs-CZ"/>
        </w:rPr>
        <w:t>Discrimination</w:t>
      </w:r>
      <w:proofErr w:type="spellEnd"/>
      <w:r w:rsidR="002C52D3" w:rsidRPr="001E5EF9">
        <w:rPr>
          <w:i/>
          <w:sz w:val="24"/>
          <w:szCs w:val="24"/>
          <w:lang w:val="cs-CZ"/>
        </w:rPr>
        <w:t xml:space="preserve"> </w:t>
      </w:r>
      <w:proofErr w:type="spellStart"/>
      <w:r w:rsidR="002C52D3" w:rsidRPr="001E5EF9">
        <w:rPr>
          <w:i/>
          <w:sz w:val="24"/>
          <w:szCs w:val="24"/>
          <w:lang w:val="cs-CZ"/>
        </w:rPr>
        <w:t>Survey</w:t>
      </w:r>
      <w:proofErr w:type="spellEnd"/>
      <w:r w:rsidR="002C52D3" w:rsidRPr="001E5EF9">
        <w:rPr>
          <w:i/>
          <w:sz w:val="24"/>
          <w:szCs w:val="24"/>
          <w:lang w:val="cs-CZ"/>
        </w:rPr>
        <w:t xml:space="preserve">: Roma – </w:t>
      </w:r>
      <w:proofErr w:type="spellStart"/>
      <w:r w:rsidR="002C52D3" w:rsidRPr="001E5EF9">
        <w:rPr>
          <w:i/>
          <w:sz w:val="24"/>
          <w:szCs w:val="24"/>
          <w:lang w:val="cs-CZ"/>
        </w:rPr>
        <w:t>Selected</w:t>
      </w:r>
      <w:proofErr w:type="spellEnd"/>
      <w:r w:rsidR="002C52D3" w:rsidRPr="001E5EF9">
        <w:rPr>
          <w:i/>
          <w:sz w:val="24"/>
          <w:szCs w:val="24"/>
          <w:lang w:val="cs-CZ"/>
        </w:rPr>
        <w:t xml:space="preserve"> </w:t>
      </w:r>
      <w:proofErr w:type="spellStart"/>
      <w:r w:rsidR="002C52D3" w:rsidRPr="001E5EF9">
        <w:rPr>
          <w:i/>
          <w:sz w:val="24"/>
          <w:szCs w:val="24"/>
          <w:lang w:val="cs-CZ"/>
        </w:rPr>
        <w:t>findings</w:t>
      </w:r>
      <w:proofErr w:type="spellEnd"/>
      <w:r w:rsidR="002C52D3" w:rsidRPr="001E5EF9">
        <w:rPr>
          <w:sz w:val="24"/>
          <w:szCs w:val="24"/>
          <w:lang w:val="cs-CZ"/>
        </w:rPr>
        <w:t xml:space="preserve"> (Druhé šetření o menšinách a diskriminaci v Evropské unii, Romové – vybraná zjištění), 2016, </w:t>
      </w:r>
      <w:hyperlink r:id="rId28" w:history="1">
        <w:r w:rsidR="002C52D3" w:rsidRPr="001E5EF9">
          <w:rPr>
            <w:rStyle w:val="Hyperlink"/>
            <w:sz w:val="24"/>
            <w:szCs w:val="24"/>
            <w:lang w:val="cs-CZ"/>
          </w:rPr>
          <w:t>https://fra.europa.eu/sites/default/files/fra_uploads/fra-2016-eu-minorities-survey-roma-selected-findings_en.pdf</w:t>
        </w:r>
      </w:hyperlink>
      <w:r w:rsidR="002C52D3" w:rsidRPr="001E5EF9">
        <w:rPr>
          <w:sz w:val="24"/>
          <w:szCs w:val="24"/>
          <w:lang w:val="cs-CZ"/>
        </w:rPr>
        <w:t xml:space="preserve">. </w:t>
      </w:r>
    </w:p>
  </w:footnote>
  <w:footnote w:id="45">
    <w:p w14:paraId="3FDB6884" w14:textId="52D00604"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Ayllón</w:t>
      </w:r>
      <w:proofErr w:type="spellEnd"/>
      <w:r w:rsidRPr="001E5EF9">
        <w:rPr>
          <w:sz w:val="24"/>
          <w:szCs w:val="24"/>
          <w:lang w:val="cs-CZ"/>
        </w:rPr>
        <w:t xml:space="preserve">, S., </w:t>
      </w:r>
      <w:proofErr w:type="spellStart"/>
      <w:r w:rsidRPr="001E5EF9">
        <w:rPr>
          <w:sz w:val="24"/>
          <w:szCs w:val="24"/>
          <w:lang w:val="cs-CZ"/>
        </w:rPr>
        <w:t>Holmarsdottir</w:t>
      </w:r>
      <w:proofErr w:type="spellEnd"/>
      <w:r w:rsidRPr="001E5EF9">
        <w:rPr>
          <w:sz w:val="24"/>
          <w:szCs w:val="24"/>
          <w:lang w:val="cs-CZ"/>
        </w:rPr>
        <w:t xml:space="preserve">, H. &amp; Lado, S. </w:t>
      </w:r>
      <w:proofErr w:type="spellStart"/>
      <w:r w:rsidRPr="001E5EF9">
        <w:rPr>
          <w:i/>
          <w:iCs/>
          <w:sz w:val="24"/>
          <w:szCs w:val="24"/>
          <w:lang w:val="cs-CZ"/>
        </w:rPr>
        <w:t>Digitally</w:t>
      </w:r>
      <w:proofErr w:type="spellEnd"/>
      <w:r w:rsidRPr="001E5EF9">
        <w:rPr>
          <w:i/>
          <w:iCs/>
          <w:sz w:val="24"/>
          <w:szCs w:val="24"/>
          <w:lang w:val="cs-CZ"/>
        </w:rPr>
        <w:t xml:space="preserve"> </w:t>
      </w:r>
      <w:proofErr w:type="spellStart"/>
      <w:r w:rsidRPr="001E5EF9">
        <w:rPr>
          <w:i/>
          <w:iCs/>
          <w:sz w:val="24"/>
          <w:szCs w:val="24"/>
          <w:lang w:val="cs-CZ"/>
        </w:rPr>
        <w:t>Deprived</w:t>
      </w:r>
      <w:proofErr w:type="spellEnd"/>
      <w:r w:rsidRPr="001E5EF9">
        <w:rPr>
          <w:i/>
          <w:iCs/>
          <w:sz w:val="24"/>
          <w:szCs w:val="24"/>
          <w:lang w:val="cs-CZ"/>
        </w:rPr>
        <w:t xml:space="preserve"> </w:t>
      </w:r>
      <w:proofErr w:type="spellStart"/>
      <w:r w:rsidRPr="001E5EF9">
        <w:rPr>
          <w:i/>
          <w:iCs/>
          <w:sz w:val="24"/>
          <w:szCs w:val="24"/>
          <w:lang w:val="cs-CZ"/>
        </w:rPr>
        <w:t>Children</w:t>
      </w:r>
      <w:proofErr w:type="spellEnd"/>
      <w:r w:rsidRPr="001E5EF9">
        <w:rPr>
          <w:i/>
          <w:iCs/>
          <w:sz w:val="24"/>
          <w:szCs w:val="24"/>
          <w:lang w:val="cs-CZ"/>
        </w:rPr>
        <w:t xml:space="preserve"> in </w:t>
      </w:r>
      <w:proofErr w:type="spellStart"/>
      <w:r w:rsidRPr="001E5EF9">
        <w:rPr>
          <w:i/>
          <w:iCs/>
          <w:sz w:val="24"/>
          <w:szCs w:val="24"/>
          <w:lang w:val="cs-CZ"/>
        </w:rPr>
        <w:t>Europe</w:t>
      </w:r>
      <w:proofErr w:type="spellEnd"/>
      <w:r w:rsidRPr="001E5EF9">
        <w:rPr>
          <w:sz w:val="24"/>
          <w:szCs w:val="24"/>
          <w:lang w:val="cs-CZ"/>
        </w:rPr>
        <w:t xml:space="preserve"> (Digitálně deprivované děti v Evropě), </w:t>
      </w:r>
      <w:proofErr w:type="spellStart"/>
      <w:r w:rsidRPr="001E5EF9">
        <w:rPr>
          <w:sz w:val="24"/>
          <w:szCs w:val="24"/>
          <w:lang w:val="cs-CZ"/>
        </w:rPr>
        <w:t>Child</w:t>
      </w:r>
      <w:proofErr w:type="spellEnd"/>
      <w:r w:rsidRPr="001E5EF9">
        <w:rPr>
          <w:sz w:val="24"/>
          <w:szCs w:val="24"/>
          <w:lang w:val="cs-CZ"/>
        </w:rPr>
        <w:t xml:space="preserve"> </w:t>
      </w:r>
      <w:proofErr w:type="spellStart"/>
      <w:r w:rsidRPr="001E5EF9">
        <w:rPr>
          <w:sz w:val="24"/>
          <w:szCs w:val="24"/>
          <w:lang w:val="cs-CZ"/>
        </w:rPr>
        <w:t>Indicators</w:t>
      </w:r>
      <w:proofErr w:type="spellEnd"/>
      <w:r w:rsidRPr="001E5EF9">
        <w:rPr>
          <w:sz w:val="24"/>
          <w:szCs w:val="24"/>
          <w:lang w:val="cs-CZ"/>
        </w:rPr>
        <w:t xml:space="preserve"> </w:t>
      </w:r>
      <w:proofErr w:type="spellStart"/>
      <w:r w:rsidRPr="001E5EF9">
        <w:rPr>
          <w:sz w:val="24"/>
          <w:szCs w:val="24"/>
          <w:lang w:val="cs-CZ"/>
        </w:rPr>
        <w:t>Research</w:t>
      </w:r>
      <w:proofErr w:type="spellEnd"/>
      <w:r w:rsidRPr="001E5EF9">
        <w:rPr>
          <w:sz w:val="24"/>
          <w:szCs w:val="24"/>
          <w:lang w:val="cs-CZ"/>
        </w:rPr>
        <w:t xml:space="preserve"> svazek 16, s. 1315–1339, 2023, </w:t>
      </w:r>
      <w:hyperlink r:id="rId29" w:history="1">
        <w:r w:rsidRPr="001E5EF9">
          <w:rPr>
            <w:rStyle w:val="Hyperlink"/>
            <w:sz w:val="24"/>
            <w:szCs w:val="24"/>
            <w:lang w:val="cs-CZ"/>
          </w:rPr>
          <w:t>https://doi.org/10.1007/s12187-022-10006-w</w:t>
        </w:r>
      </w:hyperlink>
      <w:r w:rsidRPr="001E5EF9">
        <w:rPr>
          <w:sz w:val="24"/>
          <w:szCs w:val="24"/>
          <w:lang w:val="cs-CZ"/>
        </w:rPr>
        <w:t>.</w:t>
      </w:r>
    </w:p>
  </w:footnote>
  <w:footnote w:id="46">
    <w:p w14:paraId="5F455F3A" w14:textId="03A9D695"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Bertoni</w:t>
      </w:r>
      <w:proofErr w:type="spellEnd"/>
      <w:r w:rsidRPr="001E5EF9">
        <w:rPr>
          <w:sz w:val="24"/>
          <w:szCs w:val="24"/>
          <w:lang w:val="cs-CZ"/>
        </w:rPr>
        <w:t xml:space="preserve">, E., </w:t>
      </w:r>
      <w:proofErr w:type="spellStart"/>
      <w:r w:rsidRPr="001E5EF9">
        <w:rPr>
          <w:sz w:val="24"/>
          <w:szCs w:val="24"/>
          <w:lang w:val="cs-CZ"/>
        </w:rPr>
        <w:t>Cosgrove</w:t>
      </w:r>
      <w:proofErr w:type="spellEnd"/>
      <w:r w:rsidRPr="001E5EF9">
        <w:rPr>
          <w:sz w:val="24"/>
          <w:szCs w:val="24"/>
          <w:lang w:val="cs-CZ"/>
        </w:rPr>
        <w:t xml:space="preserve">, J. a </w:t>
      </w:r>
      <w:proofErr w:type="spellStart"/>
      <w:r w:rsidRPr="001E5EF9">
        <w:rPr>
          <w:sz w:val="24"/>
          <w:szCs w:val="24"/>
          <w:lang w:val="cs-CZ"/>
        </w:rPr>
        <w:t>Cachia</w:t>
      </w:r>
      <w:proofErr w:type="spellEnd"/>
      <w:r w:rsidRPr="001E5EF9">
        <w:rPr>
          <w:sz w:val="24"/>
          <w:szCs w:val="24"/>
          <w:lang w:val="cs-CZ"/>
        </w:rPr>
        <w:t xml:space="preserve">, R., Digital </w:t>
      </w:r>
      <w:proofErr w:type="spellStart"/>
      <w:r w:rsidRPr="001E5EF9">
        <w:rPr>
          <w:sz w:val="24"/>
          <w:szCs w:val="24"/>
          <w:lang w:val="cs-CZ"/>
        </w:rPr>
        <w:t>skills</w:t>
      </w:r>
      <w:proofErr w:type="spellEnd"/>
      <w:r w:rsidRPr="001E5EF9">
        <w:rPr>
          <w:sz w:val="24"/>
          <w:szCs w:val="24"/>
          <w:lang w:val="cs-CZ"/>
        </w:rPr>
        <w:t xml:space="preserve"> </w:t>
      </w:r>
      <w:proofErr w:type="spellStart"/>
      <w:r w:rsidRPr="001E5EF9">
        <w:rPr>
          <w:sz w:val="24"/>
          <w:szCs w:val="24"/>
          <w:lang w:val="cs-CZ"/>
        </w:rPr>
        <w:t>gaps</w:t>
      </w:r>
      <w:proofErr w:type="spellEnd"/>
      <w:r w:rsidRPr="001E5EF9">
        <w:rPr>
          <w:sz w:val="24"/>
          <w:szCs w:val="24"/>
          <w:lang w:val="cs-CZ"/>
        </w:rPr>
        <w:t xml:space="preserve"> – a </w:t>
      </w:r>
      <w:proofErr w:type="spellStart"/>
      <w:r w:rsidRPr="001E5EF9">
        <w:rPr>
          <w:sz w:val="24"/>
          <w:szCs w:val="24"/>
          <w:lang w:val="cs-CZ"/>
        </w:rPr>
        <w:t>closer</w:t>
      </w:r>
      <w:proofErr w:type="spellEnd"/>
      <w:r w:rsidRPr="001E5EF9">
        <w:rPr>
          <w:sz w:val="24"/>
          <w:szCs w:val="24"/>
          <w:lang w:val="cs-CZ"/>
        </w:rPr>
        <w:t xml:space="preserve"> </w:t>
      </w:r>
      <w:proofErr w:type="spellStart"/>
      <w:r w:rsidRPr="001E5EF9">
        <w:rPr>
          <w:sz w:val="24"/>
          <w:szCs w:val="24"/>
          <w:lang w:val="cs-CZ"/>
        </w:rPr>
        <w:t>look</w:t>
      </w:r>
      <w:proofErr w:type="spellEnd"/>
      <w:r w:rsidRPr="001E5EF9">
        <w:rPr>
          <w:sz w:val="24"/>
          <w:szCs w:val="24"/>
          <w:lang w:val="cs-CZ"/>
        </w:rPr>
        <w:t xml:space="preserve"> </w:t>
      </w:r>
      <w:proofErr w:type="spellStart"/>
      <w:r w:rsidRPr="001E5EF9">
        <w:rPr>
          <w:sz w:val="24"/>
          <w:szCs w:val="24"/>
          <w:lang w:val="cs-CZ"/>
        </w:rPr>
        <w:t>at</w:t>
      </w:r>
      <w:proofErr w:type="spellEnd"/>
      <w:r w:rsidRPr="001E5EF9">
        <w:rPr>
          <w:sz w:val="24"/>
          <w:szCs w:val="24"/>
          <w:lang w:val="cs-CZ"/>
        </w:rPr>
        <w:t xml:space="preserve"> </w:t>
      </w:r>
      <w:proofErr w:type="spellStart"/>
      <w:r w:rsidRPr="001E5EF9">
        <w:rPr>
          <w:sz w:val="24"/>
          <w:szCs w:val="24"/>
          <w:lang w:val="cs-CZ"/>
        </w:rPr>
        <w:t>the</w:t>
      </w:r>
      <w:proofErr w:type="spellEnd"/>
      <w:r w:rsidRPr="001E5EF9">
        <w:rPr>
          <w:sz w:val="24"/>
          <w:szCs w:val="24"/>
          <w:lang w:val="cs-CZ"/>
        </w:rPr>
        <w:t xml:space="preserve"> Digital </w:t>
      </w:r>
      <w:proofErr w:type="spellStart"/>
      <w:r w:rsidRPr="001E5EF9">
        <w:rPr>
          <w:sz w:val="24"/>
          <w:szCs w:val="24"/>
          <w:lang w:val="cs-CZ"/>
        </w:rPr>
        <w:t>Skills</w:t>
      </w:r>
      <w:proofErr w:type="spellEnd"/>
      <w:r w:rsidRPr="001E5EF9">
        <w:rPr>
          <w:sz w:val="24"/>
          <w:szCs w:val="24"/>
          <w:lang w:val="cs-CZ"/>
        </w:rPr>
        <w:t xml:space="preserve"> Index (DSI 2.0) (Nedostatky v digitálních dovednostech – bližší pohled na index digitálních dovedností), Evropská komise, </w:t>
      </w:r>
      <w:proofErr w:type="spellStart"/>
      <w:r w:rsidRPr="001E5EF9">
        <w:rPr>
          <w:sz w:val="24"/>
          <w:szCs w:val="24"/>
          <w:lang w:val="cs-CZ"/>
        </w:rPr>
        <w:t>Ispra</w:t>
      </w:r>
      <w:proofErr w:type="spellEnd"/>
      <w:r w:rsidRPr="001E5EF9">
        <w:rPr>
          <w:sz w:val="24"/>
          <w:szCs w:val="24"/>
          <w:lang w:val="cs-CZ"/>
        </w:rPr>
        <w:t xml:space="preserve">, 2024, JRC140617, </w:t>
      </w:r>
      <w:hyperlink r:id="rId30" w:history="1">
        <w:r w:rsidRPr="001E5EF9">
          <w:rPr>
            <w:rStyle w:val="Hyperlink"/>
            <w:sz w:val="24"/>
            <w:szCs w:val="24"/>
            <w:lang w:val="cs-CZ"/>
          </w:rPr>
          <w:t>https://publications.jrc.ec.europa.eu/repository/handle/JRC140617</w:t>
        </w:r>
      </w:hyperlink>
      <w:r w:rsidRPr="001E5EF9">
        <w:rPr>
          <w:sz w:val="24"/>
          <w:szCs w:val="24"/>
          <w:lang w:val="cs-CZ"/>
        </w:rPr>
        <w:t xml:space="preserve">. </w:t>
      </w:r>
    </w:p>
  </w:footnote>
  <w:footnote w:id="47">
    <w:p w14:paraId="036314A8" w14:textId="18C2AB86"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Eurostat</w:t>
      </w:r>
      <w:proofErr w:type="spellEnd"/>
      <w:r w:rsidRPr="001E5EF9">
        <w:rPr>
          <w:sz w:val="24"/>
          <w:szCs w:val="24"/>
          <w:lang w:val="cs-CZ"/>
        </w:rPr>
        <w:t>, „</w:t>
      </w:r>
      <w:proofErr w:type="spellStart"/>
      <w:r w:rsidRPr="001E5EF9">
        <w:rPr>
          <w:sz w:val="24"/>
          <w:szCs w:val="24"/>
          <w:lang w:val="cs-CZ"/>
        </w:rPr>
        <w:t>Social</w:t>
      </w:r>
      <w:proofErr w:type="spellEnd"/>
      <w:r w:rsidRPr="001E5EF9">
        <w:rPr>
          <w:sz w:val="24"/>
          <w:szCs w:val="24"/>
          <w:lang w:val="cs-CZ"/>
        </w:rPr>
        <w:t xml:space="preserve"> </w:t>
      </w:r>
      <w:proofErr w:type="spellStart"/>
      <w:r w:rsidRPr="001E5EF9">
        <w:rPr>
          <w:sz w:val="24"/>
          <w:szCs w:val="24"/>
          <w:lang w:val="cs-CZ"/>
        </w:rPr>
        <w:t>Scoreboard</w:t>
      </w:r>
      <w:proofErr w:type="spellEnd"/>
      <w:r w:rsidRPr="001E5EF9">
        <w:rPr>
          <w:sz w:val="24"/>
          <w:szCs w:val="24"/>
          <w:lang w:val="cs-CZ"/>
        </w:rPr>
        <w:t xml:space="preserve">“ (Sociální ukazatele), </w:t>
      </w:r>
      <w:hyperlink r:id="rId31" w:history="1">
        <w:r w:rsidRPr="001E5EF9">
          <w:rPr>
            <w:rStyle w:val="Hyperlink"/>
            <w:sz w:val="24"/>
            <w:szCs w:val="24"/>
            <w:lang w:val="cs-CZ"/>
          </w:rPr>
          <w:t>https://ec.europa.eu/eurostat/cache/dashboard/social-scoreboard</w:t>
        </w:r>
      </w:hyperlink>
      <w:r w:rsidRPr="001E5EF9">
        <w:rPr>
          <w:sz w:val="24"/>
          <w:szCs w:val="24"/>
          <w:lang w:val="cs-CZ"/>
        </w:rPr>
        <w:t>.</w:t>
      </w:r>
    </w:p>
  </w:footnote>
  <w:footnote w:id="48">
    <w:p w14:paraId="0B1C29AE" w14:textId="148E7B01"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Evropská komise, „</w:t>
      </w:r>
      <w:proofErr w:type="spellStart"/>
      <w:r w:rsidRPr="001E5EF9">
        <w:rPr>
          <w:sz w:val="24"/>
          <w:szCs w:val="24"/>
          <w:lang w:val="cs-CZ"/>
        </w:rPr>
        <w:t>Employment</w:t>
      </w:r>
      <w:proofErr w:type="spellEnd"/>
      <w:r w:rsidRPr="001E5EF9">
        <w:rPr>
          <w:sz w:val="24"/>
          <w:szCs w:val="24"/>
          <w:lang w:val="cs-CZ"/>
        </w:rPr>
        <w:t xml:space="preserve"> and </w:t>
      </w:r>
      <w:proofErr w:type="spellStart"/>
      <w:r w:rsidRPr="001E5EF9">
        <w:rPr>
          <w:sz w:val="24"/>
          <w:szCs w:val="24"/>
          <w:lang w:val="cs-CZ"/>
        </w:rPr>
        <w:t>social</w:t>
      </w:r>
      <w:proofErr w:type="spellEnd"/>
      <w:r w:rsidRPr="001E5EF9">
        <w:rPr>
          <w:sz w:val="24"/>
          <w:szCs w:val="24"/>
          <w:lang w:val="cs-CZ"/>
        </w:rPr>
        <w:t xml:space="preserve"> </w:t>
      </w:r>
      <w:proofErr w:type="spellStart"/>
      <w:r w:rsidRPr="001E5EF9">
        <w:rPr>
          <w:sz w:val="24"/>
          <w:szCs w:val="24"/>
          <w:lang w:val="cs-CZ"/>
        </w:rPr>
        <w:t>developments</w:t>
      </w:r>
      <w:proofErr w:type="spellEnd"/>
      <w:r w:rsidRPr="001E5EF9">
        <w:rPr>
          <w:sz w:val="24"/>
          <w:szCs w:val="24"/>
          <w:lang w:val="cs-CZ"/>
        </w:rPr>
        <w:t xml:space="preserve"> in </w:t>
      </w:r>
      <w:proofErr w:type="spellStart"/>
      <w:r w:rsidRPr="001E5EF9">
        <w:rPr>
          <w:sz w:val="24"/>
          <w:szCs w:val="24"/>
          <w:lang w:val="cs-CZ"/>
        </w:rPr>
        <w:t>Europe</w:t>
      </w:r>
      <w:proofErr w:type="spellEnd"/>
      <w:r w:rsidRPr="001E5EF9">
        <w:rPr>
          <w:sz w:val="24"/>
          <w:szCs w:val="24"/>
          <w:lang w:val="cs-CZ"/>
        </w:rPr>
        <w:t xml:space="preserve"> 2012“ (Vývoj zaměstnanosti a sociální situace v Evropě), 2023, Evropská komise, zobrazeno 9. prosince 2025, </w:t>
      </w:r>
      <w:hyperlink r:id="rId32" w:history="1">
        <w:r w:rsidRPr="001E5EF9">
          <w:rPr>
            <w:rStyle w:val="Hyperlink"/>
            <w:sz w:val="24"/>
            <w:szCs w:val="24"/>
            <w:lang w:val="cs-CZ"/>
          </w:rPr>
          <w:t>https://op.europa.eu/webpub/empl/esde-2023/</w:t>
        </w:r>
      </w:hyperlink>
      <w:r w:rsidRPr="001E5EF9">
        <w:rPr>
          <w:sz w:val="24"/>
          <w:szCs w:val="24"/>
          <w:lang w:val="cs-CZ"/>
        </w:rPr>
        <w:t>.</w:t>
      </w:r>
    </w:p>
  </w:footnote>
  <w:footnote w:id="49">
    <w:p w14:paraId="5277B7F9" w14:textId="721FE1BD"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Evropská komise: Generální ředitelství pro zaměstnanost, sociální věci a sociální začleňování a Výbor pro sociální ochranu, </w:t>
      </w:r>
      <w:r w:rsidRPr="001E5EF9">
        <w:rPr>
          <w:i/>
          <w:iCs/>
          <w:sz w:val="24"/>
          <w:szCs w:val="24"/>
          <w:lang w:val="cs-CZ"/>
        </w:rPr>
        <w:t xml:space="preserve">2024 </w:t>
      </w:r>
      <w:proofErr w:type="spellStart"/>
      <w:r w:rsidRPr="001E5EF9">
        <w:rPr>
          <w:i/>
          <w:iCs/>
          <w:sz w:val="24"/>
          <w:szCs w:val="24"/>
          <w:lang w:val="cs-CZ"/>
        </w:rPr>
        <w:t>adequacy</w:t>
      </w:r>
      <w:proofErr w:type="spellEnd"/>
      <w:r w:rsidRPr="001E5EF9">
        <w:rPr>
          <w:i/>
          <w:iCs/>
          <w:sz w:val="24"/>
          <w:szCs w:val="24"/>
          <w:lang w:val="cs-CZ"/>
        </w:rPr>
        <w:t xml:space="preserve"> report – </w:t>
      </w:r>
      <w:proofErr w:type="spellStart"/>
      <w:r w:rsidRPr="001E5EF9">
        <w:rPr>
          <w:i/>
          <w:iCs/>
          <w:sz w:val="24"/>
          <w:szCs w:val="24"/>
          <w:lang w:val="cs-CZ"/>
        </w:rPr>
        <w:t>Current</w:t>
      </w:r>
      <w:proofErr w:type="spellEnd"/>
      <w:r w:rsidRPr="001E5EF9">
        <w:rPr>
          <w:i/>
          <w:iCs/>
          <w:sz w:val="24"/>
          <w:szCs w:val="24"/>
          <w:lang w:val="cs-CZ"/>
        </w:rPr>
        <w:t xml:space="preserve"> and </w:t>
      </w:r>
      <w:proofErr w:type="spellStart"/>
      <w:r w:rsidRPr="001E5EF9">
        <w:rPr>
          <w:i/>
          <w:iCs/>
          <w:sz w:val="24"/>
          <w:szCs w:val="24"/>
          <w:lang w:val="cs-CZ"/>
        </w:rPr>
        <w:t>future</w:t>
      </w:r>
      <w:proofErr w:type="spellEnd"/>
      <w:r w:rsidRPr="001E5EF9">
        <w:rPr>
          <w:i/>
          <w:iCs/>
          <w:sz w:val="24"/>
          <w:szCs w:val="24"/>
          <w:lang w:val="cs-CZ"/>
        </w:rPr>
        <w:t xml:space="preserve"> </w:t>
      </w:r>
      <w:proofErr w:type="spellStart"/>
      <w:r w:rsidRPr="001E5EF9">
        <w:rPr>
          <w:i/>
          <w:iCs/>
          <w:sz w:val="24"/>
          <w:szCs w:val="24"/>
          <w:lang w:val="cs-CZ"/>
        </w:rPr>
        <w:t>income</w:t>
      </w:r>
      <w:proofErr w:type="spellEnd"/>
      <w:r w:rsidRPr="001E5EF9">
        <w:rPr>
          <w:i/>
          <w:iCs/>
          <w:sz w:val="24"/>
          <w:szCs w:val="24"/>
          <w:lang w:val="cs-CZ"/>
        </w:rPr>
        <w:t xml:space="preserve"> </w:t>
      </w:r>
      <w:proofErr w:type="spellStart"/>
      <w:r w:rsidRPr="001E5EF9">
        <w:rPr>
          <w:i/>
          <w:iCs/>
          <w:sz w:val="24"/>
          <w:szCs w:val="24"/>
          <w:lang w:val="cs-CZ"/>
        </w:rPr>
        <w:t>adequacy</w:t>
      </w:r>
      <w:proofErr w:type="spellEnd"/>
      <w:r w:rsidRPr="001E5EF9">
        <w:rPr>
          <w:i/>
          <w:iCs/>
          <w:sz w:val="24"/>
          <w:szCs w:val="24"/>
          <w:lang w:val="cs-CZ"/>
        </w:rPr>
        <w:t xml:space="preserve"> in </w:t>
      </w:r>
      <w:proofErr w:type="spellStart"/>
      <w:r w:rsidRPr="001E5EF9">
        <w:rPr>
          <w:i/>
          <w:iCs/>
          <w:sz w:val="24"/>
          <w:szCs w:val="24"/>
          <w:lang w:val="cs-CZ"/>
        </w:rPr>
        <w:t>old</w:t>
      </w:r>
      <w:proofErr w:type="spellEnd"/>
      <w:r w:rsidRPr="001E5EF9">
        <w:rPr>
          <w:i/>
          <w:iCs/>
          <w:sz w:val="24"/>
          <w:szCs w:val="24"/>
          <w:lang w:val="cs-CZ"/>
        </w:rPr>
        <w:t xml:space="preserve"> </w:t>
      </w:r>
      <w:proofErr w:type="spellStart"/>
      <w:r w:rsidRPr="001E5EF9">
        <w:rPr>
          <w:i/>
          <w:iCs/>
          <w:sz w:val="24"/>
          <w:szCs w:val="24"/>
          <w:lang w:val="cs-CZ"/>
        </w:rPr>
        <w:t>age</w:t>
      </w:r>
      <w:proofErr w:type="spellEnd"/>
      <w:r w:rsidRPr="001E5EF9">
        <w:rPr>
          <w:i/>
          <w:iCs/>
          <w:sz w:val="24"/>
          <w:szCs w:val="24"/>
          <w:lang w:val="cs-CZ"/>
        </w:rPr>
        <w:t xml:space="preserve"> in </w:t>
      </w:r>
      <w:proofErr w:type="spellStart"/>
      <w:r w:rsidRPr="001E5EF9">
        <w:rPr>
          <w:i/>
          <w:iCs/>
          <w:sz w:val="24"/>
          <w:szCs w:val="24"/>
          <w:lang w:val="cs-CZ"/>
        </w:rPr>
        <w:t>the</w:t>
      </w:r>
      <w:proofErr w:type="spellEnd"/>
      <w:r w:rsidRPr="001E5EF9">
        <w:rPr>
          <w:i/>
          <w:iCs/>
          <w:sz w:val="24"/>
          <w:szCs w:val="24"/>
          <w:lang w:val="cs-CZ"/>
        </w:rPr>
        <w:t xml:space="preserve"> EU</w:t>
      </w:r>
      <w:r w:rsidRPr="001E5EF9">
        <w:rPr>
          <w:sz w:val="24"/>
          <w:szCs w:val="24"/>
          <w:lang w:val="cs-CZ"/>
        </w:rPr>
        <w:t xml:space="preserve"> (Zpráva o přiměřenosti důchodů 2024 – Současná a budoucí přiměřenost příjmů ve stáří v EU). Svazek I, Úřad pro publikace Evropské unie, 2024, </w:t>
      </w:r>
      <w:hyperlink r:id="rId33" w:history="1">
        <w:r w:rsidRPr="001E5EF9">
          <w:rPr>
            <w:rStyle w:val="Hyperlink"/>
            <w:sz w:val="24"/>
            <w:szCs w:val="24"/>
            <w:lang w:val="cs-CZ"/>
          </w:rPr>
          <w:t>https://data.europa.eu/doi/10.2767/909323</w:t>
        </w:r>
      </w:hyperlink>
      <w:r w:rsidRPr="001E5EF9">
        <w:rPr>
          <w:sz w:val="24"/>
          <w:szCs w:val="24"/>
          <w:lang w:val="cs-CZ"/>
        </w:rPr>
        <w:t>.</w:t>
      </w:r>
    </w:p>
  </w:footnote>
  <w:footnote w:id="50">
    <w:p w14:paraId="55D9BB66" w14:textId="1C98B905"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Světová banka, „</w:t>
      </w:r>
      <w:proofErr w:type="spellStart"/>
      <w:r w:rsidRPr="001E5EF9">
        <w:rPr>
          <w:sz w:val="24"/>
          <w:szCs w:val="24"/>
          <w:lang w:val="cs-CZ"/>
        </w:rPr>
        <w:t>People</w:t>
      </w:r>
      <w:proofErr w:type="spellEnd"/>
      <w:r w:rsidRPr="001E5EF9">
        <w:rPr>
          <w:sz w:val="24"/>
          <w:szCs w:val="24"/>
          <w:lang w:val="cs-CZ"/>
        </w:rPr>
        <w:t xml:space="preserve"> </w:t>
      </w:r>
      <w:proofErr w:type="spellStart"/>
      <w:r w:rsidRPr="001E5EF9">
        <w:rPr>
          <w:sz w:val="24"/>
          <w:szCs w:val="24"/>
          <w:lang w:val="cs-CZ"/>
        </w:rPr>
        <w:t>using</w:t>
      </w:r>
      <w:proofErr w:type="spellEnd"/>
      <w:r w:rsidRPr="001E5EF9">
        <w:rPr>
          <w:sz w:val="24"/>
          <w:szCs w:val="24"/>
          <w:lang w:val="cs-CZ"/>
        </w:rPr>
        <w:t xml:space="preserve"> </w:t>
      </w:r>
      <w:proofErr w:type="spellStart"/>
      <w:r w:rsidRPr="001E5EF9">
        <w:rPr>
          <w:sz w:val="24"/>
          <w:szCs w:val="24"/>
          <w:lang w:val="cs-CZ"/>
        </w:rPr>
        <w:t>safely</w:t>
      </w:r>
      <w:proofErr w:type="spellEnd"/>
      <w:r w:rsidRPr="001E5EF9">
        <w:rPr>
          <w:sz w:val="24"/>
          <w:szCs w:val="24"/>
          <w:lang w:val="cs-CZ"/>
        </w:rPr>
        <w:t xml:space="preserve"> </w:t>
      </w:r>
      <w:proofErr w:type="spellStart"/>
      <w:r w:rsidRPr="001E5EF9">
        <w:rPr>
          <w:sz w:val="24"/>
          <w:szCs w:val="24"/>
          <w:lang w:val="cs-CZ"/>
        </w:rPr>
        <w:t>managed</w:t>
      </w:r>
      <w:proofErr w:type="spellEnd"/>
      <w:r w:rsidRPr="001E5EF9">
        <w:rPr>
          <w:sz w:val="24"/>
          <w:szCs w:val="24"/>
          <w:lang w:val="cs-CZ"/>
        </w:rPr>
        <w:t xml:space="preserve"> </w:t>
      </w:r>
      <w:proofErr w:type="spellStart"/>
      <w:r w:rsidRPr="001E5EF9">
        <w:rPr>
          <w:sz w:val="24"/>
          <w:szCs w:val="24"/>
          <w:lang w:val="cs-CZ"/>
        </w:rPr>
        <w:t>drinking</w:t>
      </w:r>
      <w:proofErr w:type="spellEnd"/>
      <w:r w:rsidRPr="001E5EF9">
        <w:rPr>
          <w:sz w:val="24"/>
          <w:szCs w:val="24"/>
          <w:lang w:val="cs-CZ"/>
        </w:rPr>
        <w:t xml:space="preserve"> </w:t>
      </w:r>
      <w:proofErr w:type="spellStart"/>
      <w:r w:rsidRPr="001E5EF9">
        <w:rPr>
          <w:sz w:val="24"/>
          <w:szCs w:val="24"/>
          <w:lang w:val="cs-CZ"/>
        </w:rPr>
        <w:t>water</w:t>
      </w:r>
      <w:proofErr w:type="spellEnd"/>
      <w:r w:rsidRPr="001E5EF9">
        <w:rPr>
          <w:sz w:val="24"/>
          <w:szCs w:val="24"/>
          <w:lang w:val="cs-CZ"/>
        </w:rPr>
        <w:t xml:space="preserve"> </w:t>
      </w:r>
      <w:proofErr w:type="spellStart"/>
      <w:r w:rsidRPr="001E5EF9">
        <w:rPr>
          <w:sz w:val="24"/>
          <w:szCs w:val="24"/>
          <w:lang w:val="cs-CZ"/>
        </w:rPr>
        <w:t>services</w:t>
      </w:r>
      <w:proofErr w:type="spellEnd"/>
      <w:r w:rsidRPr="001E5EF9">
        <w:rPr>
          <w:sz w:val="24"/>
          <w:szCs w:val="24"/>
          <w:lang w:val="cs-CZ"/>
        </w:rPr>
        <w:t xml:space="preserve"> (% </w:t>
      </w:r>
      <w:proofErr w:type="spellStart"/>
      <w:r w:rsidRPr="001E5EF9">
        <w:rPr>
          <w:sz w:val="24"/>
          <w:szCs w:val="24"/>
          <w:lang w:val="cs-CZ"/>
        </w:rPr>
        <w:t>of</w:t>
      </w:r>
      <w:proofErr w:type="spellEnd"/>
      <w:r w:rsidRPr="001E5EF9">
        <w:rPr>
          <w:sz w:val="24"/>
          <w:szCs w:val="24"/>
          <w:lang w:val="cs-CZ"/>
        </w:rPr>
        <w:t xml:space="preserve"> </w:t>
      </w:r>
      <w:proofErr w:type="spellStart"/>
      <w:r w:rsidRPr="001E5EF9">
        <w:rPr>
          <w:sz w:val="24"/>
          <w:szCs w:val="24"/>
          <w:lang w:val="cs-CZ"/>
        </w:rPr>
        <w:t>population</w:t>
      </w:r>
      <w:proofErr w:type="spellEnd"/>
      <w:r w:rsidRPr="001E5EF9">
        <w:rPr>
          <w:sz w:val="24"/>
          <w:szCs w:val="24"/>
          <w:lang w:val="cs-CZ"/>
        </w:rPr>
        <w:t xml:space="preserve">) - </w:t>
      </w:r>
      <w:proofErr w:type="spellStart"/>
      <w:r w:rsidRPr="001E5EF9">
        <w:rPr>
          <w:sz w:val="24"/>
          <w:szCs w:val="24"/>
          <w:lang w:val="cs-CZ"/>
        </w:rPr>
        <w:t>European</w:t>
      </w:r>
      <w:proofErr w:type="spellEnd"/>
      <w:r w:rsidRPr="001E5EF9">
        <w:rPr>
          <w:sz w:val="24"/>
          <w:szCs w:val="24"/>
          <w:lang w:val="cs-CZ"/>
        </w:rPr>
        <w:t xml:space="preserve"> Union“ (Lidé využívající bezpečně spravované služby dodávek pitné vody (% populace) – Evropská unie), zobrazeno 9. prosince 2025, </w:t>
      </w:r>
      <w:hyperlink r:id="rId34" w:history="1">
        <w:r w:rsidRPr="001E5EF9">
          <w:rPr>
            <w:rStyle w:val="Hyperlink"/>
            <w:sz w:val="24"/>
            <w:szCs w:val="24"/>
            <w:lang w:val="cs-CZ"/>
          </w:rPr>
          <w:t>https://data.worldbank.org/indicator/SH.H2O.SMDW.ZS?locations=EU</w:t>
        </w:r>
      </w:hyperlink>
      <w:r w:rsidRPr="001E5EF9">
        <w:rPr>
          <w:sz w:val="24"/>
          <w:szCs w:val="24"/>
          <w:lang w:val="cs-CZ"/>
        </w:rPr>
        <w:t>.</w:t>
      </w:r>
    </w:p>
  </w:footnote>
  <w:footnote w:id="51">
    <w:p w14:paraId="1CF72022" w14:textId="2C065A57"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Světová banka, „</w:t>
      </w:r>
      <w:proofErr w:type="spellStart"/>
      <w:r w:rsidRPr="001E5EF9">
        <w:rPr>
          <w:sz w:val="24"/>
          <w:szCs w:val="24"/>
          <w:lang w:val="cs-CZ"/>
        </w:rPr>
        <w:t>People</w:t>
      </w:r>
      <w:proofErr w:type="spellEnd"/>
      <w:r w:rsidRPr="001E5EF9">
        <w:rPr>
          <w:sz w:val="24"/>
          <w:szCs w:val="24"/>
          <w:lang w:val="cs-CZ"/>
        </w:rPr>
        <w:t xml:space="preserve"> </w:t>
      </w:r>
      <w:proofErr w:type="spellStart"/>
      <w:r w:rsidRPr="001E5EF9">
        <w:rPr>
          <w:sz w:val="24"/>
          <w:szCs w:val="24"/>
          <w:lang w:val="cs-CZ"/>
        </w:rPr>
        <w:t>using</w:t>
      </w:r>
      <w:proofErr w:type="spellEnd"/>
      <w:r w:rsidRPr="001E5EF9">
        <w:rPr>
          <w:sz w:val="24"/>
          <w:szCs w:val="24"/>
          <w:lang w:val="cs-CZ"/>
        </w:rPr>
        <w:t xml:space="preserve"> </w:t>
      </w:r>
      <w:proofErr w:type="spellStart"/>
      <w:r w:rsidRPr="001E5EF9">
        <w:rPr>
          <w:sz w:val="24"/>
          <w:szCs w:val="24"/>
          <w:lang w:val="cs-CZ"/>
        </w:rPr>
        <w:t>at</w:t>
      </w:r>
      <w:proofErr w:type="spellEnd"/>
      <w:r w:rsidRPr="001E5EF9">
        <w:rPr>
          <w:sz w:val="24"/>
          <w:szCs w:val="24"/>
          <w:lang w:val="cs-CZ"/>
        </w:rPr>
        <w:t xml:space="preserve"> least basic </w:t>
      </w:r>
      <w:proofErr w:type="spellStart"/>
      <w:r w:rsidRPr="001E5EF9">
        <w:rPr>
          <w:sz w:val="24"/>
          <w:szCs w:val="24"/>
          <w:lang w:val="cs-CZ"/>
        </w:rPr>
        <w:t>drinking</w:t>
      </w:r>
      <w:proofErr w:type="spellEnd"/>
      <w:r w:rsidRPr="001E5EF9">
        <w:rPr>
          <w:sz w:val="24"/>
          <w:szCs w:val="24"/>
          <w:lang w:val="cs-CZ"/>
        </w:rPr>
        <w:t xml:space="preserve"> </w:t>
      </w:r>
      <w:proofErr w:type="spellStart"/>
      <w:r w:rsidRPr="001E5EF9">
        <w:rPr>
          <w:sz w:val="24"/>
          <w:szCs w:val="24"/>
          <w:lang w:val="cs-CZ"/>
        </w:rPr>
        <w:t>water</w:t>
      </w:r>
      <w:proofErr w:type="spellEnd"/>
      <w:r w:rsidRPr="001E5EF9">
        <w:rPr>
          <w:sz w:val="24"/>
          <w:szCs w:val="24"/>
          <w:lang w:val="cs-CZ"/>
        </w:rPr>
        <w:t xml:space="preserve"> </w:t>
      </w:r>
      <w:proofErr w:type="spellStart"/>
      <w:r w:rsidRPr="001E5EF9">
        <w:rPr>
          <w:sz w:val="24"/>
          <w:szCs w:val="24"/>
          <w:lang w:val="cs-CZ"/>
        </w:rPr>
        <w:t>services</w:t>
      </w:r>
      <w:proofErr w:type="spellEnd"/>
      <w:r w:rsidRPr="001E5EF9">
        <w:rPr>
          <w:sz w:val="24"/>
          <w:szCs w:val="24"/>
          <w:lang w:val="cs-CZ"/>
        </w:rPr>
        <w:t xml:space="preserve"> (% </w:t>
      </w:r>
      <w:proofErr w:type="spellStart"/>
      <w:r w:rsidRPr="001E5EF9">
        <w:rPr>
          <w:sz w:val="24"/>
          <w:szCs w:val="24"/>
          <w:lang w:val="cs-CZ"/>
        </w:rPr>
        <w:t>of</w:t>
      </w:r>
      <w:proofErr w:type="spellEnd"/>
      <w:r w:rsidRPr="001E5EF9">
        <w:rPr>
          <w:sz w:val="24"/>
          <w:szCs w:val="24"/>
          <w:lang w:val="cs-CZ"/>
        </w:rPr>
        <w:t xml:space="preserve"> </w:t>
      </w:r>
      <w:proofErr w:type="spellStart"/>
      <w:r w:rsidRPr="001E5EF9">
        <w:rPr>
          <w:sz w:val="24"/>
          <w:szCs w:val="24"/>
          <w:lang w:val="cs-CZ"/>
        </w:rPr>
        <w:t>population</w:t>
      </w:r>
      <w:proofErr w:type="spellEnd"/>
      <w:r w:rsidRPr="001E5EF9">
        <w:rPr>
          <w:sz w:val="24"/>
          <w:szCs w:val="24"/>
          <w:lang w:val="cs-CZ"/>
        </w:rPr>
        <w:t xml:space="preserve">) - </w:t>
      </w:r>
      <w:proofErr w:type="spellStart"/>
      <w:r w:rsidRPr="001E5EF9">
        <w:rPr>
          <w:sz w:val="24"/>
          <w:szCs w:val="24"/>
          <w:lang w:val="cs-CZ"/>
        </w:rPr>
        <w:t>European</w:t>
      </w:r>
      <w:proofErr w:type="spellEnd"/>
      <w:r w:rsidRPr="001E5EF9">
        <w:rPr>
          <w:sz w:val="24"/>
          <w:szCs w:val="24"/>
          <w:lang w:val="cs-CZ"/>
        </w:rPr>
        <w:t xml:space="preserve"> Union“ (Lidé využívající alespoň základní služby dodávek pitné vody (% populace) – Evropská unie), zobrazeno 9. prosince 2025, </w:t>
      </w:r>
      <w:hyperlink r:id="rId35" w:history="1">
        <w:r w:rsidRPr="001E5EF9">
          <w:rPr>
            <w:rStyle w:val="Hyperlink"/>
            <w:sz w:val="24"/>
            <w:szCs w:val="24"/>
            <w:lang w:val="cs-CZ"/>
          </w:rPr>
          <w:t>https://data.worldbank.org/indicator/SH.H2O.BASW.ZS?locations=EU</w:t>
        </w:r>
      </w:hyperlink>
      <w:r w:rsidRPr="001E5EF9">
        <w:rPr>
          <w:sz w:val="24"/>
          <w:szCs w:val="24"/>
          <w:lang w:val="cs-CZ"/>
        </w:rPr>
        <w:t>.</w:t>
      </w:r>
    </w:p>
  </w:footnote>
  <w:footnote w:id="52">
    <w:p w14:paraId="4F98774A" w14:textId="2E5359E1"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Eurostat</w:t>
      </w:r>
      <w:proofErr w:type="spellEnd"/>
      <w:r w:rsidRPr="001E5EF9">
        <w:rPr>
          <w:sz w:val="24"/>
          <w:szCs w:val="24"/>
          <w:lang w:val="cs-CZ"/>
        </w:rPr>
        <w:t>, „</w:t>
      </w:r>
      <w:proofErr w:type="spellStart"/>
      <w:r w:rsidRPr="001E5EF9">
        <w:rPr>
          <w:sz w:val="24"/>
          <w:szCs w:val="24"/>
          <w:lang w:val="cs-CZ"/>
        </w:rPr>
        <w:t>Population</w:t>
      </w:r>
      <w:proofErr w:type="spellEnd"/>
      <w:r w:rsidRPr="001E5EF9">
        <w:rPr>
          <w:sz w:val="24"/>
          <w:szCs w:val="24"/>
          <w:lang w:val="cs-CZ"/>
        </w:rPr>
        <w:t xml:space="preserve"> </w:t>
      </w:r>
      <w:proofErr w:type="spellStart"/>
      <w:r w:rsidRPr="001E5EF9">
        <w:rPr>
          <w:sz w:val="24"/>
          <w:szCs w:val="24"/>
          <w:lang w:val="cs-CZ"/>
        </w:rPr>
        <w:t>having</w:t>
      </w:r>
      <w:proofErr w:type="spellEnd"/>
      <w:r w:rsidRPr="001E5EF9">
        <w:rPr>
          <w:sz w:val="24"/>
          <w:szCs w:val="24"/>
          <w:lang w:val="cs-CZ"/>
        </w:rPr>
        <w:t xml:space="preserve"> </w:t>
      </w:r>
      <w:proofErr w:type="spellStart"/>
      <w:r w:rsidRPr="001E5EF9">
        <w:rPr>
          <w:sz w:val="24"/>
          <w:szCs w:val="24"/>
          <w:lang w:val="cs-CZ"/>
        </w:rPr>
        <w:t>neither</w:t>
      </w:r>
      <w:proofErr w:type="spellEnd"/>
      <w:r w:rsidRPr="001E5EF9">
        <w:rPr>
          <w:sz w:val="24"/>
          <w:szCs w:val="24"/>
          <w:lang w:val="cs-CZ"/>
        </w:rPr>
        <w:t xml:space="preserve"> a </w:t>
      </w:r>
      <w:proofErr w:type="spellStart"/>
      <w:r w:rsidRPr="001E5EF9">
        <w:rPr>
          <w:sz w:val="24"/>
          <w:szCs w:val="24"/>
          <w:lang w:val="cs-CZ"/>
        </w:rPr>
        <w:t>bath</w:t>
      </w:r>
      <w:proofErr w:type="spellEnd"/>
      <w:r w:rsidRPr="001E5EF9">
        <w:rPr>
          <w:sz w:val="24"/>
          <w:szCs w:val="24"/>
          <w:lang w:val="cs-CZ"/>
        </w:rPr>
        <w:t xml:space="preserve">, nor a </w:t>
      </w:r>
      <w:proofErr w:type="spellStart"/>
      <w:r w:rsidRPr="001E5EF9">
        <w:rPr>
          <w:sz w:val="24"/>
          <w:szCs w:val="24"/>
          <w:lang w:val="cs-CZ"/>
        </w:rPr>
        <w:t>shower</w:t>
      </w:r>
      <w:proofErr w:type="spellEnd"/>
      <w:r w:rsidRPr="001E5EF9">
        <w:rPr>
          <w:sz w:val="24"/>
          <w:szCs w:val="24"/>
          <w:lang w:val="cs-CZ"/>
        </w:rPr>
        <w:t xml:space="preserve">, nor </w:t>
      </w:r>
      <w:proofErr w:type="spellStart"/>
      <w:r w:rsidRPr="001E5EF9">
        <w:rPr>
          <w:sz w:val="24"/>
          <w:szCs w:val="24"/>
          <w:lang w:val="cs-CZ"/>
        </w:rPr>
        <w:t>indoor</w:t>
      </w:r>
      <w:proofErr w:type="spellEnd"/>
      <w:r w:rsidRPr="001E5EF9">
        <w:rPr>
          <w:sz w:val="24"/>
          <w:szCs w:val="24"/>
          <w:lang w:val="cs-CZ"/>
        </w:rPr>
        <w:t xml:space="preserve"> </w:t>
      </w:r>
      <w:proofErr w:type="spellStart"/>
      <w:r w:rsidRPr="001E5EF9">
        <w:rPr>
          <w:sz w:val="24"/>
          <w:szCs w:val="24"/>
          <w:lang w:val="cs-CZ"/>
        </w:rPr>
        <w:t>flushing</w:t>
      </w:r>
      <w:proofErr w:type="spellEnd"/>
      <w:r w:rsidRPr="001E5EF9">
        <w:rPr>
          <w:sz w:val="24"/>
          <w:szCs w:val="24"/>
          <w:lang w:val="cs-CZ"/>
        </w:rPr>
        <w:t xml:space="preserve"> </w:t>
      </w:r>
      <w:proofErr w:type="spellStart"/>
      <w:r w:rsidRPr="001E5EF9">
        <w:rPr>
          <w:sz w:val="24"/>
          <w:szCs w:val="24"/>
          <w:lang w:val="cs-CZ"/>
        </w:rPr>
        <w:t>toilet</w:t>
      </w:r>
      <w:proofErr w:type="spellEnd"/>
      <w:r w:rsidRPr="001E5EF9">
        <w:rPr>
          <w:sz w:val="24"/>
          <w:szCs w:val="24"/>
          <w:lang w:val="cs-CZ"/>
        </w:rPr>
        <w:t xml:space="preserve"> in </w:t>
      </w:r>
      <w:proofErr w:type="spellStart"/>
      <w:r w:rsidRPr="001E5EF9">
        <w:rPr>
          <w:sz w:val="24"/>
          <w:szCs w:val="24"/>
          <w:lang w:val="cs-CZ"/>
        </w:rPr>
        <w:t>their</w:t>
      </w:r>
      <w:proofErr w:type="spellEnd"/>
      <w:r w:rsidRPr="001E5EF9">
        <w:rPr>
          <w:sz w:val="24"/>
          <w:szCs w:val="24"/>
          <w:lang w:val="cs-CZ"/>
        </w:rPr>
        <w:t xml:space="preserve"> </w:t>
      </w:r>
      <w:proofErr w:type="spellStart"/>
      <w:r w:rsidRPr="001E5EF9">
        <w:rPr>
          <w:sz w:val="24"/>
          <w:szCs w:val="24"/>
          <w:lang w:val="cs-CZ"/>
        </w:rPr>
        <w:t>household</w:t>
      </w:r>
      <w:proofErr w:type="spellEnd"/>
      <w:r w:rsidRPr="001E5EF9">
        <w:rPr>
          <w:sz w:val="24"/>
          <w:szCs w:val="24"/>
          <w:lang w:val="cs-CZ"/>
        </w:rPr>
        <w:t xml:space="preserve"> by </w:t>
      </w:r>
      <w:proofErr w:type="spellStart"/>
      <w:r w:rsidRPr="001E5EF9">
        <w:rPr>
          <w:sz w:val="24"/>
          <w:szCs w:val="24"/>
          <w:lang w:val="cs-CZ"/>
        </w:rPr>
        <w:t>poverty</w:t>
      </w:r>
      <w:proofErr w:type="spellEnd"/>
      <w:r w:rsidRPr="001E5EF9">
        <w:rPr>
          <w:sz w:val="24"/>
          <w:szCs w:val="24"/>
          <w:lang w:val="cs-CZ"/>
        </w:rPr>
        <w:t xml:space="preserve"> status“ (Obyvatelé, kteří nemají ani vanu, ani sprchu, ani splachovací toaletu uvnitř své domácnosti, z důvodu své chudoby, </w:t>
      </w:r>
      <w:proofErr w:type="spellStart"/>
      <w:r w:rsidRPr="001E5EF9">
        <w:rPr>
          <w:sz w:val="24"/>
          <w:szCs w:val="24"/>
          <w:lang w:val="cs-CZ"/>
        </w:rPr>
        <w:t>Eurostat</w:t>
      </w:r>
      <w:proofErr w:type="spellEnd"/>
      <w:r w:rsidRPr="001E5EF9">
        <w:rPr>
          <w:sz w:val="24"/>
          <w:szCs w:val="24"/>
          <w:lang w:val="cs-CZ"/>
        </w:rPr>
        <w:t xml:space="preserve"> data browser, 28. října 2025, zobrazeno 9. prosince 2025, </w:t>
      </w:r>
      <w:hyperlink r:id="rId36" w:history="1">
        <w:r w:rsidRPr="001E5EF9">
          <w:rPr>
            <w:rStyle w:val="Hyperlink"/>
            <w:sz w:val="24"/>
            <w:szCs w:val="24"/>
            <w:lang w:val="cs-CZ"/>
          </w:rPr>
          <w:t>https://ec.europa.eu/eurostat/databrowser/view/sdg_06_10/default/table?lang=en</w:t>
        </w:r>
      </w:hyperlink>
      <w:r w:rsidRPr="001E5EF9">
        <w:rPr>
          <w:sz w:val="24"/>
          <w:szCs w:val="24"/>
          <w:lang w:val="cs-CZ"/>
        </w:rPr>
        <w:t>.</w:t>
      </w:r>
    </w:p>
  </w:footnote>
  <w:footnote w:id="53">
    <w:p w14:paraId="272541E7" w14:textId="2FF698C3"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Evropské federace národních organizací pracujících s bezdomovci (FEANTSA), </w:t>
      </w:r>
      <w:r w:rsidRPr="001E5EF9">
        <w:rPr>
          <w:i/>
          <w:sz w:val="24"/>
          <w:szCs w:val="24"/>
          <w:lang w:val="cs-CZ"/>
        </w:rPr>
        <w:t xml:space="preserve">9th </w:t>
      </w:r>
      <w:proofErr w:type="spellStart"/>
      <w:r w:rsidRPr="001E5EF9">
        <w:rPr>
          <w:i/>
          <w:sz w:val="24"/>
          <w:szCs w:val="24"/>
          <w:lang w:val="cs-CZ"/>
        </w:rPr>
        <w:t>overview</w:t>
      </w:r>
      <w:proofErr w:type="spellEnd"/>
      <w:r w:rsidRPr="001E5EF9">
        <w:rPr>
          <w:i/>
          <w:sz w:val="24"/>
          <w:szCs w:val="24"/>
          <w:lang w:val="cs-CZ"/>
        </w:rPr>
        <w:t xml:space="preserve"> </w:t>
      </w:r>
      <w:proofErr w:type="spellStart"/>
      <w:r w:rsidRPr="001E5EF9">
        <w:rPr>
          <w:i/>
          <w:sz w:val="24"/>
          <w:szCs w:val="24"/>
          <w:lang w:val="cs-CZ"/>
        </w:rPr>
        <w:t>of</w:t>
      </w:r>
      <w:proofErr w:type="spellEnd"/>
      <w:r w:rsidRPr="001E5EF9">
        <w:rPr>
          <w:i/>
          <w:sz w:val="24"/>
          <w:szCs w:val="24"/>
          <w:lang w:val="cs-CZ"/>
        </w:rPr>
        <w:t xml:space="preserve"> </w:t>
      </w:r>
      <w:proofErr w:type="spellStart"/>
      <w:r w:rsidRPr="001E5EF9">
        <w:rPr>
          <w:i/>
          <w:sz w:val="24"/>
          <w:szCs w:val="24"/>
          <w:lang w:val="cs-CZ"/>
        </w:rPr>
        <w:t>housing</w:t>
      </w:r>
      <w:proofErr w:type="spellEnd"/>
      <w:r w:rsidRPr="001E5EF9">
        <w:rPr>
          <w:i/>
          <w:sz w:val="24"/>
          <w:szCs w:val="24"/>
          <w:lang w:val="cs-CZ"/>
        </w:rPr>
        <w:t xml:space="preserve"> </w:t>
      </w:r>
      <w:proofErr w:type="spellStart"/>
      <w:r w:rsidRPr="001E5EF9">
        <w:rPr>
          <w:i/>
          <w:sz w:val="24"/>
          <w:szCs w:val="24"/>
          <w:lang w:val="cs-CZ"/>
        </w:rPr>
        <w:t>exclusion</w:t>
      </w:r>
      <w:proofErr w:type="spellEnd"/>
      <w:r w:rsidRPr="001E5EF9">
        <w:rPr>
          <w:i/>
          <w:sz w:val="24"/>
          <w:szCs w:val="24"/>
          <w:lang w:val="cs-CZ"/>
        </w:rPr>
        <w:t xml:space="preserve"> in </w:t>
      </w:r>
      <w:proofErr w:type="spellStart"/>
      <w:r w:rsidRPr="001E5EF9">
        <w:rPr>
          <w:i/>
          <w:sz w:val="24"/>
          <w:szCs w:val="24"/>
          <w:lang w:val="cs-CZ"/>
        </w:rPr>
        <w:t>Europe</w:t>
      </w:r>
      <w:proofErr w:type="spellEnd"/>
      <w:r w:rsidRPr="001E5EF9">
        <w:rPr>
          <w:i/>
          <w:sz w:val="24"/>
          <w:szCs w:val="24"/>
          <w:lang w:val="cs-CZ"/>
        </w:rPr>
        <w:t xml:space="preserve"> 2024</w:t>
      </w:r>
      <w:r w:rsidRPr="001E5EF9">
        <w:rPr>
          <w:sz w:val="24"/>
          <w:szCs w:val="24"/>
          <w:lang w:val="cs-CZ"/>
        </w:rPr>
        <w:t xml:space="preserve"> (Devátý přehled vyloučení z přístupu k bydlení v Evropě), </w:t>
      </w:r>
      <w:hyperlink r:id="rId37" w:history="1">
        <w:r w:rsidRPr="001E5EF9">
          <w:rPr>
            <w:rStyle w:val="Hyperlink"/>
            <w:sz w:val="24"/>
            <w:szCs w:val="24"/>
            <w:lang w:val="cs-CZ"/>
          </w:rPr>
          <w:t>https://www.feantsa.org/resources/9th-overview-of-housing-exclusion-in-europe-2024</w:t>
        </w:r>
      </w:hyperlink>
      <w:r w:rsidRPr="001E5EF9">
        <w:rPr>
          <w:sz w:val="24"/>
          <w:szCs w:val="24"/>
          <w:lang w:val="cs-CZ"/>
        </w:rPr>
        <w:t>.</w:t>
      </w:r>
    </w:p>
  </w:footnote>
  <w:footnote w:id="54">
    <w:p w14:paraId="5B5E0399" w14:textId="56CB6890"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Agentura Evropské unie pro základní práva, </w:t>
      </w:r>
      <w:proofErr w:type="spellStart"/>
      <w:r w:rsidRPr="001E5EF9">
        <w:rPr>
          <w:i/>
          <w:sz w:val="24"/>
          <w:szCs w:val="24"/>
          <w:lang w:val="cs-CZ"/>
        </w:rPr>
        <w:t>Housing</w:t>
      </w:r>
      <w:proofErr w:type="spellEnd"/>
      <w:r w:rsidRPr="001E5EF9">
        <w:rPr>
          <w:i/>
          <w:sz w:val="24"/>
          <w:szCs w:val="24"/>
          <w:lang w:val="cs-CZ"/>
        </w:rPr>
        <w:t xml:space="preserve"> </w:t>
      </w:r>
      <w:proofErr w:type="spellStart"/>
      <w:r w:rsidRPr="001E5EF9">
        <w:rPr>
          <w:i/>
          <w:sz w:val="24"/>
          <w:szCs w:val="24"/>
          <w:lang w:val="cs-CZ"/>
        </w:rPr>
        <w:t>conditions</w:t>
      </w:r>
      <w:proofErr w:type="spellEnd"/>
      <w:r w:rsidRPr="001E5EF9">
        <w:rPr>
          <w:i/>
          <w:sz w:val="24"/>
          <w:szCs w:val="24"/>
          <w:lang w:val="cs-CZ"/>
        </w:rPr>
        <w:t xml:space="preserve"> </w:t>
      </w:r>
      <w:proofErr w:type="spellStart"/>
      <w:r w:rsidRPr="001E5EF9">
        <w:rPr>
          <w:i/>
          <w:sz w:val="24"/>
          <w:szCs w:val="24"/>
          <w:lang w:val="cs-CZ"/>
        </w:rPr>
        <w:t>of</w:t>
      </w:r>
      <w:proofErr w:type="spellEnd"/>
      <w:r w:rsidRPr="001E5EF9">
        <w:rPr>
          <w:i/>
          <w:sz w:val="24"/>
          <w:szCs w:val="24"/>
          <w:lang w:val="cs-CZ"/>
        </w:rPr>
        <w:t xml:space="preserve"> Roma and </w:t>
      </w:r>
      <w:proofErr w:type="spellStart"/>
      <w:r w:rsidRPr="001E5EF9">
        <w:rPr>
          <w:i/>
          <w:sz w:val="24"/>
          <w:szCs w:val="24"/>
          <w:lang w:val="cs-CZ"/>
        </w:rPr>
        <w:t>Travellers</w:t>
      </w:r>
      <w:proofErr w:type="spellEnd"/>
      <w:r w:rsidRPr="001E5EF9">
        <w:rPr>
          <w:i/>
          <w:sz w:val="24"/>
          <w:szCs w:val="24"/>
          <w:lang w:val="cs-CZ"/>
        </w:rPr>
        <w:t xml:space="preserve"> in </w:t>
      </w:r>
      <w:proofErr w:type="spellStart"/>
      <w:r w:rsidRPr="001E5EF9">
        <w:rPr>
          <w:i/>
          <w:sz w:val="24"/>
          <w:szCs w:val="24"/>
          <w:lang w:val="cs-CZ"/>
        </w:rPr>
        <w:t>the</w:t>
      </w:r>
      <w:proofErr w:type="spellEnd"/>
      <w:r w:rsidRPr="001E5EF9">
        <w:rPr>
          <w:i/>
          <w:sz w:val="24"/>
          <w:szCs w:val="24"/>
          <w:lang w:val="cs-CZ"/>
        </w:rPr>
        <w:t xml:space="preserve"> </w:t>
      </w:r>
      <w:proofErr w:type="spellStart"/>
      <w:r w:rsidRPr="001E5EF9">
        <w:rPr>
          <w:i/>
          <w:sz w:val="24"/>
          <w:szCs w:val="24"/>
          <w:lang w:val="cs-CZ"/>
        </w:rPr>
        <w:t>European</w:t>
      </w:r>
      <w:proofErr w:type="spellEnd"/>
      <w:r w:rsidRPr="001E5EF9">
        <w:rPr>
          <w:i/>
          <w:sz w:val="24"/>
          <w:szCs w:val="24"/>
          <w:lang w:val="cs-CZ"/>
        </w:rPr>
        <w:t xml:space="preserve"> Union – </w:t>
      </w:r>
      <w:proofErr w:type="spellStart"/>
      <w:r w:rsidRPr="001E5EF9">
        <w:rPr>
          <w:i/>
          <w:sz w:val="24"/>
          <w:szCs w:val="24"/>
          <w:lang w:val="cs-CZ"/>
        </w:rPr>
        <w:t>Comparative</w:t>
      </w:r>
      <w:proofErr w:type="spellEnd"/>
      <w:r w:rsidRPr="001E5EF9">
        <w:rPr>
          <w:i/>
          <w:sz w:val="24"/>
          <w:szCs w:val="24"/>
          <w:lang w:val="cs-CZ"/>
        </w:rPr>
        <w:t xml:space="preserve"> report</w:t>
      </w:r>
      <w:r w:rsidRPr="001E5EF9">
        <w:rPr>
          <w:sz w:val="24"/>
          <w:szCs w:val="24"/>
          <w:lang w:val="cs-CZ"/>
        </w:rPr>
        <w:t xml:space="preserve"> (Podmínky bydlení Romů a </w:t>
      </w:r>
      <w:proofErr w:type="spellStart"/>
      <w:r w:rsidRPr="001E5EF9">
        <w:rPr>
          <w:sz w:val="24"/>
          <w:szCs w:val="24"/>
          <w:lang w:val="cs-CZ"/>
        </w:rPr>
        <w:t>Travellerů</w:t>
      </w:r>
      <w:proofErr w:type="spellEnd"/>
      <w:r w:rsidRPr="001E5EF9">
        <w:rPr>
          <w:sz w:val="24"/>
          <w:szCs w:val="24"/>
          <w:lang w:val="cs-CZ"/>
        </w:rPr>
        <w:t xml:space="preserve"> v Evropské unii – srovnávací zpráva), 2009, </w:t>
      </w:r>
      <w:hyperlink r:id="rId38" w:history="1">
        <w:r w:rsidRPr="001E5EF9">
          <w:rPr>
            <w:rStyle w:val="Hyperlink"/>
            <w:sz w:val="24"/>
            <w:szCs w:val="24"/>
            <w:lang w:val="cs-CZ"/>
          </w:rPr>
          <w:t>https://fra.europa.eu/en/publication/2011/housing-conditions-roma-and-travellers-european-union-comparative-report</w:t>
        </w:r>
      </w:hyperlink>
      <w:r w:rsidRPr="001E5EF9">
        <w:rPr>
          <w:sz w:val="24"/>
          <w:szCs w:val="24"/>
          <w:lang w:val="cs-CZ"/>
        </w:rPr>
        <w:t>.</w:t>
      </w:r>
    </w:p>
  </w:footnote>
  <w:footnote w:id="55">
    <w:p w14:paraId="40BCE5C4" w14:textId="7E9B8E5C"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UNICEF, </w:t>
      </w:r>
      <w:proofErr w:type="spellStart"/>
      <w:r w:rsidRPr="001E5EF9">
        <w:rPr>
          <w:i/>
          <w:sz w:val="24"/>
          <w:szCs w:val="24"/>
          <w:lang w:val="cs-CZ"/>
        </w:rPr>
        <w:t>Policy</w:t>
      </w:r>
      <w:proofErr w:type="spellEnd"/>
      <w:r w:rsidRPr="001E5EF9">
        <w:rPr>
          <w:i/>
          <w:sz w:val="24"/>
          <w:szCs w:val="24"/>
          <w:lang w:val="cs-CZ"/>
        </w:rPr>
        <w:t xml:space="preserve"> </w:t>
      </w:r>
      <w:proofErr w:type="spellStart"/>
      <w:r w:rsidRPr="001E5EF9">
        <w:rPr>
          <w:i/>
          <w:sz w:val="24"/>
          <w:szCs w:val="24"/>
          <w:lang w:val="cs-CZ"/>
        </w:rPr>
        <w:t>brief</w:t>
      </w:r>
      <w:proofErr w:type="spellEnd"/>
      <w:r w:rsidRPr="001E5EF9">
        <w:rPr>
          <w:i/>
          <w:sz w:val="24"/>
          <w:szCs w:val="24"/>
          <w:lang w:val="cs-CZ"/>
        </w:rPr>
        <w:t xml:space="preserve">: </w:t>
      </w:r>
      <w:proofErr w:type="spellStart"/>
      <w:r w:rsidRPr="001E5EF9">
        <w:rPr>
          <w:i/>
          <w:sz w:val="24"/>
          <w:szCs w:val="24"/>
          <w:lang w:val="cs-CZ"/>
        </w:rPr>
        <w:t>Keeping</w:t>
      </w:r>
      <w:proofErr w:type="spellEnd"/>
      <w:r w:rsidRPr="001E5EF9">
        <w:rPr>
          <w:i/>
          <w:sz w:val="24"/>
          <w:szCs w:val="24"/>
          <w:lang w:val="cs-CZ"/>
        </w:rPr>
        <w:t xml:space="preserve"> </w:t>
      </w:r>
      <w:proofErr w:type="spellStart"/>
      <w:r w:rsidRPr="001E5EF9">
        <w:rPr>
          <w:i/>
          <w:sz w:val="24"/>
          <w:szCs w:val="24"/>
          <w:lang w:val="cs-CZ"/>
        </w:rPr>
        <w:t>families</w:t>
      </w:r>
      <w:proofErr w:type="spellEnd"/>
      <w:r w:rsidRPr="001E5EF9">
        <w:rPr>
          <w:i/>
          <w:sz w:val="24"/>
          <w:szCs w:val="24"/>
          <w:lang w:val="cs-CZ"/>
        </w:rPr>
        <w:t xml:space="preserve"> </w:t>
      </w:r>
      <w:proofErr w:type="spellStart"/>
      <w:r w:rsidRPr="001E5EF9">
        <w:rPr>
          <w:i/>
          <w:sz w:val="24"/>
          <w:szCs w:val="24"/>
          <w:lang w:val="cs-CZ"/>
        </w:rPr>
        <w:t>together</w:t>
      </w:r>
      <w:proofErr w:type="spellEnd"/>
      <w:r w:rsidRPr="001E5EF9">
        <w:rPr>
          <w:i/>
          <w:sz w:val="24"/>
          <w:szCs w:val="24"/>
          <w:lang w:val="cs-CZ"/>
        </w:rPr>
        <w:t xml:space="preserve"> in </w:t>
      </w:r>
      <w:proofErr w:type="spellStart"/>
      <w:r w:rsidRPr="001E5EF9">
        <w:rPr>
          <w:i/>
          <w:sz w:val="24"/>
          <w:szCs w:val="24"/>
          <w:lang w:val="cs-CZ"/>
        </w:rPr>
        <w:t>Europe</w:t>
      </w:r>
      <w:proofErr w:type="spellEnd"/>
      <w:r w:rsidRPr="001E5EF9">
        <w:rPr>
          <w:sz w:val="24"/>
          <w:szCs w:val="24"/>
          <w:lang w:val="cs-CZ"/>
        </w:rPr>
        <w:t xml:space="preserve"> (Politická zpráva: Udržet rodiny pohromadě), 2024, </w:t>
      </w:r>
      <w:hyperlink r:id="rId39" w:history="1">
        <w:r w:rsidRPr="001E5EF9">
          <w:rPr>
            <w:rStyle w:val="Hyperlink"/>
            <w:sz w:val="24"/>
            <w:szCs w:val="24"/>
            <w:lang w:val="cs-CZ"/>
          </w:rPr>
          <w:t>https://www.unicef.org/eca/media/36541/file/Keeping%20families%20together%20in%20Europe.pdf</w:t>
        </w:r>
      </w:hyperlink>
      <w:r w:rsidRPr="001E5EF9">
        <w:rPr>
          <w:sz w:val="24"/>
          <w:szCs w:val="24"/>
          <w:lang w:val="cs-CZ"/>
        </w:rPr>
        <w:t>.</w:t>
      </w:r>
    </w:p>
  </w:footnote>
  <w:footnote w:id="56">
    <w:p w14:paraId="29C75A3C" w14:textId="1EAE7A76"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hyperlink r:id="rId40" w:history="1">
        <w:r w:rsidRPr="001E5EF9">
          <w:rPr>
            <w:sz w:val="24"/>
            <w:szCs w:val="24"/>
            <w:lang w:val="cs-CZ"/>
          </w:rPr>
          <w:t xml:space="preserve">Eurostat, „Social Scoreboard“ (Sociální ukazatele), </w:t>
        </w:r>
        <w:hyperlink r:id="rId41" w:history="1">
          <w:r w:rsidRPr="001E5EF9">
            <w:rPr>
              <w:rStyle w:val="Hyperlink"/>
              <w:sz w:val="24"/>
              <w:szCs w:val="24"/>
              <w:lang w:val="cs-CZ"/>
            </w:rPr>
            <w:t>https://ec.europa.eu/eurostat/cache/dashboard/social-scoreboard</w:t>
          </w:r>
        </w:hyperlink>
        <w:r w:rsidRPr="001E5EF9">
          <w:rPr>
            <w:sz w:val="24"/>
            <w:szCs w:val="24"/>
            <w:lang w:val="cs-CZ"/>
          </w:rPr>
          <w:t>.</w:t>
        </w:r>
      </w:hyperlink>
    </w:p>
  </w:footnote>
  <w:footnote w:id="57">
    <w:p w14:paraId="5FDD74F4" w14:textId="643E0B75"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398, 22.12.2012, s. 1.</w:t>
      </w:r>
    </w:p>
  </w:footnote>
  <w:footnote w:id="58">
    <w:p w14:paraId="4DDCA795" w14:textId="343F6832"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Usnesení Evropského parlamentu ze dne 6. července 2022 o akčním plánu EU pro sociální ekonomiku (</w:t>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C 47, 7.2.2023, s. 171).</w:t>
      </w:r>
    </w:p>
  </w:footnote>
  <w:footnote w:id="59">
    <w:p w14:paraId="501ACBD2" w14:textId="78C696F2"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proofErr w:type="spellStart"/>
      <w:r w:rsidRPr="001E5EF9">
        <w:rPr>
          <w:sz w:val="24"/>
          <w:szCs w:val="24"/>
          <w:lang w:val="cs-CZ"/>
        </w:rPr>
        <w:t>Eurofound</w:t>
      </w:r>
      <w:proofErr w:type="spellEnd"/>
      <w:r w:rsidRPr="001E5EF9">
        <w:rPr>
          <w:sz w:val="24"/>
          <w:szCs w:val="24"/>
          <w:lang w:val="cs-CZ"/>
        </w:rPr>
        <w:t xml:space="preserve">, </w:t>
      </w:r>
      <w:proofErr w:type="spellStart"/>
      <w:r w:rsidRPr="001E5EF9">
        <w:rPr>
          <w:i/>
          <w:iCs/>
          <w:sz w:val="24"/>
          <w:szCs w:val="24"/>
          <w:lang w:val="cs-CZ"/>
        </w:rPr>
        <w:t>Paths</w:t>
      </w:r>
      <w:proofErr w:type="spellEnd"/>
      <w:r w:rsidRPr="001E5EF9">
        <w:rPr>
          <w:i/>
          <w:iCs/>
          <w:sz w:val="24"/>
          <w:szCs w:val="24"/>
          <w:lang w:val="cs-CZ"/>
        </w:rPr>
        <w:t xml:space="preserve"> </w:t>
      </w:r>
      <w:proofErr w:type="spellStart"/>
      <w:r w:rsidRPr="001E5EF9">
        <w:rPr>
          <w:i/>
          <w:iCs/>
          <w:sz w:val="24"/>
          <w:szCs w:val="24"/>
          <w:lang w:val="cs-CZ"/>
        </w:rPr>
        <w:t>towards</w:t>
      </w:r>
      <w:proofErr w:type="spellEnd"/>
      <w:r w:rsidRPr="001E5EF9">
        <w:rPr>
          <w:i/>
          <w:iCs/>
          <w:sz w:val="24"/>
          <w:szCs w:val="24"/>
          <w:lang w:val="cs-CZ"/>
        </w:rPr>
        <w:t xml:space="preserve"> independent </w:t>
      </w:r>
      <w:proofErr w:type="spellStart"/>
      <w:r w:rsidRPr="001E5EF9">
        <w:rPr>
          <w:i/>
          <w:iCs/>
          <w:sz w:val="24"/>
          <w:szCs w:val="24"/>
          <w:lang w:val="cs-CZ"/>
        </w:rPr>
        <w:t>living</w:t>
      </w:r>
      <w:proofErr w:type="spellEnd"/>
      <w:r w:rsidRPr="001E5EF9">
        <w:rPr>
          <w:i/>
          <w:iCs/>
          <w:sz w:val="24"/>
          <w:szCs w:val="24"/>
          <w:lang w:val="cs-CZ"/>
        </w:rPr>
        <w:t xml:space="preserve"> and </w:t>
      </w:r>
      <w:proofErr w:type="spellStart"/>
      <w:r w:rsidRPr="001E5EF9">
        <w:rPr>
          <w:i/>
          <w:iCs/>
          <w:sz w:val="24"/>
          <w:szCs w:val="24"/>
          <w:lang w:val="cs-CZ"/>
        </w:rPr>
        <w:t>social</w:t>
      </w:r>
      <w:proofErr w:type="spellEnd"/>
      <w:r w:rsidRPr="001E5EF9">
        <w:rPr>
          <w:i/>
          <w:iCs/>
          <w:sz w:val="24"/>
          <w:szCs w:val="24"/>
          <w:lang w:val="cs-CZ"/>
        </w:rPr>
        <w:t xml:space="preserve"> </w:t>
      </w:r>
      <w:proofErr w:type="spellStart"/>
      <w:r w:rsidRPr="001E5EF9">
        <w:rPr>
          <w:i/>
          <w:iCs/>
          <w:sz w:val="24"/>
          <w:szCs w:val="24"/>
          <w:lang w:val="cs-CZ"/>
        </w:rPr>
        <w:t>inclusion</w:t>
      </w:r>
      <w:proofErr w:type="spellEnd"/>
      <w:r w:rsidRPr="001E5EF9">
        <w:rPr>
          <w:i/>
          <w:iCs/>
          <w:sz w:val="24"/>
          <w:szCs w:val="24"/>
          <w:lang w:val="cs-CZ"/>
        </w:rPr>
        <w:t xml:space="preserve"> in </w:t>
      </w:r>
      <w:proofErr w:type="spellStart"/>
      <w:r w:rsidRPr="001E5EF9">
        <w:rPr>
          <w:i/>
          <w:iCs/>
          <w:sz w:val="24"/>
          <w:szCs w:val="24"/>
          <w:lang w:val="cs-CZ"/>
        </w:rPr>
        <w:t>Europe</w:t>
      </w:r>
      <w:proofErr w:type="spellEnd"/>
      <w:r w:rsidRPr="001E5EF9">
        <w:rPr>
          <w:sz w:val="24"/>
          <w:szCs w:val="24"/>
          <w:lang w:val="cs-CZ"/>
        </w:rPr>
        <w:t xml:space="preserve"> (Cesty k</w:t>
      </w:r>
      <w:r w:rsidR="00BF5138" w:rsidRPr="001E5EF9">
        <w:rPr>
          <w:sz w:val="24"/>
          <w:szCs w:val="24"/>
          <w:lang w:val="cs-CZ"/>
        </w:rPr>
        <w:t> </w:t>
      </w:r>
      <w:r w:rsidRPr="001E5EF9">
        <w:rPr>
          <w:sz w:val="24"/>
          <w:szCs w:val="24"/>
          <w:lang w:val="cs-CZ"/>
        </w:rPr>
        <w:t>nezávislému životu a sociálnímu začlenění v Evropě), Úřad pro publikace Evropské unie, Lucemburk, 2024.</w:t>
      </w:r>
    </w:p>
  </w:footnote>
  <w:footnote w:id="60">
    <w:p w14:paraId="20F5CBE5" w14:textId="0D42A65D" w:rsidR="00A27140" w:rsidRPr="000C6FCA" w:rsidRDefault="00A27140" w:rsidP="000C6FCA">
      <w:pPr>
        <w:pStyle w:val="FootnoteText"/>
        <w:ind w:left="567" w:hanging="567"/>
        <w:rPr>
          <w:sz w:val="24"/>
          <w:szCs w:val="24"/>
          <w:lang w:val="en-GB"/>
        </w:rPr>
      </w:pPr>
      <w:r w:rsidRPr="000C6FCA">
        <w:rPr>
          <w:rStyle w:val="FootnoteReference"/>
          <w:sz w:val="24"/>
          <w:szCs w:val="24"/>
        </w:rPr>
        <w:footnoteRef/>
      </w:r>
      <w:r w:rsidRPr="000C6FCA">
        <w:rPr>
          <w:sz w:val="24"/>
          <w:szCs w:val="24"/>
          <w:lang w:val="en-GB"/>
        </w:rPr>
        <w:t xml:space="preserve"> </w:t>
      </w:r>
      <w:r w:rsidRPr="000C6FCA">
        <w:rPr>
          <w:sz w:val="24"/>
          <w:szCs w:val="24"/>
          <w:lang w:val="cs-CZ"/>
        </w:rPr>
        <w:tab/>
        <w:t xml:space="preserve">Výbor pro sociální ochranu, „Update </w:t>
      </w:r>
      <w:proofErr w:type="spellStart"/>
      <w:r w:rsidRPr="000C6FCA">
        <w:rPr>
          <w:sz w:val="24"/>
          <w:szCs w:val="24"/>
          <w:lang w:val="cs-CZ"/>
        </w:rPr>
        <w:t>of</w:t>
      </w:r>
      <w:proofErr w:type="spellEnd"/>
      <w:r w:rsidRPr="000C6FCA">
        <w:rPr>
          <w:sz w:val="24"/>
          <w:szCs w:val="24"/>
          <w:lang w:val="cs-CZ"/>
        </w:rPr>
        <w:t xml:space="preserve"> </w:t>
      </w:r>
      <w:proofErr w:type="spellStart"/>
      <w:r w:rsidRPr="000C6FCA">
        <w:rPr>
          <w:sz w:val="24"/>
          <w:szCs w:val="24"/>
          <w:lang w:val="cs-CZ"/>
        </w:rPr>
        <w:t>the</w:t>
      </w:r>
      <w:proofErr w:type="spellEnd"/>
      <w:r w:rsidRPr="000C6FCA">
        <w:rPr>
          <w:sz w:val="24"/>
          <w:szCs w:val="24"/>
          <w:lang w:val="cs-CZ"/>
        </w:rPr>
        <w:t xml:space="preserve"> monitoring framework </w:t>
      </w:r>
      <w:proofErr w:type="spellStart"/>
      <w:r w:rsidRPr="000C6FCA">
        <w:rPr>
          <w:sz w:val="24"/>
          <w:szCs w:val="24"/>
          <w:lang w:val="cs-CZ"/>
        </w:rPr>
        <w:t>for</w:t>
      </w:r>
      <w:proofErr w:type="spellEnd"/>
      <w:r w:rsidRPr="000C6FCA">
        <w:rPr>
          <w:sz w:val="24"/>
          <w:szCs w:val="24"/>
          <w:lang w:val="cs-CZ"/>
        </w:rPr>
        <w:t xml:space="preserve"> </w:t>
      </w:r>
      <w:proofErr w:type="spellStart"/>
      <w:r w:rsidRPr="000C6FCA">
        <w:rPr>
          <w:sz w:val="24"/>
          <w:szCs w:val="24"/>
          <w:lang w:val="cs-CZ"/>
        </w:rPr>
        <w:t>the</w:t>
      </w:r>
      <w:proofErr w:type="spellEnd"/>
      <w:r w:rsidRPr="000C6FCA">
        <w:rPr>
          <w:sz w:val="24"/>
          <w:szCs w:val="24"/>
          <w:lang w:val="cs-CZ"/>
        </w:rPr>
        <w:t xml:space="preserve"> </w:t>
      </w:r>
      <w:proofErr w:type="spellStart"/>
      <w:r w:rsidRPr="000C6FCA">
        <w:rPr>
          <w:sz w:val="24"/>
          <w:szCs w:val="24"/>
          <w:lang w:val="cs-CZ"/>
        </w:rPr>
        <w:t>European</w:t>
      </w:r>
      <w:proofErr w:type="spellEnd"/>
      <w:r w:rsidRPr="000C6FCA">
        <w:rPr>
          <w:sz w:val="24"/>
          <w:szCs w:val="24"/>
          <w:lang w:val="cs-CZ"/>
        </w:rPr>
        <w:t xml:space="preserve"> </w:t>
      </w:r>
      <w:proofErr w:type="spellStart"/>
      <w:r w:rsidRPr="000C6FCA">
        <w:rPr>
          <w:sz w:val="24"/>
          <w:szCs w:val="24"/>
          <w:lang w:val="cs-CZ"/>
        </w:rPr>
        <w:t>Child</w:t>
      </w:r>
      <w:proofErr w:type="spellEnd"/>
      <w:r w:rsidRPr="000C6FCA">
        <w:rPr>
          <w:sz w:val="24"/>
          <w:szCs w:val="24"/>
          <w:lang w:val="cs-CZ"/>
        </w:rPr>
        <w:t xml:space="preserve"> </w:t>
      </w:r>
      <w:proofErr w:type="spellStart"/>
      <w:r w:rsidRPr="000C6FCA">
        <w:rPr>
          <w:sz w:val="24"/>
          <w:szCs w:val="24"/>
          <w:lang w:val="cs-CZ"/>
        </w:rPr>
        <w:t>Guarantee</w:t>
      </w:r>
      <w:proofErr w:type="spellEnd"/>
      <w:r w:rsidRPr="000C6FCA">
        <w:rPr>
          <w:sz w:val="24"/>
          <w:szCs w:val="24"/>
          <w:lang w:val="cs-CZ"/>
        </w:rPr>
        <w:t xml:space="preserve"> (</w:t>
      </w:r>
      <w:proofErr w:type="spellStart"/>
      <w:r w:rsidRPr="000C6FCA">
        <w:rPr>
          <w:sz w:val="24"/>
          <w:szCs w:val="24"/>
          <w:lang w:val="cs-CZ"/>
        </w:rPr>
        <w:t>Autumn</w:t>
      </w:r>
      <w:proofErr w:type="spellEnd"/>
      <w:r w:rsidRPr="000C6FCA">
        <w:rPr>
          <w:sz w:val="24"/>
          <w:szCs w:val="24"/>
          <w:lang w:val="cs-CZ"/>
        </w:rPr>
        <w:t xml:space="preserve"> 2025)“, 4. února 2026, </w:t>
      </w:r>
      <w:hyperlink r:id="rId42" w:history="1">
        <w:r w:rsidRPr="000C6FCA">
          <w:rPr>
            <w:rStyle w:val="Hyperlink"/>
            <w:sz w:val="24"/>
            <w:szCs w:val="24"/>
            <w:lang w:val="en-GB"/>
          </w:rPr>
          <w:t>https://webgate.ec.europa.eu/circabc-ewpp/ui/group/bab664d7-1188-47b2-9fa6-869902320ba2/library/d7064b47-8a07-47b6-8d9f-0dc08849f2b7/details</w:t>
        </w:r>
      </w:hyperlink>
      <w:r w:rsidRPr="000C6FCA">
        <w:rPr>
          <w:sz w:val="24"/>
          <w:szCs w:val="24"/>
          <w:lang w:val="cs-CZ"/>
        </w:rPr>
        <w:t>.</w:t>
      </w:r>
    </w:p>
  </w:footnote>
  <w:footnote w:id="61">
    <w:p w14:paraId="2F0A0FEE" w14:textId="63280287"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Evropská komise, „Update </w:t>
      </w:r>
      <w:proofErr w:type="spellStart"/>
      <w:r w:rsidRPr="001E5EF9">
        <w:rPr>
          <w:sz w:val="24"/>
          <w:szCs w:val="24"/>
          <w:lang w:val="cs-CZ"/>
        </w:rPr>
        <w:t>of</w:t>
      </w:r>
      <w:proofErr w:type="spellEnd"/>
      <w:r w:rsidRPr="001E5EF9">
        <w:rPr>
          <w:sz w:val="24"/>
          <w:szCs w:val="24"/>
          <w:lang w:val="cs-CZ"/>
        </w:rPr>
        <w:t xml:space="preserve"> </w:t>
      </w:r>
      <w:proofErr w:type="spellStart"/>
      <w:r w:rsidRPr="001E5EF9">
        <w:rPr>
          <w:sz w:val="24"/>
          <w:szCs w:val="24"/>
          <w:lang w:val="cs-CZ"/>
        </w:rPr>
        <w:t>the</w:t>
      </w:r>
      <w:proofErr w:type="spellEnd"/>
      <w:r w:rsidRPr="001E5EF9">
        <w:rPr>
          <w:sz w:val="24"/>
          <w:szCs w:val="24"/>
          <w:lang w:val="cs-CZ"/>
        </w:rPr>
        <w:t xml:space="preserve"> EU framework </w:t>
      </w:r>
      <w:proofErr w:type="spellStart"/>
      <w:r w:rsidRPr="001E5EF9">
        <w:rPr>
          <w:sz w:val="24"/>
          <w:szCs w:val="24"/>
          <w:lang w:val="cs-CZ"/>
        </w:rPr>
        <w:t>for</w:t>
      </w:r>
      <w:proofErr w:type="spellEnd"/>
      <w:r w:rsidRPr="001E5EF9">
        <w:rPr>
          <w:sz w:val="24"/>
          <w:szCs w:val="24"/>
          <w:lang w:val="cs-CZ"/>
        </w:rPr>
        <w:t xml:space="preserve"> monitoring </w:t>
      </w:r>
      <w:proofErr w:type="spellStart"/>
      <w:r w:rsidRPr="001E5EF9">
        <w:rPr>
          <w:sz w:val="24"/>
          <w:szCs w:val="24"/>
          <w:lang w:val="cs-CZ"/>
        </w:rPr>
        <w:t>the</w:t>
      </w:r>
      <w:proofErr w:type="spellEnd"/>
      <w:r w:rsidRPr="001E5EF9">
        <w:rPr>
          <w:sz w:val="24"/>
          <w:szCs w:val="24"/>
          <w:lang w:val="cs-CZ"/>
        </w:rPr>
        <w:t xml:space="preserve"> </w:t>
      </w:r>
      <w:proofErr w:type="spellStart"/>
      <w:r w:rsidRPr="001E5EF9">
        <w:rPr>
          <w:sz w:val="24"/>
          <w:szCs w:val="24"/>
          <w:lang w:val="cs-CZ"/>
        </w:rPr>
        <w:t>implementation</w:t>
      </w:r>
      <w:proofErr w:type="spellEnd"/>
      <w:r w:rsidRPr="001E5EF9">
        <w:rPr>
          <w:sz w:val="24"/>
          <w:szCs w:val="24"/>
          <w:lang w:val="cs-CZ"/>
        </w:rPr>
        <w:t xml:space="preserve"> </w:t>
      </w:r>
      <w:proofErr w:type="spellStart"/>
      <w:r w:rsidRPr="001E5EF9">
        <w:rPr>
          <w:sz w:val="24"/>
          <w:szCs w:val="24"/>
          <w:lang w:val="cs-CZ"/>
        </w:rPr>
        <w:t>of</w:t>
      </w:r>
      <w:proofErr w:type="spellEnd"/>
      <w:r w:rsidRPr="001E5EF9">
        <w:rPr>
          <w:sz w:val="24"/>
          <w:szCs w:val="24"/>
          <w:lang w:val="cs-CZ"/>
        </w:rPr>
        <w:t xml:space="preserve"> </w:t>
      </w:r>
      <w:proofErr w:type="spellStart"/>
      <w:r w:rsidRPr="001E5EF9">
        <w:rPr>
          <w:sz w:val="24"/>
          <w:szCs w:val="24"/>
          <w:lang w:val="cs-CZ"/>
        </w:rPr>
        <w:t>the</w:t>
      </w:r>
      <w:proofErr w:type="spellEnd"/>
      <w:r w:rsidRPr="001E5EF9">
        <w:rPr>
          <w:sz w:val="24"/>
          <w:szCs w:val="24"/>
          <w:lang w:val="cs-CZ"/>
        </w:rPr>
        <w:t xml:space="preserve"> </w:t>
      </w:r>
      <w:proofErr w:type="spellStart"/>
      <w:r w:rsidRPr="001E5EF9">
        <w:rPr>
          <w:sz w:val="24"/>
          <w:szCs w:val="24"/>
          <w:lang w:val="cs-CZ"/>
        </w:rPr>
        <w:t>European</w:t>
      </w:r>
      <w:proofErr w:type="spellEnd"/>
      <w:r w:rsidRPr="001E5EF9">
        <w:rPr>
          <w:sz w:val="24"/>
          <w:szCs w:val="24"/>
          <w:lang w:val="cs-CZ"/>
        </w:rPr>
        <w:t xml:space="preserve"> </w:t>
      </w:r>
      <w:proofErr w:type="spellStart"/>
      <w:r w:rsidRPr="001E5EF9">
        <w:rPr>
          <w:sz w:val="24"/>
          <w:szCs w:val="24"/>
          <w:lang w:val="cs-CZ"/>
        </w:rPr>
        <w:t>Child</w:t>
      </w:r>
      <w:proofErr w:type="spellEnd"/>
      <w:r w:rsidRPr="001E5EF9">
        <w:rPr>
          <w:sz w:val="24"/>
          <w:szCs w:val="24"/>
          <w:lang w:val="cs-CZ"/>
        </w:rPr>
        <w:t xml:space="preserve"> </w:t>
      </w:r>
      <w:proofErr w:type="spellStart"/>
      <w:r w:rsidRPr="001E5EF9">
        <w:rPr>
          <w:sz w:val="24"/>
          <w:szCs w:val="24"/>
          <w:lang w:val="cs-CZ"/>
        </w:rPr>
        <w:t>Guarantee</w:t>
      </w:r>
      <w:proofErr w:type="spellEnd"/>
      <w:r w:rsidRPr="001E5EF9">
        <w:rPr>
          <w:sz w:val="24"/>
          <w:szCs w:val="24"/>
          <w:lang w:val="cs-CZ"/>
        </w:rPr>
        <w:t>“ (Aktualizace rámce EU pro monitorování provádění evropské záruky pro děti), 2. června 2025.</w:t>
      </w:r>
    </w:p>
  </w:footnote>
  <w:footnote w:id="62">
    <w:p w14:paraId="3011F2BB" w14:textId="774C77C4"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 xml:space="preserve">Sdělení Komise ze dne 28. </w:t>
      </w:r>
      <w:r w:rsidR="007513A2">
        <w:rPr>
          <w:sz w:val="24"/>
          <w:szCs w:val="24"/>
          <w:lang w:val="cs-CZ"/>
        </w:rPr>
        <w:t>září</w:t>
      </w:r>
      <w:r w:rsidRPr="001E5EF9">
        <w:rPr>
          <w:sz w:val="24"/>
          <w:szCs w:val="24"/>
          <w:lang w:val="cs-CZ"/>
        </w:rPr>
        <w:t xml:space="preserve"> 2022 nazvané „Lepší posouzení distribučního dopadu politik členských států“ (COM(2022)0494).</w:t>
      </w:r>
    </w:p>
  </w:footnote>
  <w:footnote w:id="63">
    <w:p w14:paraId="3B99BE89" w14:textId="60E499C3" w:rsidR="002C52D3" w:rsidRPr="001E5EF9" w:rsidRDefault="002C52D3" w:rsidP="003E1F3A">
      <w:pPr>
        <w:pStyle w:val="FootnoteText"/>
        <w:ind w:left="567" w:hanging="567"/>
        <w:rPr>
          <w:sz w:val="24"/>
          <w:szCs w:val="24"/>
          <w:lang w:val="cs-CZ"/>
        </w:rPr>
      </w:pPr>
      <w:r w:rsidRPr="001E5EF9">
        <w:rPr>
          <w:rStyle w:val="FootnoteReference"/>
          <w:sz w:val="24"/>
          <w:szCs w:val="24"/>
          <w:lang w:val="cs-CZ"/>
        </w:rPr>
        <w:footnoteRef/>
      </w:r>
      <w:r w:rsidR="009454B7" w:rsidRPr="001E5EF9">
        <w:rPr>
          <w:sz w:val="24"/>
          <w:szCs w:val="24"/>
          <w:lang w:val="cs-CZ"/>
        </w:rPr>
        <w:t xml:space="preserve"> </w:t>
      </w:r>
      <w:r w:rsidR="009454B7" w:rsidRPr="001E5EF9">
        <w:rPr>
          <w:sz w:val="24"/>
          <w:szCs w:val="24"/>
          <w:lang w:val="cs-CZ"/>
        </w:rPr>
        <w:tab/>
      </w:r>
      <w:r w:rsidRPr="001E5EF9">
        <w:rPr>
          <w:sz w:val="24"/>
          <w:szCs w:val="24"/>
          <w:lang w:val="cs-CZ"/>
        </w:rPr>
        <w:t>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w:t>
      </w:r>
      <w:proofErr w:type="spellStart"/>
      <w:r w:rsidRPr="001E5EF9">
        <w:rPr>
          <w:sz w:val="24"/>
          <w:szCs w:val="24"/>
          <w:lang w:val="cs-CZ"/>
        </w:rPr>
        <w:t>Úř</w:t>
      </w:r>
      <w:proofErr w:type="spellEnd"/>
      <w:r w:rsidRPr="001E5EF9">
        <w:rPr>
          <w:sz w:val="24"/>
          <w:szCs w:val="24"/>
          <w:lang w:val="cs-CZ"/>
        </w:rPr>
        <w:t xml:space="preserve">. </w:t>
      </w:r>
      <w:proofErr w:type="spellStart"/>
      <w:r w:rsidRPr="001E5EF9">
        <w:rPr>
          <w:sz w:val="24"/>
          <w:szCs w:val="24"/>
          <w:lang w:val="cs-CZ"/>
        </w:rPr>
        <w:t>věst</w:t>
      </w:r>
      <w:proofErr w:type="spellEnd"/>
      <w:r w:rsidRPr="001E5EF9">
        <w:rPr>
          <w:sz w:val="24"/>
          <w:szCs w:val="24"/>
          <w:lang w:val="cs-CZ"/>
        </w:rPr>
        <w:t>. L 231, 30.6.2021, s. 159, ELI: </w:t>
      </w:r>
      <w:hyperlink r:id="rId43" w:tooltip="Umožňuje přístup k tomuto dokumentu prostřednictvím jeho ELI URI." w:history="1">
        <w:r w:rsidRPr="001E5EF9">
          <w:rPr>
            <w:rStyle w:val="Hyperlink"/>
            <w:sz w:val="24"/>
            <w:szCs w:val="24"/>
            <w:lang w:val="cs-CZ"/>
          </w:rPr>
          <w:t>http://data.europa.eu/</w:t>
        </w:r>
        <w:proofErr w:type="spellStart"/>
        <w:r w:rsidRPr="001E5EF9">
          <w:rPr>
            <w:rStyle w:val="Hyperlink"/>
            <w:sz w:val="24"/>
            <w:szCs w:val="24"/>
            <w:lang w:val="cs-CZ"/>
          </w:rPr>
          <w:t>eli</w:t>
        </w:r>
        <w:proofErr w:type="spellEnd"/>
        <w:r w:rsidRPr="001E5EF9">
          <w:rPr>
            <w:rStyle w:val="Hyperlink"/>
            <w:sz w:val="24"/>
            <w:szCs w:val="24"/>
            <w:lang w:val="cs-CZ"/>
          </w:rPr>
          <w:t>/</w:t>
        </w:r>
        <w:proofErr w:type="spellStart"/>
        <w:r w:rsidRPr="001E5EF9">
          <w:rPr>
            <w:rStyle w:val="Hyperlink"/>
            <w:sz w:val="24"/>
            <w:szCs w:val="24"/>
            <w:lang w:val="cs-CZ"/>
          </w:rPr>
          <w:t>reg</w:t>
        </w:r>
        <w:proofErr w:type="spellEnd"/>
        <w:r w:rsidRPr="001E5EF9">
          <w:rPr>
            <w:rStyle w:val="Hyperlink"/>
            <w:sz w:val="24"/>
            <w:szCs w:val="24"/>
            <w:lang w:val="cs-CZ"/>
          </w:rPr>
          <w:t>/2021/1060/oj</w:t>
        </w:r>
      </w:hyperlink>
      <w:r w:rsidRPr="001E5EF9">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61752" w14:textId="77777777" w:rsidR="00064002" w:rsidRPr="009454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B92CC" w14:textId="77777777" w:rsidR="00064002" w:rsidRPr="009454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F0D2" w14:textId="77777777" w:rsidR="00064002" w:rsidRPr="009454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5402443">
    <w:abstractNumId w:val="9"/>
  </w:num>
  <w:num w:numId="2" w16cid:durableId="60837947">
    <w:abstractNumId w:val="9"/>
  </w:num>
  <w:num w:numId="3" w16cid:durableId="452359928">
    <w:abstractNumId w:val="7"/>
  </w:num>
  <w:num w:numId="4" w16cid:durableId="1652172900">
    <w:abstractNumId w:val="7"/>
  </w:num>
  <w:num w:numId="5" w16cid:durableId="1080251247">
    <w:abstractNumId w:val="6"/>
  </w:num>
  <w:num w:numId="6" w16cid:durableId="892690031">
    <w:abstractNumId w:val="6"/>
  </w:num>
  <w:num w:numId="7" w16cid:durableId="405566629">
    <w:abstractNumId w:val="5"/>
  </w:num>
  <w:num w:numId="8" w16cid:durableId="2018459237">
    <w:abstractNumId w:val="5"/>
  </w:num>
  <w:num w:numId="9" w16cid:durableId="2065979187">
    <w:abstractNumId w:val="4"/>
  </w:num>
  <w:num w:numId="10" w16cid:durableId="1825663150">
    <w:abstractNumId w:val="4"/>
  </w:num>
  <w:num w:numId="11" w16cid:durableId="124350951">
    <w:abstractNumId w:val="8"/>
  </w:num>
  <w:num w:numId="12" w16cid:durableId="34355026">
    <w:abstractNumId w:val="8"/>
  </w:num>
  <w:num w:numId="13" w16cid:durableId="1038162166">
    <w:abstractNumId w:val="3"/>
  </w:num>
  <w:num w:numId="14" w16cid:durableId="2092846820">
    <w:abstractNumId w:val="3"/>
  </w:num>
  <w:num w:numId="15" w16cid:durableId="33389639">
    <w:abstractNumId w:val="2"/>
  </w:num>
  <w:num w:numId="16" w16cid:durableId="97331240">
    <w:abstractNumId w:val="2"/>
  </w:num>
  <w:num w:numId="17" w16cid:durableId="1062413450">
    <w:abstractNumId w:val="1"/>
  </w:num>
  <w:num w:numId="18" w16cid:durableId="927349930">
    <w:abstractNumId w:val="1"/>
  </w:num>
  <w:num w:numId="19" w16cid:durableId="370149723">
    <w:abstractNumId w:val="0"/>
  </w:num>
  <w:num w:numId="20" w16cid:durableId="1745293967">
    <w:abstractNumId w:val="0"/>
  </w:num>
  <w:num w:numId="21" w16cid:durableId="1606310022">
    <w:abstractNumId w:val="9"/>
  </w:num>
  <w:num w:numId="22" w16cid:durableId="59136410">
    <w:abstractNumId w:val="7"/>
  </w:num>
  <w:num w:numId="23" w16cid:durableId="1344361971">
    <w:abstractNumId w:val="6"/>
  </w:num>
  <w:num w:numId="24" w16cid:durableId="1791044583">
    <w:abstractNumId w:val="5"/>
  </w:num>
  <w:num w:numId="25" w16cid:durableId="1728995239">
    <w:abstractNumId w:val="4"/>
  </w:num>
  <w:num w:numId="26" w16cid:durableId="2142376572">
    <w:abstractNumId w:val="8"/>
  </w:num>
  <w:num w:numId="27" w16cid:durableId="1263803969">
    <w:abstractNumId w:val="3"/>
  </w:num>
  <w:num w:numId="28" w16cid:durableId="31226199">
    <w:abstractNumId w:val="2"/>
  </w:num>
  <w:num w:numId="29" w16cid:durableId="1358967410">
    <w:abstractNumId w:val="1"/>
  </w:num>
  <w:num w:numId="30" w16cid:durableId="805926997">
    <w:abstractNumId w:val="0"/>
  </w:num>
  <w:num w:numId="31" w16cid:durableId="694964899">
    <w:abstractNumId w:val="9"/>
  </w:num>
  <w:num w:numId="32" w16cid:durableId="497696782">
    <w:abstractNumId w:val="7"/>
  </w:num>
  <w:num w:numId="33" w16cid:durableId="951060212">
    <w:abstractNumId w:val="6"/>
  </w:num>
  <w:num w:numId="34" w16cid:durableId="282663214">
    <w:abstractNumId w:val="5"/>
  </w:num>
  <w:num w:numId="35" w16cid:durableId="340158507">
    <w:abstractNumId w:val="4"/>
  </w:num>
  <w:num w:numId="36" w16cid:durableId="498735609">
    <w:abstractNumId w:val="8"/>
  </w:num>
  <w:num w:numId="37" w16cid:durableId="1994335462">
    <w:abstractNumId w:val="3"/>
  </w:num>
  <w:num w:numId="38" w16cid:durableId="3365394">
    <w:abstractNumId w:val="2"/>
  </w:num>
  <w:num w:numId="39" w16cid:durableId="2067952147">
    <w:abstractNumId w:val="1"/>
  </w:num>
  <w:num w:numId="40" w16cid:durableId="547112785">
    <w:abstractNumId w:val="0"/>
  </w:num>
  <w:num w:numId="41" w16cid:durableId="481628890">
    <w:abstractNumId w:val="10"/>
  </w:num>
  <w:num w:numId="42" w16cid:durableId="1292402547">
    <w:abstractNumId w:val="10"/>
  </w:num>
  <w:num w:numId="43" w16cid:durableId="670529440">
    <w:abstractNumId w:val="10"/>
  </w:num>
  <w:num w:numId="44" w16cid:durableId="4309042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CS"/>
    <w:docVar w:name="dvnumam" w:val="82"/>
    <w:docVar w:name="dvpe" w:val="774.256"/>
    <w:docVar w:name="dvrapporteur" w:val="Zpravodaj: "/>
    <w:docVar w:name="dvtitre" w:val="Usnesení Evropského parlamentu ze dne 12. února 2026 o vypracování nové strategie EU pro boj proti chudobě(2025/2095(INI))"/>
  </w:docVars>
  <w:rsids>
    <w:rsidRoot w:val="009E2E37"/>
    <w:rsid w:val="00002272"/>
    <w:rsid w:val="00064002"/>
    <w:rsid w:val="000677B9"/>
    <w:rsid w:val="000831BA"/>
    <w:rsid w:val="000A42CC"/>
    <w:rsid w:val="000C6FCA"/>
    <w:rsid w:val="000E7DD9"/>
    <w:rsid w:val="0010095E"/>
    <w:rsid w:val="00102295"/>
    <w:rsid w:val="00125B37"/>
    <w:rsid w:val="00187494"/>
    <w:rsid w:val="001E5EF9"/>
    <w:rsid w:val="001F32AE"/>
    <w:rsid w:val="00207631"/>
    <w:rsid w:val="002767FF"/>
    <w:rsid w:val="002B18FE"/>
    <w:rsid w:val="002B5493"/>
    <w:rsid w:val="002C52D3"/>
    <w:rsid w:val="00343214"/>
    <w:rsid w:val="00361C00"/>
    <w:rsid w:val="00395FA1"/>
    <w:rsid w:val="003E15D4"/>
    <w:rsid w:val="003E1F3A"/>
    <w:rsid w:val="003E3334"/>
    <w:rsid w:val="00411CCE"/>
    <w:rsid w:val="0041666E"/>
    <w:rsid w:val="00421060"/>
    <w:rsid w:val="00471C19"/>
    <w:rsid w:val="004867E3"/>
    <w:rsid w:val="00494A28"/>
    <w:rsid w:val="004C0004"/>
    <w:rsid w:val="004C5D52"/>
    <w:rsid w:val="0050519A"/>
    <w:rsid w:val="005072A1"/>
    <w:rsid w:val="00514517"/>
    <w:rsid w:val="00545827"/>
    <w:rsid w:val="00560270"/>
    <w:rsid w:val="0056556E"/>
    <w:rsid w:val="005A1762"/>
    <w:rsid w:val="005C2568"/>
    <w:rsid w:val="005F1B17"/>
    <w:rsid w:val="006037C0"/>
    <w:rsid w:val="006631B6"/>
    <w:rsid w:val="00663C68"/>
    <w:rsid w:val="00680577"/>
    <w:rsid w:val="006E6E67"/>
    <w:rsid w:val="006F74FA"/>
    <w:rsid w:val="00731ADD"/>
    <w:rsid w:val="00734777"/>
    <w:rsid w:val="00747932"/>
    <w:rsid w:val="007513A2"/>
    <w:rsid w:val="00751A4A"/>
    <w:rsid w:val="00756632"/>
    <w:rsid w:val="00762C74"/>
    <w:rsid w:val="00786EC0"/>
    <w:rsid w:val="007D1690"/>
    <w:rsid w:val="007E22AD"/>
    <w:rsid w:val="00817416"/>
    <w:rsid w:val="00842779"/>
    <w:rsid w:val="00852239"/>
    <w:rsid w:val="00865F67"/>
    <w:rsid w:val="00881A7B"/>
    <w:rsid w:val="008840E5"/>
    <w:rsid w:val="00887B3E"/>
    <w:rsid w:val="008C2AC6"/>
    <w:rsid w:val="00930C23"/>
    <w:rsid w:val="0093193B"/>
    <w:rsid w:val="009454B7"/>
    <w:rsid w:val="009509D8"/>
    <w:rsid w:val="00950B64"/>
    <w:rsid w:val="00981893"/>
    <w:rsid w:val="009E2E37"/>
    <w:rsid w:val="00A15BFD"/>
    <w:rsid w:val="00A1687D"/>
    <w:rsid w:val="00A27140"/>
    <w:rsid w:val="00A43E52"/>
    <w:rsid w:val="00A4678D"/>
    <w:rsid w:val="00A778C7"/>
    <w:rsid w:val="00AB441E"/>
    <w:rsid w:val="00AB6293"/>
    <w:rsid w:val="00AE0928"/>
    <w:rsid w:val="00AF3B82"/>
    <w:rsid w:val="00B12E95"/>
    <w:rsid w:val="00B22876"/>
    <w:rsid w:val="00B558F0"/>
    <w:rsid w:val="00B93FA1"/>
    <w:rsid w:val="00B97ABC"/>
    <w:rsid w:val="00BD48FE"/>
    <w:rsid w:val="00BD7BD8"/>
    <w:rsid w:val="00BE1F3B"/>
    <w:rsid w:val="00BE6ADC"/>
    <w:rsid w:val="00BF5138"/>
    <w:rsid w:val="00C05BFE"/>
    <w:rsid w:val="00C20EB4"/>
    <w:rsid w:val="00C23CD4"/>
    <w:rsid w:val="00C43C95"/>
    <w:rsid w:val="00C61C0C"/>
    <w:rsid w:val="00C941CB"/>
    <w:rsid w:val="00CC2357"/>
    <w:rsid w:val="00CF071A"/>
    <w:rsid w:val="00CF328B"/>
    <w:rsid w:val="00D058B8"/>
    <w:rsid w:val="00D565A7"/>
    <w:rsid w:val="00D56C11"/>
    <w:rsid w:val="00D834A0"/>
    <w:rsid w:val="00D872DF"/>
    <w:rsid w:val="00D91E21"/>
    <w:rsid w:val="00DA7FCD"/>
    <w:rsid w:val="00DC6955"/>
    <w:rsid w:val="00E12202"/>
    <w:rsid w:val="00E365E1"/>
    <w:rsid w:val="00E820A4"/>
    <w:rsid w:val="00EA5BEA"/>
    <w:rsid w:val="00EB006A"/>
    <w:rsid w:val="00EB4772"/>
    <w:rsid w:val="00ED169E"/>
    <w:rsid w:val="00ED4235"/>
    <w:rsid w:val="00EF2961"/>
    <w:rsid w:val="00EF496B"/>
    <w:rsid w:val="00F04346"/>
    <w:rsid w:val="00F075DC"/>
    <w:rsid w:val="00F149E9"/>
    <w:rsid w:val="00F5134D"/>
    <w:rsid w:val="00F74202"/>
    <w:rsid w:val="00F87713"/>
    <w:rsid w:val="00F93C53"/>
    <w:rsid w:val="00FB4360"/>
    <w:rsid w:val="00FD0C70"/>
    <w:rsid w:val="00FD664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8F925"/>
  <w15:chartTrackingRefBased/>
  <w15:docId w15:val="{18BACE70-B64E-48A4-BEE0-A4D960F2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52D3"/>
    <w:pPr>
      <w:spacing w:after="240"/>
      <w:ind w:left="567" w:hanging="567"/>
    </w:pPr>
  </w:style>
  <w:style w:type="paragraph" w:customStyle="1" w:styleId="EPComma">
    <w:name w:val="EPComma"/>
    <w:basedOn w:val="Normal"/>
    <w:rsid w:val="002C52D3"/>
    <w:pPr>
      <w:spacing w:before="480" w:after="240"/>
    </w:pPr>
  </w:style>
  <w:style w:type="character" w:customStyle="1" w:styleId="doceo-font-family-base">
    <w:name w:val="doceo-font-family-base"/>
    <w:basedOn w:val="DefaultParagraphFont"/>
    <w:qFormat/>
    <w:rsid w:val="002C52D3"/>
  </w:style>
  <w:style w:type="character" w:styleId="Hyperlink">
    <w:name w:val="Hyperlink"/>
    <w:basedOn w:val="DefaultParagraphFont"/>
    <w:rsid w:val="002C52D3"/>
    <w:rPr>
      <w:color w:val="0563C1" w:themeColor="hyperlink"/>
      <w:u w:val="single"/>
    </w:rPr>
  </w:style>
  <w:style w:type="paragraph" w:styleId="Revision">
    <w:name w:val="Revision"/>
    <w:hidden/>
    <w:uiPriority w:val="99"/>
    <w:semiHidden/>
    <w:rsid w:val="00B93FA1"/>
    <w:rPr>
      <w:sz w:val="24"/>
      <w:lang w:val="cs-CZ"/>
    </w:rPr>
  </w:style>
  <w:style w:type="character" w:styleId="CommentReference">
    <w:name w:val="annotation reference"/>
    <w:basedOn w:val="DefaultParagraphFont"/>
    <w:rsid w:val="0056556E"/>
    <w:rPr>
      <w:sz w:val="16"/>
      <w:szCs w:val="16"/>
    </w:rPr>
  </w:style>
  <w:style w:type="paragraph" w:styleId="CommentText">
    <w:name w:val="annotation text"/>
    <w:basedOn w:val="Normal"/>
    <w:link w:val="CommentTextChar"/>
    <w:rsid w:val="0056556E"/>
    <w:rPr>
      <w:sz w:val="20"/>
    </w:rPr>
  </w:style>
  <w:style w:type="character" w:customStyle="1" w:styleId="CommentTextChar">
    <w:name w:val="Comment Text Char"/>
    <w:basedOn w:val="DefaultParagraphFont"/>
    <w:link w:val="CommentText"/>
    <w:rsid w:val="0056556E"/>
    <w:rPr>
      <w:lang w:val="cs-CZ"/>
    </w:rPr>
  </w:style>
  <w:style w:type="paragraph" w:styleId="CommentSubject">
    <w:name w:val="annotation subject"/>
    <w:basedOn w:val="CommentText"/>
    <w:next w:val="CommentText"/>
    <w:link w:val="CommentSubjectChar"/>
    <w:rsid w:val="0056556E"/>
    <w:rPr>
      <w:b/>
      <w:bCs/>
    </w:rPr>
  </w:style>
  <w:style w:type="character" w:customStyle="1" w:styleId="CommentSubjectChar">
    <w:name w:val="Comment Subject Char"/>
    <w:basedOn w:val="CommentTextChar"/>
    <w:link w:val="CommentSubject"/>
    <w:rsid w:val="0056556E"/>
    <w:rPr>
      <w:b/>
      <w:bCs/>
      <w:lang w:val="cs-CZ"/>
    </w:rPr>
  </w:style>
  <w:style w:type="character" w:styleId="UnresolvedMention">
    <w:name w:val="Unresolved Mention"/>
    <w:basedOn w:val="DefaultParagraphFont"/>
    <w:uiPriority w:val="99"/>
    <w:semiHidden/>
    <w:unhideWhenUsed/>
    <w:rsid w:val="00A27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cs.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11598</Words>
  <Characters>67333</Characters>
  <Application>Microsoft Office Word</Application>
  <DocSecurity>0</DocSecurity>
  <Lines>561</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SOCHOROVA Lenka</cp:lastModifiedBy>
  <cp:revision>2</cp:revision>
  <cp:lastPrinted>2004-11-19T15:42:00Z</cp:lastPrinted>
  <dcterms:created xsi:type="dcterms:W3CDTF">2026-03-18T14:15:00Z</dcterms:created>
  <dcterms:modified xsi:type="dcterms:W3CDTF">2026-03-18T14:15:00Z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A10-0260/2025</vt:lpwstr>
  </property>
  <property fmtid="{D5CDD505-2E9C-101B-9397-08002B2CF9AE}" pid="4" name="&lt;Type&gt;">
    <vt:lpwstr>RR</vt:lpwstr>
  </property>
</Properties>
</file>