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30A" w14:paraId="78E25D23" w14:textId="77777777" w:rsidTr="0010095E">
        <w:trPr>
          <w:trHeight w:hRule="exact" w:val="1418"/>
        </w:trPr>
        <w:tc>
          <w:tcPr>
            <w:tcW w:w="6804" w:type="dxa"/>
            <w:shd w:val="clear" w:color="auto" w:fill="auto"/>
            <w:vAlign w:val="center"/>
          </w:tcPr>
          <w:p w14:paraId="0D91CAA8" w14:textId="77777777" w:rsidR="00751A4A" w:rsidRPr="004D730A" w:rsidRDefault="000008D7" w:rsidP="0010095E">
            <w:pPr>
              <w:pStyle w:val="EPName"/>
            </w:pPr>
            <w:r w:rsidRPr="004D730A">
              <w:t>Europa-Parlamentet</w:t>
            </w:r>
          </w:p>
          <w:p w14:paraId="2D185431" w14:textId="77777777" w:rsidR="00751A4A" w:rsidRPr="004D730A" w:rsidRDefault="005F1B17" w:rsidP="005F1B17">
            <w:pPr>
              <w:pStyle w:val="EPTerm"/>
              <w:rPr>
                <w:rStyle w:val="HideTWBExt"/>
                <w:noProof w:val="0"/>
                <w:vanish w:val="0"/>
                <w:color w:val="auto"/>
              </w:rPr>
            </w:pPr>
            <w:r w:rsidRPr="004D730A">
              <w:t>2024</w:t>
            </w:r>
            <w:r w:rsidR="00817416" w:rsidRPr="004D730A">
              <w:t>-202</w:t>
            </w:r>
            <w:r w:rsidRPr="004D730A">
              <w:t>9</w:t>
            </w:r>
          </w:p>
        </w:tc>
        <w:tc>
          <w:tcPr>
            <w:tcW w:w="2268" w:type="dxa"/>
            <w:shd w:val="clear" w:color="auto" w:fill="auto"/>
          </w:tcPr>
          <w:p w14:paraId="1962A861" w14:textId="77777777" w:rsidR="00751A4A" w:rsidRPr="004D730A" w:rsidRDefault="00187494" w:rsidP="0010095E">
            <w:pPr>
              <w:pStyle w:val="EPLogo"/>
            </w:pPr>
            <w:r w:rsidRPr="004D730A">
              <w:rPr>
                <w:noProof/>
                <w:lang w:eastAsia="ja-JP"/>
              </w:rPr>
              <w:drawing>
                <wp:inline distT="0" distB="0" distL="0" distR="0" wp14:anchorId="13284AD1" wp14:editId="0BCAF7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1C07FF" w14:textId="77777777" w:rsidR="00D058B8" w:rsidRPr="004D730A" w:rsidRDefault="00D058B8" w:rsidP="004C5D52">
      <w:pPr>
        <w:pStyle w:val="LineTop"/>
      </w:pPr>
    </w:p>
    <w:p w14:paraId="116B73EB" w14:textId="77777777" w:rsidR="00680577" w:rsidRPr="004D730A" w:rsidRDefault="000008D7" w:rsidP="00680577">
      <w:pPr>
        <w:pStyle w:val="EPBodyTA1"/>
      </w:pPr>
      <w:r w:rsidRPr="004D730A">
        <w:t>VEDTAGNE TEKSTER</w:t>
      </w:r>
    </w:p>
    <w:p w14:paraId="624AAD46" w14:textId="77777777" w:rsidR="00D058B8" w:rsidRPr="004D730A" w:rsidRDefault="00D058B8" w:rsidP="00D058B8">
      <w:pPr>
        <w:pStyle w:val="LineBottom"/>
      </w:pPr>
    </w:p>
    <w:p w14:paraId="65E64B64" w14:textId="2105D09E" w:rsidR="000008D7" w:rsidRPr="004D730A" w:rsidRDefault="000008D7" w:rsidP="000008D7">
      <w:pPr>
        <w:pStyle w:val="ATHeading1"/>
      </w:pPr>
      <w:bookmarkStart w:id="0" w:name="TANumber"/>
      <w:r w:rsidRPr="004D730A">
        <w:t>P10_TA(2026)00</w:t>
      </w:r>
      <w:bookmarkEnd w:id="0"/>
      <w:r w:rsidR="00CB4FED">
        <w:t>49</w:t>
      </w:r>
    </w:p>
    <w:p w14:paraId="4EE729EC" w14:textId="28AC3934" w:rsidR="000008D7" w:rsidRPr="00FB15FE" w:rsidRDefault="00FB15FE" w:rsidP="000008D7">
      <w:pPr>
        <w:pStyle w:val="ATHeading2"/>
      </w:pPr>
      <w:r w:rsidRPr="00525034">
        <w:t>Udvikling af en ny EU-strategi for bekæmpelse af fattigdom</w:t>
      </w:r>
    </w:p>
    <w:p w14:paraId="15402079" w14:textId="77777777" w:rsidR="000008D7" w:rsidRPr="004D730A" w:rsidRDefault="000008D7" w:rsidP="000008D7">
      <w:pPr>
        <w:rPr>
          <w:i/>
          <w:vanish/>
        </w:rPr>
      </w:pPr>
      <w:r w:rsidRPr="004D730A">
        <w:rPr>
          <w:i/>
        </w:rPr>
        <w:fldChar w:fldCharType="begin"/>
      </w:r>
      <w:r w:rsidRPr="004D730A">
        <w:rPr>
          <w:i/>
        </w:rPr>
        <w:instrText xml:space="preserve"> TC"(</w:instrText>
      </w:r>
      <w:bookmarkStart w:id="1" w:name="DocNumber"/>
      <w:r w:rsidRPr="004D730A">
        <w:rPr>
          <w:i/>
        </w:rPr>
        <w:instrText>A10-0260/2025</w:instrText>
      </w:r>
      <w:bookmarkEnd w:id="1"/>
      <w:r w:rsidRPr="004D730A">
        <w:rPr>
          <w:i/>
        </w:rPr>
        <w:instrText xml:space="preserve"> - Ordfører: João Oliveira)"\l3 \n&gt; \* MERGEFORMAT </w:instrText>
      </w:r>
      <w:r w:rsidRPr="004D730A">
        <w:rPr>
          <w:i/>
        </w:rPr>
        <w:fldChar w:fldCharType="end"/>
      </w:r>
    </w:p>
    <w:p w14:paraId="582A7E59" w14:textId="77777777" w:rsidR="000008D7" w:rsidRPr="004D730A" w:rsidRDefault="000008D7" w:rsidP="000008D7">
      <w:pPr>
        <w:rPr>
          <w:vanish/>
        </w:rPr>
      </w:pPr>
      <w:bookmarkStart w:id="2" w:name="Commission"/>
      <w:r w:rsidRPr="004D730A">
        <w:rPr>
          <w:vanish/>
        </w:rPr>
        <w:t>Udvalget om Beskæftigelse og Sociale Anliggender</w:t>
      </w:r>
      <w:bookmarkEnd w:id="2"/>
    </w:p>
    <w:p w14:paraId="713E059B" w14:textId="77777777" w:rsidR="000008D7" w:rsidRPr="004D730A" w:rsidRDefault="000008D7" w:rsidP="000008D7">
      <w:pPr>
        <w:rPr>
          <w:vanish/>
        </w:rPr>
      </w:pPr>
      <w:bookmarkStart w:id="3" w:name="PE"/>
      <w:r w:rsidRPr="004D730A">
        <w:rPr>
          <w:vanish/>
        </w:rPr>
        <w:t>PE774.256</w:t>
      </w:r>
      <w:bookmarkEnd w:id="3"/>
    </w:p>
    <w:p w14:paraId="7369ED03" w14:textId="430AE4C4" w:rsidR="000008D7" w:rsidRPr="004D730A" w:rsidRDefault="000008D7" w:rsidP="000008D7">
      <w:pPr>
        <w:pStyle w:val="ATHeading3"/>
      </w:pPr>
      <w:bookmarkStart w:id="4" w:name="Sujet"/>
      <w:r w:rsidRPr="004D730A">
        <w:t xml:space="preserve">Europa-Parlamentets beslutning af </w:t>
      </w:r>
      <w:r w:rsidR="00CF5FAF">
        <w:t>12</w:t>
      </w:r>
      <w:r w:rsidRPr="004D730A">
        <w:t>.</w:t>
      </w:r>
      <w:r w:rsidR="00FB15FE">
        <w:t xml:space="preserve"> februar</w:t>
      </w:r>
      <w:r w:rsidRPr="004D730A">
        <w:t xml:space="preserve"> 2026 om udvikling af en ny EU-strategi for bekæmpelse af fattigdom</w:t>
      </w:r>
      <w:bookmarkEnd w:id="4"/>
      <w:r w:rsidRPr="004D730A">
        <w:t xml:space="preserve"> </w:t>
      </w:r>
      <w:bookmarkStart w:id="5" w:name="References"/>
      <w:r w:rsidRPr="004D730A">
        <w:t>(2025/2095(INI))</w:t>
      </w:r>
      <w:bookmarkEnd w:id="5"/>
    </w:p>
    <w:p w14:paraId="1F086914" w14:textId="77777777" w:rsidR="00725F53" w:rsidRPr="004D730A" w:rsidRDefault="00725F53" w:rsidP="00725F53">
      <w:pPr>
        <w:pStyle w:val="EPComma"/>
        <w:rPr>
          <w:szCs w:val="24"/>
        </w:rPr>
      </w:pPr>
      <w:r w:rsidRPr="004D730A">
        <w:rPr>
          <w:i/>
        </w:rPr>
        <w:t>Europa-Parlamentet,</w:t>
      </w:r>
    </w:p>
    <w:p w14:paraId="20B3F21E" w14:textId="77777777" w:rsidR="00725F53" w:rsidRPr="004D730A" w:rsidRDefault="00725F53" w:rsidP="00725F53">
      <w:pPr>
        <w:pStyle w:val="NormalHanging12a"/>
        <w:rPr>
          <w:b/>
          <w:i/>
        </w:rPr>
      </w:pPr>
      <w:r w:rsidRPr="004D730A">
        <w:rPr>
          <w:b/>
          <w:i/>
        </w:rPr>
        <w:t>–</w:t>
      </w:r>
      <w:r w:rsidRPr="004D730A">
        <w:rPr>
          <w:b/>
          <w:i/>
        </w:rPr>
        <w:tab/>
      </w:r>
      <w:r w:rsidRPr="004D730A">
        <w:t>der henviser til artikel 2 og artikel 3, stk. 3, i traktaten om Den Europæiske Union,</w:t>
      </w:r>
    </w:p>
    <w:p w14:paraId="325C382C" w14:textId="77777777" w:rsidR="00725F53" w:rsidRPr="004D730A" w:rsidRDefault="00725F53" w:rsidP="00725F53">
      <w:pPr>
        <w:pStyle w:val="NormalHanging12a"/>
        <w:rPr>
          <w:bCs/>
          <w:iCs/>
        </w:rPr>
      </w:pPr>
      <w:r w:rsidRPr="004D730A">
        <w:rPr>
          <w:b/>
          <w:i/>
        </w:rPr>
        <w:t>–</w:t>
      </w:r>
      <w:r w:rsidRPr="004D730A">
        <w:rPr>
          <w:b/>
          <w:i/>
        </w:rPr>
        <w:tab/>
      </w:r>
      <w:r w:rsidRPr="004D730A">
        <w:t>der henviser til artikel 145-161 i traktaten om Den Europæiske Unions funktionsmåde,</w:t>
      </w:r>
    </w:p>
    <w:p w14:paraId="16E3D092" w14:textId="77777777" w:rsidR="00725F53" w:rsidRPr="004D730A" w:rsidRDefault="00725F53" w:rsidP="00725F53">
      <w:pPr>
        <w:pStyle w:val="NormalHanging12a"/>
        <w:rPr>
          <w:szCs w:val="24"/>
        </w:rPr>
      </w:pPr>
      <w:r w:rsidRPr="004D730A">
        <w:rPr>
          <w:rStyle w:val="doceo-font-family-base"/>
          <w:shd w:val="clear" w:color="auto" w:fill="FFFFFF"/>
        </w:rPr>
        <w:t>–</w:t>
      </w:r>
      <w:r w:rsidRPr="004D730A">
        <w:rPr>
          <w:rStyle w:val="doceo-font-family-base"/>
          <w:shd w:val="clear" w:color="auto" w:fill="FFFFFF"/>
        </w:rPr>
        <w:tab/>
      </w:r>
      <w:r w:rsidRPr="004D730A">
        <w:t>der henviser til Den Europæiske Unions charter om grundlæggende rettigheder,</w:t>
      </w:r>
    </w:p>
    <w:p w14:paraId="3CC529AF" w14:textId="77777777" w:rsidR="00725F53" w:rsidRPr="004D730A" w:rsidRDefault="00725F53" w:rsidP="00725F53">
      <w:pPr>
        <w:pStyle w:val="NormalHanging12a"/>
      </w:pPr>
      <w:r w:rsidRPr="004D730A">
        <w:t>–</w:t>
      </w:r>
      <w:r w:rsidRPr="004D730A">
        <w:tab/>
        <w:t>der henviser til den europæiske søjle for sociale rettigheder og handlingsplanen herfor med målene for 2030 og EU's sociale resultattavle og dens primære og sekundære indikatorer,</w:t>
      </w:r>
    </w:p>
    <w:p w14:paraId="72DD04B3" w14:textId="77777777" w:rsidR="00725F53" w:rsidRPr="004D730A" w:rsidRDefault="00725F53" w:rsidP="00725F53">
      <w:pPr>
        <w:pStyle w:val="NormalHanging12a"/>
        <w:rPr>
          <w:szCs w:val="24"/>
        </w:rPr>
      </w:pPr>
      <w:r w:rsidRPr="004D730A">
        <w:t>–</w:t>
      </w:r>
      <w:r w:rsidRPr="004D730A">
        <w:tab/>
        <w:t>der henviser til Portoerklæringen af 8. maj 2021, de fornyede tilsagn fra det sociale forum i Porto i 2023 og La Hulpe-erklæringen af 16. april 2024,</w:t>
      </w:r>
    </w:p>
    <w:p w14:paraId="240A36F9" w14:textId="77777777" w:rsidR="00725F53" w:rsidRPr="004D730A" w:rsidRDefault="00725F53" w:rsidP="00725F53">
      <w:pPr>
        <w:pStyle w:val="NormalHanging12a"/>
        <w:rPr>
          <w:szCs w:val="24"/>
        </w:rPr>
      </w:pPr>
      <w:r w:rsidRPr="004D730A">
        <w:t>–</w:t>
      </w:r>
      <w:r w:rsidRPr="004D730A">
        <w:tab/>
        <w:t>der henviser til målene for bæredygtig udvikling i FN's 2030-dagsorden for bæredygtig udvikling, som blev vedtaget i New York i september 2015,</w:t>
      </w:r>
    </w:p>
    <w:p w14:paraId="36EBB052" w14:textId="77777777" w:rsidR="00725F53" w:rsidRPr="004D730A" w:rsidRDefault="00725F53" w:rsidP="00725F53">
      <w:pPr>
        <w:pStyle w:val="NormalHanging12a"/>
        <w:rPr>
          <w:b/>
          <w:i/>
        </w:rPr>
      </w:pPr>
      <w:r w:rsidRPr="004D730A">
        <w:rPr>
          <w:b/>
          <w:i/>
        </w:rPr>
        <w:t>–</w:t>
      </w:r>
      <w:r w:rsidRPr="004D730A">
        <w:rPr>
          <w:b/>
          <w:i/>
        </w:rPr>
        <w:tab/>
      </w:r>
      <w:r w:rsidRPr="004D730A">
        <w:t>der henviser til rapporten om bæredygtig udvikling 2025</w:t>
      </w:r>
      <w:r w:rsidRPr="004D730A">
        <w:rPr>
          <w:rStyle w:val="FootnoteReference"/>
          <w:bCs/>
          <w:iCs/>
        </w:rPr>
        <w:footnoteReference w:id="1"/>
      </w:r>
      <w:r w:rsidRPr="004D730A">
        <w:t>, der blev offentliggjort den 24. juni 2025,</w:t>
      </w:r>
    </w:p>
    <w:p w14:paraId="0AD806AB" w14:textId="77777777" w:rsidR="00725F53" w:rsidRPr="004D730A" w:rsidRDefault="00725F53" w:rsidP="00725F53">
      <w:pPr>
        <w:pStyle w:val="NormalHanging12a"/>
        <w:rPr>
          <w:bCs/>
          <w:iCs/>
        </w:rPr>
      </w:pPr>
      <w:r w:rsidRPr="004D730A">
        <w:rPr>
          <w:b/>
          <w:i/>
        </w:rPr>
        <w:t>–</w:t>
      </w:r>
      <w:r w:rsidRPr="004D730A">
        <w:rPr>
          <w:b/>
          <w:i/>
        </w:rPr>
        <w:tab/>
      </w:r>
      <w:r w:rsidRPr="004D730A">
        <w:t>der henviser til FN's konvention om afskaffelse af alle former for diskrimination imod kvinder, som blev vedtaget i 1979,</w:t>
      </w:r>
    </w:p>
    <w:p w14:paraId="1C848F89" w14:textId="77777777" w:rsidR="00725F53" w:rsidRPr="004D730A" w:rsidRDefault="00725F53" w:rsidP="00725F53">
      <w:pPr>
        <w:pStyle w:val="NormalHanging12a"/>
        <w:rPr>
          <w:b/>
          <w:i/>
        </w:rPr>
      </w:pPr>
      <w:r w:rsidRPr="004D730A">
        <w:rPr>
          <w:b/>
          <w:i/>
        </w:rPr>
        <w:t>–</w:t>
      </w:r>
      <w:r w:rsidRPr="004D730A">
        <w:rPr>
          <w:b/>
          <w:i/>
        </w:rPr>
        <w:tab/>
      </w:r>
      <w:r w:rsidRPr="004D730A">
        <w:t>der henviser til Europarådets konvention om forebyggelse og bekæmpelse af vold mod kvinder og vold i hjemmet (Istanbulkonventionen), som blev vedtaget den 11. maj 2011,</w:t>
      </w:r>
    </w:p>
    <w:p w14:paraId="24834434" w14:textId="77777777" w:rsidR="00725F53" w:rsidRPr="004D730A" w:rsidRDefault="00725F53" w:rsidP="00725F53">
      <w:pPr>
        <w:pStyle w:val="NormalHanging12a"/>
        <w:rPr>
          <w:szCs w:val="24"/>
        </w:rPr>
      </w:pPr>
      <w:r w:rsidRPr="004D730A">
        <w:t>–</w:t>
      </w:r>
      <w:r w:rsidRPr="004D730A">
        <w:tab/>
        <w:t xml:space="preserve">der henviser til FN's internationale konvention om økonomiske, sociale og kulturelle </w:t>
      </w:r>
      <w:r w:rsidRPr="004D730A">
        <w:lastRenderedPageBreak/>
        <w:t>rettigheder, som blev vedtaget i New York den 16. december 1966,</w:t>
      </w:r>
    </w:p>
    <w:p w14:paraId="5ADC32AA" w14:textId="77777777" w:rsidR="00725F53" w:rsidRPr="004D730A" w:rsidRDefault="00725F53" w:rsidP="00725F53">
      <w:pPr>
        <w:pStyle w:val="NormalHanging12a"/>
      </w:pPr>
      <w:r w:rsidRPr="004D730A">
        <w:t>–</w:t>
      </w:r>
      <w:r w:rsidRPr="004D730A">
        <w:tab/>
        <w:t>der henviser til FN's konvention om barnets rettigheder, som blev vedtaget i New York den 20. november 1989, og til de generelle bemærkninger fra FN's Komité for Barnets Rettigheder,</w:t>
      </w:r>
    </w:p>
    <w:p w14:paraId="4C90914D" w14:textId="77777777" w:rsidR="00725F53" w:rsidRPr="004D730A" w:rsidRDefault="00725F53" w:rsidP="00725F53">
      <w:pPr>
        <w:pStyle w:val="NormalHanging12a"/>
        <w:rPr>
          <w:szCs w:val="24"/>
        </w:rPr>
      </w:pPr>
      <w:r w:rsidRPr="004D730A">
        <w:t>–</w:t>
      </w:r>
      <w:r w:rsidRPr="004D730A">
        <w:tab/>
        <w:t>der henviser til FN's konvention om rettigheder for personer med handicap, der blev vedtaget i New York den 12. december 2006,</w:t>
      </w:r>
    </w:p>
    <w:p w14:paraId="6123263D" w14:textId="77777777" w:rsidR="00725F53" w:rsidRPr="004D730A" w:rsidRDefault="00725F53" w:rsidP="00725F53">
      <w:pPr>
        <w:pStyle w:val="NormalHanging12a"/>
        <w:rPr>
          <w:szCs w:val="24"/>
        </w:rPr>
      </w:pPr>
      <w:r w:rsidRPr="004D730A">
        <w:t>–</w:t>
      </w:r>
      <w:r w:rsidRPr="004D730A">
        <w:tab/>
        <w:t>der henviser til FN's Generalforsamlings resolution af 18. december 2019 om barnets rettigheder,</w:t>
      </w:r>
    </w:p>
    <w:p w14:paraId="1C7EE840" w14:textId="77777777" w:rsidR="00725F53" w:rsidRPr="004D730A" w:rsidRDefault="00725F53" w:rsidP="00725F53">
      <w:pPr>
        <w:pStyle w:val="NormalHanging12a"/>
        <w:rPr>
          <w:b/>
          <w:i/>
        </w:rPr>
      </w:pPr>
      <w:r w:rsidRPr="004D730A">
        <w:rPr>
          <w:b/>
          <w:i/>
        </w:rPr>
        <w:t>–</w:t>
      </w:r>
      <w:r w:rsidRPr="004D730A">
        <w:rPr>
          <w:b/>
          <w:i/>
        </w:rPr>
        <w:tab/>
      </w:r>
      <w:r w:rsidRPr="004D730A">
        <w:t>der henviser til Den Internationale Arbejdsorganisations konventioner, herunder konvention nr. 102 om social tryghed (minimumsnormer), konvention nr. 111 om forskelsbehandling med hensyn til beskæftigelse og erhverv og konvention nr. 189 om ordentlige arbejdsforhold for husarbejdere,</w:t>
      </w:r>
    </w:p>
    <w:p w14:paraId="4BA09CEA" w14:textId="77777777" w:rsidR="00725F53" w:rsidRPr="004D730A" w:rsidRDefault="00725F53" w:rsidP="00725F53">
      <w:pPr>
        <w:pStyle w:val="NormalHanging12a"/>
        <w:rPr>
          <w:szCs w:val="24"/>
        </w:rPr>
      </w:pPr>
      <w:r w:rsidRPr="004D730A">
        <w:t>–</w:t>
      </w:r>
      <w:r w:rsidRPr="004D730A">
        <w:tab/>
        <w:t>der henviser til den europæiske socialpagt, som blev vedtaget i Torino i 1961,</w:t>
      </w:r>
    </w:p>
    <w:p w14:paraId="6BB0A9A7" w14:textId="77777777" w:rsidR="00725F53" w:rsidRPr="004D730A" w:rsidRDefault="00725F53" w:rsidP="00725F53">
      <w:pPr>
        <w:pStyle w:val="NormalHanging12a"/>
        <w:rPr>
          <w:bCs/>
          <w:iCs/>
        </w:rPr>
      </w:pPr>
      <w:r w:rsidRPr="004D730A">
        <w:rPr>
          <w:b/>
          <w:i/>
        </w:rPr>
        <w:t>–</w:t>
      </w:r>
      <w:r w:rsidRPr="004D730A">
        <w:rPr>
          <w:b/>
          <w:i/>
        </w:rPr>
        <w:tab/>
      </w:r>
      <w:r w:rsidRPr="004D730A">
        <w:t>der henviser til Rådets direktiv 2000/43/EF af 29. juni 2000 om gennemførelse af princippet om ligebehandling af alle uanset race eller etnisk oprindelse</w:t>
      </w:r>
      <w:r w:rsidRPr="004D730A">
        <w:rPr>
          <w:rStyle w:val="FootnoteReference"/>
          <w:bCs/>
          <w:iCs/>
        </w:rPr>
        <w:footnoteReference w:id="2"/>
      </w:r>
      <w:r w:rsidRPr="004D730A">
        <w:t>,</w:t>
      </w:r>
    </w:p>
    <w:p w14:paraId="7369540A" w14:textId="77777777" w:rsidR="00725F53" w:rsidRPr="004D730A" w:rsidRDefault="00725F53" w:rsidP="00725F53">
      <w:pPr>
        <w:pStyle w:val="NormalHanging12a"/>
        <w:rPr>
          <w:b/>
          <w:i/>
        </w:rPr>
      </w:pPr>
      <w:r w:rsidRPr="004D730A">
        <w:rPr>
          <w:b/>
          <w:i/>
        </w:rPr>
        <w:t>–</w:t>
      </w:r>
      <w:r w:rsidRPr="004D730A">
        <w:rPr>
          <w:b/>
          <w:i/>
        </w:rPr>
        <w:tab/>
      </w:r>
      <w:r w:rsidRPr="004D730A">
        <w:t>der henviser til Rådets direktiv 2000/78/EF af 27. november 2000 om generelle rammebestemmelser om ligebehandling med hensyn til beskæftigelse og erhverv</w:t>
      </w:r>
      <w:r w:rsidRPr="004D730A">
        <w:rPr>
          <w:rStyle w:val="FootnoteReference"/>
          <w:bCs/>
          <w:iCs/>
        </w:rPr>
        <w:footnoteReference w:id="3"/>
      </w:r>
      <w:r w:rsidRPr="004D730A">
        <w:t>,</w:t>
      </w:r>
    </w:p>
    <w:p w14:paraId="2ACA04E3" w14:textId="77777777" w:rsidR="00725F53" w:rsidRPr="004D730A" w:rsidRDefault="00725F53" w:rsidP="00725F53">
      <w:pPr>
        <w:pStyle w:val="NormalHanging12a"/>
        <w:rPr>
          <w:szCs w:val="24"/>
        </w:rPr>
      </w:pPr>
      <w:r w:rsidRPr="004D730A">
        <w:t>–</w:t>
      </w:r>
      <w:r w:rsidRPr="004D730A">
        <w:tab/>
        <w:t>der henviser til Europa-Parlamentets og Rådets direktiv (EU) 2019/1158 af 20. juni 2019 om balance mellem arbejdsliv og privatliv for forældre og omsorgspersoner og om ophævelse af Rådets direktiv 2010/18/EU</w:t>
      </w:r>
      <w:r w:rsidRPr="004D730A">
        <w:rPr>
          <w:rStyle w:val="FootnoteReference"/>
        </w:rPr>
        <w:footnoteReference w:id="4"/>
      </w:r>
      <w:r w:rsidRPr="004D730A">
        <w:t>,</w:t>
      </w:r>
    </w:p>
    <w:p w14:paraId="232A38AE" w14:textId="77777777" w:rsidR="00725F53" w:rsidRPr="004D730A" w:rsidRDefault="00725F53" w:rsidP="00725F53">
      <w:pPr>
        <w:pStyle w:val="NormalHanging12a"/>
        <w:rPr>
          <w:b/>
          <w:i/>
        </w:rPr>
      </w:pPr>
      <w:r w:rsidRPr="004D730A">
        <w:rPr>
          <w:b/>
          <w:i/>
        </w:rPr>
        <w:t>–</w:t>
      </w:r>
      <w:r w:rsidRPr="004D730A">
        <w:rPr>
          <w:b/>
          <w:i/>
        </w:rPr>
        <w:tab/>
      </w:r>
      <w:r w:rsidRPr="004D730A">
        <w:t>der henviser til Europa-Parlamentets og Rådets direktiv (EU) 2022/2041 af 19. oktober 2022 om passende mindstelønninger i Den Europæiske Union</w:t>
      </w:r>
      <w:r w:rsidRPr="004D730A">
        <w:rPr>
          <w:rStyle w:val="FootnoteReference"/>
          <w:bCs/>
          <w:iCs/>
        </w:rPr>
        <w:footnoteReference w:id="5"/>
      </w:r>
      <w:r w:rsidRPr="004D730A">
        <w:t>,</w:t>
      </w:r>
    </w:p>
    <w:p w14:paraId="25CD383D" w14:textId="77777777" w:rsidR="00725F53" w:rsidRPr="004D730A" w:rsidRDefault="00725F53" w:rsidP="00725F53">
      <w:pPr>
        <w:pStyle w:val="NormalHanging12a"/>
        <w:rPr>
          <w:b/>
          <w:i/>
        </w:rPr>
      </w:pPr>
      <w:r w:rsidRPr="004D730A">
        <w:rPr>
          <w:b/>
          <w:i/>
        </w:rPr>
        <w:t>–</w:t>
      </w:r>
      <w:r w:rsidRPr="004D730A">
        <w:rPr>
          <w:b/>
          <w:i/>
        </w:rPr>
        <w:tab/>
      </w:r>
      <w:r w:rsidRPr="004D730A">
        <w:t>der henviser til Europa-Parlamentets og Rådets direktiv (EU) 2023/970 af 10. maj 2023 om styrkelse af anvendelsen af princippet om lige løn til mænd og kvinder for samme arbejde eller arbejde af samme værdi ved hjælp af løngennemsigtighed og håndhævelsesmekanismer</w:t>
      </w:r>
      <w:r w:rsidRPr="004D730A">
        <w:rPr>
          <w:rStyle w:val="FootnoteReference"/>
          <w:bCs/>
          <w:iCs/>
        </w:rPr>
        <w:footnoteReference w:id="6"/>
      </w:r>
      <w:r w:rsidRPr="004D730A">
        <w:t>,</w:t>
      </w:r>
    </w:p>
    <w:p w14:paraId="4CF34B82" w14:textId="77777777" w:rsidR="00725F53" w:rsidRPr="004D730A" w:rsidRDefault="00725F53" w:rsidP="00725F53">
      <w:pPr>
        <w:pStyle w:val="NormalHanging12a"/>
        <w:rPr>
          <w:b/>
          <w:i/>
        </w:rPr>
      </w:pPr>
      <w:r w:rsidRPr="004D730A">
        <w:rPr>
          <w:b/>
          <w:i/>
        </w:rPr>
        <w:t>–</w:t>
      </w:r>
      <w:r w:rsidRPr="004D730A">
        <w:rPr>
          <w:b/>
          <w:i/>
        </w:rPr>
        <w:tab/>
      </w:r>
      <w:r w:rsidRPr="004D730A">
        <w:t>der henviser til Europa-Parlamentets og Rådets forordning (EU) 2023/955 af 10. maj 2023 om oprettelse af en social klimafond og om ændring af forordning (EU) 2021/1060</w:t>
      </w:r>
      <w:r w:rsidRPr="004D730A">
        <w:rPr>
          <w:rStyle w:val="FootnoteReference"/>
          <w:bCs/>
          <w:iCs/>
        </w:rPr>
        <w:footnoteReference w:id="7"/>
      </w:r>
      <w:r w:rsidRPr="004D730A">
        <w:t>,</w:t>
      </w:r>
    </w:p>
    <w:p w14:paraId="2CA4A1C7" w14:textId="77777777" w:rsidR="00725F53" w:rsidRPr="004D730A" w:rsidRDefault="00725F53" w:rsidP="00725F53">
      <w:pPr>
        <w:pStyle w:val="NormalHanging12a"/>
        <w:rPr>
          <w:b/>
          <w:i/>
        </w:rPr>
      </w:pPr>
      <w:r w:rsidRPr="004D730A">
        <w:rPr>
          <w:b/>
          <w:i/>
        </w:rPr>
        <w:t>–</w:t>
      </w:r>
      <w:r w:rsidRPr="004D730A">
        <w:rPr>
          <w:b/>
          <w:i/>
        </w:rPr>
        <w:tab/>
      </w:r>
      <w:r w:rsidRPr="004D730A">
        <w:t>der henviser til Europa-Parlamentets og Rådets direktiv (EU) 2024/1385 af 14. maj 2024 om bekæmpelse af vold mod kvinder og vold i hjemmet</w:t>
      </w:r>
      <w:r w:rsidRPr="004D730A">
        <w:rPr>
          <w:rStyle w:val="FootnoteReference"/>
          <w:bCs/>
          <w:iCs/>
        </w:rPr>
        <w:footnoteReference w:id="8"/>
      </w:r>
      <w:r w:rsidRPr="004D730A">
        <w:t>,</w:t>
      </w:r>
    </w:p>
    <w:p w14:paraId="42DF2A2E" w14:textId="77777777" w:rsidR="00725F53" w:rsidRPr="004D730A" w:rsidRDefault="00725F53" w:rsidP="00725F53">
      <w:pPr>
        <w:pStyle w:val="NormalHanging12a"/>
        <w:rPr>
          <w:bCs/>
          <w:iCs/>
        </w:rPr>
      </w:pPr>
      <w:r w:rsidRPr="004D730A">
        <w:rPr>
          <w:b/>
          <w:i/>
        </w:rPr>
        <w:t>–</w:t>
      </w:r>
      <w:r w:rsidRPr="004D730A">
        <w:rPr>
          <w:b/>
          <w:i/>
        </w:rPr>
        <w:tab/>
      </w:r>
      <w:r w:rsidRPr="004D730A">
        <w:t xml:space="preserve">der henviser til Kommissionens meddelelse af 7. marts 2025 med titlen En køreplan for </w:t>
      </w:r>
      <w:r w:rsidRPr="004D730A">
        <w:lastRenderedPageBreak/>
        <w:t>kvinders rettigheder (COM(2025)0097),</w:t>
      </w:r>
    </w:p>
    <w:p w14:paraId="06620D37" w14:textId="77777777" w:rsidR="00725F53" w:rsidRPr="004D730A" w:rsidRDefault="00725F53" w:rsidP="00725F53">
      <w:pPr>
        <w:pStyle w:val="NormalHanging12a"/>
        <w:rPr>
          <w:bCs/>
          <w:iCs/>
        </w:rPr>
      </w:pPr>
      <w:r w:rsidRPr="004D730A">
        <w:rPr>
          <w:b/>
          <w:i/>
        </w:rPr>
        <w:t>–</w:t>
      </w:r>
      <w:r w:rsidRPr="004D730A">
        <w:rPr>
          <w:b/>
          <w:i/>
        </w:rPr>
        <w:tab/>
      </w:r>
      <w:r w:rsidRPr="004D730A">
        <w:t>der henviser til sin beslutning af 30. januar 2020 om kønsbestemt lønforskel</w:t>
      </w:r>
      <w:r w:rsidRPr="004D730A">
        <w:rPr>
          <w:rStyle w:val="FootnoteReference"/>
          <w:bCs/>
          <w:iCs/>
        </w:rPr>
        <w:footnoteReference w:id="9"/>
      </w:r>
      <w:r w:rsidRPr="004D730A">
        <w:t>,</w:t>
      </w:r>
    </w:p>
    <w:p w14:paraId="7AA1BD09" w14:textId="77777777" w:rsidR="00725F53" w:rsidRPr="004D730A" w:rsidRDefault="00725F53" w:rsidP="00725F53">
      <w:pPr>
        <w:pStyle w:val="NormalHanging12a"/>
        <w:rPr>
          <w:szCs w:val="24"/>
        </w:rPr>
      </w:pPr>
      <w:r w:rsidRPr="004D730A">
        <w:t>–</w:t>
      </w:r>
      <w:r w:rsidRPr="004D730A">
        <w:tab/>
        <w:t>der henviser til sin beslutning af 21. januar 2021 om adgang for alle til en anstændig bolig til en overkommelig pris</w:t>
      </w:r>
      <w:r w:rsidRPr="004D730A">
        <w:rPr>
          <w:rStyle w:val="FootnoteReference"/>
        </w:rPr>
        <w:footnoteReference w:id="10"/>
      </w:r>
      <w:r w:rsidRPr="004D730A">
        <w:t>,</w:t>
      </w:r>
    </w:p>
    <w:p w14:paraId="29DDFC1B" w14:textId="77777777" w:rsidR="00725F53" w:rsidRPr="004D730A" w:rsidRDefault="00725F53" w:rsidP="00725F53">
      <w:pPr>
        <w:pStyle w:val="NormalHanging12a"/>
        <w:rPr>
          <w:szCs w:val="24"/>
        </w:rPr>
      </w:pPr>
      <w:r w:rsidRPr="004D730A">
        <w:t>–</w:t>
      </w:r>
      <w:r w:rsidRPr="004D730A">
        <w:tab/>
        <w:t>der henviser til sin beslutning af 10. februar 2021 om begrænsning af uligheder med særligt fokus på fattigdom blandt personer i arbejde</w:t>
      </w:r>
      <w:r w:rsidRPr="004D730A">
        <w:rPr>
          <w:rStyle w:val="FootnoteReference"/>
        </w:rPr>
        <w:footnoteReference w:id="11"/>
      </w:r>
      <w:r w:rsidRPr="004D730A">
        <w:t>,</w:t>
      </w:r>
    </w:p>
    <w:p w14:paraId="441D58C6" w14:textId="77777777" w:rsidR="00725F53" w:rsidRPr="004D730A" w:rsidRDefault="00725F53" w:rsidP="00725F53">
      <w:pPr>
        <w:pStyle w:val="NormalHanging12a"/>
        <w:rPr>
          <w:bCs/>
          <w:iCs/>
        </w:rPr>
      </w:pPr>
      <w:r w:rsidRPr="004D730A">
        <w:rPr>
          <w:b/>
          <w:i/>
        </w:rPr>
        <w:t>–</w:t>
      </w:r>
      <w:r w:rsidRPr="004D730A">
        <w:rPr>
          <w:b/>
          <w:i/>
        </w:rPr>
        <w:tab/>
      </w:r>
      <w:r w:rsidRPr="004D730A">
        <w:t>der henviser til sin beslutning af 11. marts 2021 om børns rettigheder i lyset af EU</w:t>
      </w:r>
      <w:r w:rsidRPr="004D730A">
        <w:noBreakHyphen/>
        <w:t>strategien for børns rettigheder</w:t>
      </w:r>
      <w:r w:rsidRPr="004D730A">
        <w:rPr>
          <w:rStyle w:val="FootnoteReference"/>
          <w:bCs/>
          <w:iCs/>
        </w:rPr>
        <w:footnoteReference w:id="12"/>
      </w:r>
      <w:r w:rsidRPr="004D730A">
        <w:t>,</w:t>
      </w:r>
    </w:p>
    <w:p w14:paraId="34E369EA" w14:textId="77777777" w:rsidR="00725F53" w:rsidRPr="004D730A" w:rsidRDefault="00725F53" w:rsidP="00725F53">
      <w:pPr>
        <w:pStyle w:val="NormalHanging12a"/>
        <w:rPr>
          <w:szCs w:val="24"/>
        </w:rPr>
      </w:pPr>
      <w:r w:rsidRPr="004D730A">
        <w:t>–</w:t>
      </w:r>
      <w:r w:rsidRPr="004D730A">
        <w:tab/>
        <w:t>der henviser til sin beslutning af 29. april 2021 om den europæiske børnegaranti</w:t>
      </w:r>
      <w:r w:rsidRPr="004D730A">
        <w:rPr>
          <w:rStyle w:val="FootnoteReference"/>
        </w:rPr>
        <w:footnoteReference w:id="13"/>
      </w:r>
      <w:r w:rsidRPr="004D730A">
        <w:t>,</w:t>
      </w:r>
    </w:p>
    <w:p w14:paraId="13630283" w14:textId="77777777" w:rsidR="00725F53" w:rsidRPr="004D730A" w:rsidRDefault="00725F53" w:rsidP="00725F53">
      <w:pPr>
        <w:pStyle w:val="NormalHanging12a"/>
        <w:rPr>
          <w:bCs/>
          <w:iCs/>
        </w:rPr>
      </w:pPr>
      <w:r w:rsidRPr="004D730A">
        <w:rPr>
          <w:b/>
          <w:i/>
        </w:rPr>
        <w:t>–</w:t>
      </w:r>
      <w:r w:rsidRPr="004D730A">
        <w:rPr>
          <w:b/>
          <w:i/>
        </w:rPr>
        <w:tab/>
      </w:r>
      <w:r w:rsidRPr="004D730A">
        <w:t>der henviser til sin beslutning af 5. juli 2022 om fattigdom blandt kvinder i Europa</w:t>
      </w:r>
      <w:r w:rsidRPr="004D730A">
        <w:rPr>
          <w:rStyle w:val="FootnoteReference"/>
          <w:bCs/>
          <w:iCs/>
        </w:rPr>
        <w:footnoteReference w:id="14"/>
      </w:r>
      <w:r w:rsidRPr="004D730A">
        <w:t>,</w:t>
      </w:r>
    </w:p>
    <w:p w14:paraId="58642086" w14:textId="77777777" w:rsidR="00725F53" w:rsidRPr="004D730A" w:rsidRDefault="00725F53" w:rsidP="00725F53">
      <w:pPr>
        <w:pStyle w:val="NormalHanging12a"/>
        <w:rPr>
          <w:b/>
          <w:i/>
        </w:rPr>
      </w:pPr>
      <w:r w:rsidRPr="004D730A">
        <w:rPr>
          <w:b/>
          <w:i/>
        </w:rPr>
        <w:t>–</w:t>
      </w:r>
      <w:r w:rsidRPr="004D730A">
        <w:rPr>
          <w:b/>
          <w:i/>
        </w:rPr>
        <w:tab/>
      </w:r>
      <w:r w:rsidRPr="004D730A">
        <w:t>der henviser til sin beslutning af 5. oktober 2022 om situationen for romaer, der bor i bosættelser i EU</w:t>
      </w:r>
      <w:r w:rsidRPr="004D730A">
        <w:rPr>
          <w:rStyle w:val="FootnoteReference"/>
          <w:bCs/>
          <w:iCs/>
        </w:rPr>
        <w:footnoteReference w:id="15"/>
      </w:r>
      <w:r w:rsidRPr="004D730A">
        <w:t>,</w:t>
      </w:r>
    </w:p>
    <w:p w14:paraId="144092B8" w14:textId="77777777" w:rsidR="00725F53" w:rsidRPr="004D730A" w:rsidRDefault="00725F53" w:rsidP="00725F53">
      <w:pPr>
        <w:pStyle w:val="NormalHanging12a"/>
        <w:rPr>
          <w:b/>
          <w:i/>
        </w:rPr>
      </w:pPr>
      <w:r w:rsidRPr="004D730A">
        <w:rPr>
          <w:b/>
          <w:i/>
        </w:rPr>
        <w:t>–</w:t>
      </w:r>
      <w:r w:rsidRPr="004D730A">
        <w:rPr>
          <w:b/>
          <w:i/>
        </w:rPr>
        <w:tab/>
      </w:r>
      <w:r w:rsidRPr="004D730A">
        <w:t>der henviser til sin beslutning af 15. marts 2023 om tilstrækkelig minimumsindkomst til at sikre aktiv inklusion</w:t>
      </w:r>
      <w:r w:rsidRPr="004D730A">
        <w:rPr>
          <w:rStyle w:val="FootnoteReference"/>
          <w:bCs/>
          <w:iCs/>
        </w:rPr>
        <w:footnoteReference w:id="16"/>
      </w:r>
      <w:r w:rsidRPr="004D730A">
        <w:t>,</w:t>
      </w:r>
    </w:p>
    <w:p w14:paraId="0C494EC0" w14:textId="77777777" w:rsidR="00725F53" w:rsidRPr="004D730A" w:rsidRDefault="00725F53" w:rsidP="00725F53">
      <w:pPr>
        <w:pStyle w:val="NormalHanging12a"/>
        <w:rPr>
          <w:b/>
          <w:i/>
        </w:rPr>
      </w:pPr>
      <w:r w:rsidRPr="004D730A">
        <w:rPr>
          <w:b/>
          <w:i/>
        </w:rPr>
        <w:t>–</w:t>
      </w:r>
      <w:r w:rsidRPr="004D730A">
        <w:rPr>
          <w:b/>
          <w:i/>
        </w:rPr>
        <w:tab/>
      </w:r>
      <w:r w:rsidRPr="004D730A">
        <w:t>der henviser til sin beslutning af 9. maj 2023 om skoleordningen for frugt, grøntsager, mælk og mejeriprodukter fastsat i forordningen om den fælles markedsordning</w:t>
      </w:r>
      <w:r w:rsidRPr="004D730A">
        <w:rPr>
          <w:rStyle w:val="FootnoteReference"/>
          <w:bCs/>
          <w:iCs/>
        </w:rPr>
        <w:footnoteReference w:id="17"/>
      </w:r>
      <w:r w:rsidRPr="004D730A">
        <w:t>,</w:t>
      </w:r>
    </w:p>
    <w:p w14:paraId="735ECE2D" w14:textId="77777777" w:rsidR="00725F53" w:rsidRPr="004D730A" w:rsidRDefault="00725F53" w:rsidP="00725F53">
      <w:pPr>
        <w:pStyle w:val="NormalHanging12a"/>
        <w:rPr>
          <w:szCs w:val="24"/>
        </w:rPr>
      </w:pPr>
      <w:r w:rsidRPr="004D730A">
        <w:t>–</w:t>
      </w:r>
      <w:r w:rsidRPr="004D730A">
        <w:tab/>
        <w:t>der henviser til sin beslutning af 21. november 2023 om begrænsning af uligheder og fremme af social inklusion i krisetider for børn og deres familier</w:t>
      </w:r>
      <w:r w:rsidRPr="004D730A">
        <w:rPr>
          <w:rStyle w:val="FootnoteReference"/>
        </w:rPr>
        <w:footnoteReference w:id="18"/>
      </w:r>
      <w:r w:rsidRPr="004D730A">
        <w:t>,</w:t>
      </w:r>
    </w:p>
    <w:p w14:paraId="1718778E" w14:textId="77777777" w:rsidR="00725F53" w:rsidRPr="004D730A" w:rsidRDefault="00725F53" w:rsidP="00725F53">
      <w:pPr>
        <w:pStyle w:val="NormalHanging12a"/>
        <w:rPr>
          <w:b/>
          <w:i/>
        </w:rPr>
      </w:pPr>
      <w:r w:rsidRPr="004D730A">
        <w:rPr>
          <w:b/>
          <w:i/>
        </w:rPr>
        <w:t>–</w:t>
      </w:r>
      <w:r w:rsidRPr="004D730A">
        <w:rPr>
          <w:b/>
          <w:i/>
        </w:rPr>
        <w:tab/>
      </w:r>
      <w:r w:rsidRPr="004D730A">
        <w:t>der henviser til sin beslutning af 21. november 2023 med titlen "Børnene først – Styrkelse af børnegarantien to år efter dens vedtagelse"</w:t>
      </w:r>
      <w:r w:rsidRPr="004D730A">
        <w:rPr>
          <w:rStyle w:val="FootnoteReference"/>
          <w:bCs/>
          <w:iCs/>
        </w:rPr>
        <w:footnoteReference w:id="19"/>
      </w:r>
      <w:r w:rsidRPr="004D730A">
        <w:t>,</w:t>
      </w:r>
    </w:p>
    <w:p w14:paraId="20AF48F2" w14:textId="77777777" w:rsidR="00725F53" w:rsidRPr="004D730A" w:rsidRDefault="00725F53" w:rsidP="00725F53">
      <w:pPr>
        <w:pStyle w:val="NormalHanging12a"/>
        <w:rPr>
          <w:b/>
          <w:i/>
        </w:rPr>
      </w:pPr>
      <w:r w:rsidRPr="004D730A">
        <w:rPr>
          <w:b/>
          <w:i/>
        </w:rPr>
        <w:t>–</w:t>
      </w:r>
      <w:r w:rsidRPr="004D730A">
        <w:rPr>
          <w:b/>
          <w:i/>
        </w:rPr>
        <w:tab/>
      </w:r>
      <w:r w:rsidRPr="004D730A">
        <w:t>der henviser til sin beslutning af 23. november 2023 om jobskabelse: retfærdig omstilling og impact-investeringer</w:t>
      </w:r>
      <w:r w:rsidRPr="004D730A">
        <w:rPr>
          <w:rStyle w:val="FootnoteReference"/>
          <w:bCs/>
          <w:iCs/>
        </w:rPr>
        <w:footnoteReference w:id="20"/>
      </w:r>
      <w:r w:rsidRPr="004D730A">
        <w:t>,</w:t>
      </w:r>
    </w:p>
    <w:p w14:paraId="7F8E34E4" w14:textId="77777777" w:rsidR="00725F53" w:rsidRPr="004D730A" w:rsidRDefault="00725F53" w:rsidP="00725F53">
      <w:pPr>
        <w:pStyle w:val="NormalHanging12a"/>
        <w:rPr>
          <w:b/>
          <w:i/>
        </w:rPr>
      </w:pPr>
      <w:r w:rsidRPr="004D730A">
        <w:rPr>
          <w:b/>
          <w:i/>
        </w:rPr>
        <w:t>–</w:t>
      </w:r>
      <w:r w:rsidRPr="004D730A">
        <w:rPr>
          <w:b/>
          <w:i/>
        </w:rPr>
        <w:tab/>
      </w:r>
      <w:r w:rsidRPr="004D730A">
        <w:t>der henviser til Rådets henstilling af 22. maj 2019 om førskoleundervisning og børnepasningsordninger af høj kvalitet</w:t>
      </w:r>
      <w:r w:rsidRPr="004D730A">
        <w:rPr>
          <w:rStyle w:val="FootnoteReference"/>
          <w:bCs/>
          <w:iCs/>
        </w:rPr>
        <w:footnoteReference w:id="21"/>
      </w:r>
      <w:r w:rsidRPr="004D730A">
        <w:t>,</w:t>
      </w:r>
    </w:p>
    <w:p w14:paraId="0D900BE3" w14:textId="77777777" w:rsidR="00725F53" w:rsidRPr="004D730A" w:rsidRDefault="00725F53" w:rsidP="00725F53">
      <w:pPr>
        <w:pStyle w:val="NormalHanging12a"/>
        <w:rPr>
          <w:b/>
          <w:i/>
        </w:rPr>
      </w:pPr>
      <w:r w:rsidRPr="004D730A">
        <w:rPr>
          <w:b/>
          <w:i/>
        </w:rPr>
        <w:t>–</w:t>
      </w:r>
      <w:r w:rsidRPr="004D730A">
        <w:rPr>
          <w:b/>
          <w:i/>
        </w:rPr>
        <w:tab/>
      </w:r>
      <w:r w:rsidRPr="004D730A">
        <w:t xml:space="preserve">der henviser til Kommissionens henstilling 2013/112/EU af 20. februar 2013 med titlen </w:t>
      </w:r>
      <w:r w:rsidRPr="004D730A">
        <w:lastRenderedPageBreak/>
        <w:t>"Investering i børn: Hvordan man bryder den onde cirkel for de socialt udsatte"</w:t>
      </w:r>
      <w:r w:rsidRPr="004D730A">
        <w:rPr>
          <w:rStyle w:val="FootnoteReference"/>
        </w:rPr>
        <w:footnoteReference w:id="22"/>
      </w:r>
      <w:r w:rsidRPr="004D730A">
        <w:t>,</w:t>
      </w:r>
    </w:p>
    <w:p w14:paraId="6A24BD15" w14:textId="77777777" w:rsidR="00725F53" w:rsidRPr="004D730A" w:rsidRDefault="00725F53" w:rsidP="00725F53">
      <w:pPr>
        <w:pStyle w:val="NormalHanging12a"/>
        <w:rPr>
          <w:szCs w:val="24"/>
        </w:rPr>
      </w:pPr>
      <w:r w:rsidRPr="004D730A">
        <w:t>–</w:t>
      </w:r>
      <w:r w:rsidRPr="004D730A">
        <w:tab/>
        <w:t>der henviser til Kommissionens meddelelse af 24. marts 2021 med titlen "EU-strategi om barnets rettigheder" (COM(2021)0142),</w:t>
      </w:r>
    </w:p>
    <w:p w14:paraId="1E76C29F"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henstilling (EU) 2024/1238 af 23. april 2024 om udvikling og styrkelse af integrerede børnebeskyttelsessystemer, der er i barnets tarv</w:t>
      </w:r>
      <w:r w:rsidRPr="004D730A">
        <w:rPr>
          <w:rStyle w:val="FootnoteReference"/>
          <w:bCs/>
          <w:iCs/>
        </w:rPr>
        <w:footnoteReference w:id="23"/>
      </w:r>
      <w:r w:rsidRPr="004D730A">
        <w:t>,</w:t>
      </w:r>
    </w:p>
    <w:p w14:paraId="4D150821" w14:textId="77777777" w:rsidR="00725F53" w:rsidRPr="004D730A" w:rsidRDefault="00725F53" w:rsidP="00725F53">
      <w:pPr>
        <w:pStyle w:val="NormalHanging12a"/>
        <w:rPr>
          <w:szCs w:val="24"/>
        </w:rPr>
      </w:pPr>
      <w:r w:rsidRPr="004D730A">
        <w:t>–</w:t>
      </w:r>
      <w:r w:rsidRPr="004D730A">
        <w:tab/>
        <w:t>der henviser til Rådets henstilling (EU) 2021/1004 af 14. juni 2021 om oprettelse af en europæisk børnegaranti</w:t>
      </w:r>
      <w:r w:rsidRPr="004D730A">
        <w:rPr>
          <w:rStyle w:val="FootnoteReference"/>
        </w:rPr>
        <w:footnoteReference w:id="24"/>
      </w:r>
      <w:r w:rsidRPr="004D730A">
        <w:t>,</w:t>
      </w:r>
    </w:p>
    <w:p w14:paraId="3AE5C6EF" w14:textId="77777777" w:rsidR="00725F53" w:rsidRPr="004D730A" w:rsidRDefault="00725F53" w:rsidP="00725F53">
      <w:pPr>
        <w:pStyle w:val="NormalHanging12a"/>
        <w:rPr>
          <w:szCs w:val="24"/>
        </w:rPr>
      </w:pPr>
      <w:r w:rsidRPr="004D730A">
        <w:t>–</w:t>
      </w:r>
      <w:r w:rsidRPr="004D730A">
        <w:tab/>
        <w:t>der henviser til Kommissionens meddelelse af 7. juni 2023 om en samlet tilgang til mental sundhed (COM(2023)0298),</w:t>
      </w:r>
    </w:p>
    <w:p w14:paraId="1C0D9CB6" w14:textId="77777777" w:rsidR="00725F53" w:rsidRPr="004D730A" w:rsidRDefault="00725F53" w:rsidP="00725F53">
      <w:pPr>
        <w:pStyle w:val="NormalHanging12a"/>
        <w:rPr>
          <w:szCs w:val="24"/>
        </w:rPr>
      </w:pPr>
      <w:r w:rsidRPr="004D730A">
        <w:t>–</w:t>
      </w:r>
      <w:r w:rsidRPr="004D730A">
        <w:tab/>
        <w:t>der henviser til Kommissionens meddelelse af 5. marts 2020 med titlen "Et EU med ligestilling: strategi for ligestilling mellem mænd og kvinder 2020‑2025" (COM(2020)0152),</w:t>
      </w:r>
    </w:p>
    <w:p w14:paraId="5141BC72"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meddelelse af 18. september 2020 med titlen "En Union med lighed: EU-handlingsplan mod racisme 2020-2025" (COM(2020)0565),</w:t>
      </w:r>
    </w:p>
    <w:p w14:paraId="61E74272"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meddelelse af 12. november 2020 med titlen "En Union med lige muligheder: Strategi for ligestilling af LGBTIQ-personer 2020-2025" (COM(2020)0698),</w:t>
      </w:r>
    </w:p>
    <w:p w14:paraId="7FECF1DE" w14:textId="77777777" w:rsidR="00725F53" w:rsidRPr="004D730A" w:rsidRDefault="00725F53" w:rsidP="00725F53">
      <w:pPr>
        <w:pStyle w:val="NormalHanging12a"/>
        <w:rPr>
          <w:szCs w:val="24"/>
        </w:rPr>
      </w:pPr>
      <w:r w:rsidRPr="004D730A">
        <w:t>–</w:t>
      </w:r>
      <w:r w:rsidRPr="004D730A">
        <w:tab/>
        <w:t>der henviser til Kommissionens meddelelse af 7. oktober 2020 med titlen "En Union med ligestilling: EU's strategiske ramme for romaernes ligestilling, integration og deltagelse" (COM(2020)0620),</w:t>
      </w:r>
    </w:p>
    <w:p w14:paraId="4007C56A" w14:textId="77777777" w:rsidR="00725F53" w:rsidRPr="004D730A" w:rsidRDefault="00725F53" w:rsidP="00725F53">
      <w:pPr>
        <w:pStyle w:val="NormalHanging12a"/>
        <w:rPr>
          <w:b/>
          <w:i/>
        </w:rPr>
      </w:pPr>
      <w:r w:rsidRPr="004D730A">
        <w:rPr>
          <w:b/>
          <w:i/>
        </w:rPr>
        <w:t>–</w:t>
      </w:r>
      <w:r w:rsidRPr="004D730A">
        <w:rPr>
          <w:b/>
          <w:i/>
        </w:rPr>
        <w:tab/>
      </w:r>
      <w:r w:rsidRPr="004D730A">
        <w:t>der henviser til Rådets henstilling af 12. marts 2021 om romaernes ligestilling, inklusion og deltagelse</w:t>
      </w:r>
      <w:r w:rsidRPr="004D730A">
        <w:rPr>
          <w:rStyle w:val="FootnoteReference"/>
          <w:bCs/>
          <w:iCs/>
        </w:rPr>
        <w:footnoteReference w:id="25"/>
      </w:r>
      <w:r w:rsidRPr="004D730A">
        <w:t>,</w:t>
      </w:r>
    </w:p>
    <w:p w14:paraId="052D3F6A" w14:textId="77777777" w:rsidR="00725F53" w:rsidRPr="004D730A" w:rsidRDefault="00725F53" w:rsidP="00725F53">
      <w:pPr>
        <w:pStyle w:val="NormalHanging12a"/>
        <w:rPr>
          <w:szCs w:val="24"/>
        </w:rPr>
      </w:pPr>
      <w:r w:rsidRPr="004D730A">
        <w:t>–</w:t>
      </w:r>
      <w:r w:rsidRPr="004D730A">
        <w:tab/>
        <w:t>der henviser til Kommissionens meddelelse af 3. marts 2021 med titlen "En Union med lige muligheder: Strategi for rettigheder for personer med handicap 2021-2030" (COM(2021)0101),</w:t>
      </w:r>
    </w:p>
    <w:p w14:paraId="33E6790F"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meddelelse af 27. januar 2021 med titlen "Grønbog om aldring – Fremme af solidaritet og ansvar mellem generationerne" (COM(2021)0050),</w:t>
      </w:r>
    </w:p>
    <w:p w14:paraId="2BBF0D17"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meddelelse af 9. december 2021 med titlen "Opbygning af en økonomi, der tjener alle: en handlingsplan for den sociale økonomi" (COM(2021)0778),</w:t>
      </w:r>
    </w:p>
    <w:p w14:paraId="5B66009F" w14:textId="77777777" w:rsidR="00725F53" w:rsidRPr="004D730A" w:rsidRDefault="00725F53" w:rsidP="00725F53">
      <w:pPr>
        <w:pStyle w:val="NormalHanging12a"/>
        <w:rPr>
          <w:b/>
          <w:i/>
        </w:rPr>
      </w:pPr>
      <w:r w:rsidRPr="004D730A">
        <w:rPr>
          <w:b/>
          <w:i/>
        </w:rPr>
        <w:t>–</w:t>
      </w:r>
      <w:r w:rsidRPr="004D730A">
        <w:rPr>
          <w:b/>
          <w:i/>
        </w:rPr>
        <w:tab/>
      </w:r>
      <w:r w:rsidRPr="004D730A">
        <w:t>der henviser til Rådets henstilling af 8. november 2019 om adgang til social beskyttelse for arbejdstagere og selvstændige</w:t>
      </w:r>
      <w:r w:rsidRPr="004D730A">
        <w:rPr>
          <w:rStyle w:val="FootnoteReference"/>
          <w:bCs/>
          <w:iCs/>
        </w:rPr>
        <w:footnoteReference w:id="26"/>
      </w:r>
      <w:r w:rsidRPr="004D730A">
        <w:t>,</w:t>
      </w:r>
    </w:p>
    <w:p w14:paraId="7332C8B9" w14:textId="77777777" w:rsidR="00725F53" w:rsidRPr="004D730A" w:rsidRDefault="00725F53" w:rsidP="00725F53">
      <w:pPr>
        <w:pStyle w:val="NormalHanging12a"/>
        <w:rPr>
          <w:b/>
          <w:i/>
        </w:rPr>
      </w:pPr>
      <w:r w:rsidRPr="004D730A">
        <w:rPr>
          <w:b/>
          <w:i/>
        </w:rPr>
        <w:t>–</w:t>
      </w:r>
      <w:r w:rsidRPr="004D730A">
        <w:rPr>
          <w:b/>
          <w:i/>
        </w:rPr>
        <w:tab/>
      </w:r>
      <w:r w:rsidRPr="004D730A">
        <w:t xml:space="preserve">der henviser til Kommissionens rapport af 28. juni 2023 om adgang til væsentlige </w:t>
      </w:r>
      <w:r w:rsidRPr="004D730A">
        <w:lastRenderedPageBreak/>
        <w:t>tjenester i EU,</w:t>
      </w:r>
    </w:p>
    <w:p w14:paraId="7E4B4FCC" w14:textId="77777777" w:rsidR="00725F53" w:rsidRPr="004D730A" w:rsidRDefault="00725F53" w:rsidP="00725F53">
      <w:pPr>
        <w:pStyle w:val="NormalHanging12a"/>
        <w:rPr>
          <w:szCs w:val="24"/>
        </w:rPr>
      </w:pPr>
      <w:r w:rsidRPr="004D730A">
        <w:t>–</w:t>
      </w:r>
      <w:r w:rsidRPr="004D730A">
        <w:tab/>
        <w:t>der henviser til Rådets henstilling af 30. januar 2023 om en tilstrækkelig mindsteindkomst, som sikrer aktiv inklusion</w:t>
      </w:r>
      <w:r w:rsidRPr="004D730A">
        <w:rPr>
          <w:rStyle w:val="FootnoteReference"/>
        </w:rPr>
        <w:footnoteReference w:id="27"/>
      </w:r>
      <w:r w:rsidRPr="004D730A">
        <w:t>,</w:t>
      </w:r>
    </w:p>
    <w:p w14:paraId="2A414936" w14:textId="77777777" w:rsidR="00725F53" w:rsidRPr="004D730A" w:rsidRDefault="00725F53" w:rsidP="00725F53">
      <w:pPr>
        <w:pStyle w:val="NormalHanging12a"/>
        <w:rPr>
          <w:b/>
          <w:i/>
        </w:rPr>
      </w:pPr>
      <w:r w:rsidRPr="004D730A">
        <w:rPr>
          <w:b/>
          <w:i/>
        </w:rPr>
        <w:t>–</w:t>
      </w:r>
      <w:r w:rsidRPr="004D730A">
        <w:rPr>
          <w:b/>
          <w:i/>
        </w:rPr>
        <w:tab/>
      </w:r>
      <w:r w:rsidRPr="004D730A">
        <w:t>der henviser til arbejdet i den europæiske platform for bekæmpelse af hjemløshed, som blev lanceret i juni 2021,</w:t>
      </w:r>
    </w:p>
    <w:p w14:paraId="25A25916"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meddelelser af 30. juni 2021 med titlen "En langsigtet vision for EU's landdistrikter – Hen imod stærke, forbundne, modstandsdygtige og fremgangsrige landdistrikter i 2040" (COM(2021)0345) og af 27. marts 2024 med titlen "Den langsigtede vision for EU's landdistrikter: de vigtigste resultater og vejen frem" (COM(2024)0450),</w:t>
      </w:r>
    </w:p>
    <w:p w14:paraId="60406ADF" w14:textId="77777777" w:rsidR="00725F53" w:rsidRPr="004D730A" w:rsidRDefault="00725F53" w:rsidP="00725F53">
      <w:pPr>
        <w:pStyle w:val="NormalHanging12a"/>
        <w:rPr>
          <w:szCs w:val="24"/>
        </w:rPr>
      </w:pPr>
      <w:r w:rsidRPr="004D730A">
        <w:t>–</w:t>
      </w:r>
      <w:r w:rsidRPr="004D730A">
        <w:tab/>
        <w:t>der henviser til Det Europæiske Regionsudvalgs udtalelse af 14. oktober 2025 om en EU-strategi for bekæmpelse af fattigdom</w:t>
      </w:r>
      <w:r w:rsidRPr="004D730A">
        <w:rPr>
          <w:rStyle w:val="FootnoteReference"/>
        </w:rPr>
        <w:footnoteReference w:id="28"/>
      </w:r>
      <w:r w:rsidRPr="004D730A">
        <w:t>,</w:t>
      </w:r>
    </w:p>
    <w:p w14:paraId="2250CA99" w14:textId="77777777" w:rsidR="00725F53" w:rsidRPr="004D730A" w:rsidRDefault="00725F53" w:rsidP="00725F53">
      <w:pPr>
        <w:pStyle w:val="NormalHanging12a"/>
        <w:rPr>
          <w:szCs w:val="24"/>
        </w:rPr>
      </w:pPr>
      <w:r w:rsidRPr="004D730A">
        <w:t>–</w:t>
      </w:r>
      <w:r w:rsidRPr="004D730A">
        <w:tab/>
        <w:t>der henviser til de relevante rapporter fra FN's særlige rapportør om ekstrem fattigdom og menneskerettigheder,</w:t>
      </w:r>
    </w:p>
    <w:p w14:paraId="10792467" w14:textId="77777777" w:rsidR="00725F53" w:rsidRPr="004D730A" w:rsidRDefault="00725F53" w:rsidP="00725F53">
      <w:pPr>
        <w:pStyle w:val="NormalHanging12a"/>
        <w:rPr>
          <w:szCs w:val="24"/>
        </w:rPr>
      </w:pPr>
      <w:r w:rsidRPr="004D730A">
        <w:t>–</w:t>
      </w:r>
      <w:r w:rsidRPr="004D730A">
        <w:tab/>
        <w:t>der henviser til holdningsdokumentet fra Det Europæiske Antifattigdomsnetværk (EAPN) med titlen "Towards the eradication of poverty – EAPN vision and recommendations for the EU Anti-Poverty Strategy", som blev offentliggjort i 2025,</w:t>
      </w:r>
    </w:p>
    <w:p w14:paraId="12764E93" w14:textId="77777777" w:rsidR="00725F53" w:rsidRPr="004D730A" w:rsidRDefault="00725F53" w:rsidP="00725F53">
      <w:pPr>
        <w:pStyle w:val="NormalHanging12a"/>
        <w:rPr>
          <w:szCs w:val="24"/>
        </w:rPr>
      </w:pPr>
      <w:r w:rsidRPr="004D730A">
        <w:t>–</w:t>
      </w:r>
      <w:r w:rsidRPr="004D730A">
        <w:tab/>
        <w:t>der henviser til holdningsdokument I og II fra "All Together in Dignity Fourth World" med titlen "Paving the Way towards an EU Anti-Poverty Strategy", som blev offentliggjort i henholdsvis januar og maj 2025,</w:t>
      </w:r>
    </w:p>
    <w:p w14:paraId="5FB117FF" w14:textId="77777777" w:rsidR="00725F53" w:rsidRPr="004D730A" w:rsidRDefault="00725F53" w:rsidP="00725F53">
      <w:pPr>
        <w:pStyle w:val="NormalHanging12a"/>
        <w:rPr>
          <w:szCs w:val="24"/>
        </w:rPr>
      </w:pPr>
      <w:r w:rsidRPr="004D730A">
        <w:t>–</w:t>
      </w:r>
      <w:r w:rsidRPr="004D730A">
        <w:tab/>
        <w:t>der henviser til Social Platforms holdningsdokumenter fra marts 2025 med titlen "A post-2027 Multiannual Financial Framework for Social Europe" og fra maj med titlen "EU Anti-Poverty Strategy",</w:t>
      </w:r>
    </w:p>
    <w:p w14:paraId="27F26D20" w14:textId="77777777" w:rsidR="00725F53" w:rsidRPr="004D730A" w:rsidRDefault="00725F53" w:rsidP="00725F53">
      <w:pPr>
        <w:pStyle w:val="NormalHanging12a"/>
        <w:rPr>
          <w:bCs/>
          <w:iCs/>
        </w:rPr>
      </w:pPr>
      <w:r w:rsidRPr="004D730A">
        <w:rPr>
          <w:b/>
          <w:i/>
        </w:rPr>
        <w:t>–</w:t>
      </w:r>
      <w:r w:rsidRPr="004D730A">
        <w:rPr>
          <w:b/>
          <w:i/>
        </w:rPr>
        <w:tab/>
      </w:r>
      <w:r w:rsidRPr="004D730A">
        <w:t>der henviser til Make Mothers Matters holdningsdokument med titlen "Mothers' Poverty in the EU", der blev offentliggjort i 2025,</w:t>
      </w:r>
    </w:p>
    <w:p w14:paraId="1A513626" w14:textId="77777777" w:rsidR="00725F53" w:rsidRPr="004D730A" w:rsidRDefault="00725F53" w:rsidP="00725F53">
      <w:pPr>
        <w:pStyle w:val="NormalHanging12a"/>
        <w:rPr>
          <w:b/>
          <w:i/>
        </w:rPr>
      </w:pPr>
      <w:r w:rsidRPr="004D730A">
        <w:rPr>
          <w:b/>
          <w:i/>
        </w:rPr>
        <w:t>–</w:t>
      </w:r>
      <w:r w:rsidRPr="004D730A">
        <w:rPr>
          <w:b/>
          <w:i/>
        </w:rPr>
        <w:tab/>
      </w:r>
      <w:r w:rsidRPr="004D730A">
        <w:t>der henviser til Kommissionens undersøgelse af 15. november 2024 med titlen "Transport poverty: definitions, indicators, determinants, and mitigation strategies",</w:t>
      </w:r>
    </w:p>
    <w:p w14:paraId="38971B42" w14:textId="77777777" w:rsidR="00725F53" w:rsidRPr="004D730A" w:rsidRDefault="00725F53" w:rsidP="00725F53">
      <w:pPr>
        <w:pStyle w:val="NormalHanging12a"/>
      </w:pPr>
      <w:r w:rsidRPr="004D730A">
        <w:t>–</w:t>
      </w:r>
      <w:r w:rsidRPr="004D730A">
        <w:tab/>
        <w:t>der henviser til rapporten fra Eurochild med titlen "Children's Realities in Europe: Progress &amp; Gaps – Eurochild 2024 flagship report on children in need across Europe", som blev offentliggjort i 2024,</w:t>
      </w:r>
    </w:p>
    <w:p w14:paraId="17FD8972" w14:textId="77777777" w:rsidR="00725F53" w:rsidRPr="004D730A" w:rsidRDefault="00725F53" w:rsidP="00725F53">
      <w:pPr>
        <w:pStyle w:val="NormalHanging12a"/>
        <w:rPr>
          <w:szCs w:val="24"/>
        </w:rPr>
      </w:pPr>
      <w:r w:rsidRPr="004D730A">
        <w:t>–</w:t>
      </w:r>
      <w:r w:rsidRPr="004D730A">
        <w:tab/>
        <w:t>der henviser til forretningsordenens artikel 55,</w:t>
      </w:r>
    </w:p>
    <w:p w14:paraId="748EA56A" w14:textId="77777777" w:rsidR="00725F53" w:rsidRPr="004D730A" w:rsidRDefault="00725F53" w:rsidP="00725F53">
      <w:pPr>
        <w:pStyle w:val="NormalHanging12a"/>
        <w:rPr>
          <w:szCs w:val="24"/>
        </w:rPr>
      </w:pPr>
      <w:r w:rsidRPr="004D730A">
        <w:t>–</w:t>
      </w:r>
      <w:r w:rsidRPr="004D730A">
        <w:tab/>
        <w:t>der henviser til udtalelse fra Udvalget om Kvinders Rettigheder og Ligestilling,</w:t>
      </w:r>
    </w:p>
    <w:p w14:paraId="1F6CCCE5" w14:textId="3093A674" w:rsidR="00725F53" w:rsidRPr="004D730A" w:rsidRDefault="00725F53" w:rsidP="00725F53">
      <w:pPr>
        <w:pStyle w:val="NormalHanging12a"/>
        <w:rPr>
          <w:szCs w:val="24"/>
        </w:rPr>
      </w:pPr>
      <w:r w:rsidRPr="004D730A">
        <w:t>–</w:t>
      </w:r>
      <w:r w:rsidRPr="004D730A">
        <w:tab/>
        <w:t>der henviser til betænkning fra Udvalget om Beskæftigelse og Sociale Anliggender (A10-0</w:t>
      </w:r>
      <w:r w:rsidR="00CF5FAF">
        <w:t>260</w:t>
      </w:r>
      <w:r w:rsidRPr="004D730A">
        <w:t>/2025),</w:t>
      </w:r>
    </w:p>
    <w:p w14:paraId="2BFD2A8F" w14:textId="77777777" w:rsidR="00725F53" w:rsidRPr="004D730A" w:rsidRDefault="00725F53" w:rsidP="00725F53">
      <w:pPr>
        <w:spacing w:after="240"/>
        <w:ind w:left="567" w:hanging="567"/>
        <w:rPr>
          <w:rFonts w:eastAsiaTheme="minorHAnsi"/>
          <w:szCs w:val="24"/>
        </w:rPr>
      </w:pPr>
      <w:r w:rsidRPr="004D730A">
        <w:t>A.</w:t>
      </w:r>
      <w:r w:rsidRPr="004D730A">
        <w:tab/>
        <w:t xml:space="preserve">der henviser til, at 93,3 millioner mennesker i EU (21,0 % af befolkningen) i 2024 var i </w:t>
      </w:r>
      <w:r w:rsidRPr="004D730A">
        <w:lastRenderedPageBreak/>
        <w:t>risiko for fattigdom eller social udstødelse, hvilket kun er en smule lavere end niveauet i 2019; der henviser til, at 21,9 % af EU's befolkning, der boede i familier med hjemmeboende børn, i 2024 var i risiko for fattigdom eller social udstødelse</w:t>
      </w:r>
      <w:r w:rsidRPr="004D730A">
        <w:rPr>
          <w:rStyle w:val="FootnoteReference"/>
          <w:bCs/>
          <w:iCs/>
        </w:rPr>
        <w:footnoteReference w:id="29"/>
      </w:r>
      <w:r w:rsidRPr="004D730A">
        <w:t>;</w:t>
      </w:r>
    </w:p>
    <w:p w14:paraId="2A5680B9" w14:textId="77777777" w:rsidR="00725F53" w:rsidRPr="004D730A" w:rsidRDefault="00725F53" w:rsidP="00725F53">
      <w:pPr>
        <w:spacing w:after="240"/>
        <w:ind w:left="567" w:hanging="567"/>
        <w:rPr>
          <w:bCs/>
          <w:iCs/>
        </w:rPr>
      </w:pPr>
      <w:r w:rsidRPr="004D730A">
        <w:t>B.</w:t>
      </w:r>
      <w:r w:rsidRPr="004D730A">
        <w:tab/>
        <w:t>der henviser til, at alvorlige materielle afsavn defineres som mangel på ting, som er nødvendige og ønskelige for en passende levestandard; der henviser til, at 6,4 % af EU's befolkning i 2024 oplevede alvorlige materielle og sociale afsavn, herunder mangel på tilstrækkelig opvarmning, overfyldte boliger og utilstrækkelig ernæring; der henviser til, at børn og kvinder er uforholdsmæssigt hårdt ramt af dette fænomen sammenlignet med andre befolkningsgrupper;</w:t>
      </w:r>
    </w:p>
    <w:p w14:paraId="53950BB4" w14:textId="77777777" w:rsidR="00725F53" w:rsidRPr="004D730A" w:rsidRDefault="00725F53" w:rsidP="00725F53">
      <w:pPr>
        <w:spacing w:after="240"/>
        <w:ind w:left="567" w:hanging="567"/>
        <w:rPr>
          <w:bCs/>
          <w:iCs/>
        </w:rPr>
      </w:pPr>
      <w:r w:rsidRPr="004D730A">
        <w:t>C.</w:t>
      </w:r>
      <w:r w:rsidRPr="004D730A">
        <w:tab/>
        <w:t>der henviser til, at EU i handlingsplanen for den europæiske søjle for sociale rettigheder fra 2021 har vedtaget målet om senest i 2030 at reducere antallet af personer i risiko for fattigdom og social udstødelse med mindst 15 millioner i forhold til 2019-tallene, herunder mindst 5 millioner børn; der henviser til, at selv hvis dette mål nås, vil ca. 78 millioner mennesker i EU, herunder 15 millioner børn, stadig vil være i risiko for fattigdom og social udstødelse på det tidspunkt; der henviser til, at medlemsstaterne har forpligtet sig til nationale mål med henblik på at nå dette overordnede mål, og der henviser til, at tendensen peger i den modsatte retning for næsten halvdelen af medlemsstaterne;</w:t>
      </w:r>
    </w:p>
    <w:p w14:paraId="17EED1B5" w14:textId="3B5CEE64" w:rsidR="00725F53" w:rsidRPr="004D730A" w:rsidRDefault="00725F53" w:rsidP="00725F53">
      <w:pPr>
        <w:spacing w:after="240"/>
        <w:ind w:left="567" w:hanging="567"/>
        <w:rPr>
          <w:bCs/>
          <w:iCs/>
        </w:rPr>
      </w:pPr>
      <w:r w:rsidRPr="004D730A">
        <w:t>D.</w:t>
      </w:r>
      <w:r w:rsidRPr="004D730A">
        <w:tab/>
        <w:t>der henviser til, at fattigdom krænker den menneskelige værdighed, undergraver den fulde gennemførelse af menneskerettighederne og afspejler den ulige fordeling af velstand; der henviser til, at der for at udrydde fattigdom kræves lige adgang til beskæftigelse og tjenester samt politikker, der sikrer, at de politiske, økonomiske, sociale og kulturelle rettigheder er udelelige og universelle; der henviser til, at fattigdom er et mangesidet fænomen, der rækker ud over materielle afsavn og omfatter barrierer for uddannelse, sundhedspleje, social og demokratisk deltagelse og økonomiske muligheder;</w:t>
      </w:r>
    </w:p>
    <w:p w14:paraId="3FEFD403" w14:textId="77777777" w:rsidR="00725F53" w:rsidRPr="004D730A" w:rsidRDefault="00725F53" w:rsidP="00725F53">
      <w:pPr>
        <w:spacing w:after="240"/>
        <w:ind w:left="567" w:hanging="567"/>
        <w:rPr>
          <w:bCs/>
          <w:iCs/>
        </w:rPr>
      </w:pPr>
      <w:r w:rsidRPr="004D730A">
        <w:t>E.</w:t>
      </w:r>
      <w:r w:rsidRPr="004D730A">
        <w:tab/>
        <w:t>der henviser til, at det uden en ændret tilgang til at udrydde fattigdom på EU-plan ikke vil være muligt at vende udviklingen og sikre, at alle personer har lige muligheder for at deltage i samfundet; der henviser til, at udryddelse af fattigdom kræver en koordineret og holistisk tilgang samt integrerede politikker, der arbejder sammen for at opnå social samhørighed og forhindre, at ulighederne forværres; der henviser til, at en så omfattende strategi kræver inddragelse af medlemsstaterne, de lokale og regionale myndigheder, arbejdsmarkedets parter og civilsamfundet;</w:t>
      </w:r>
    </w:p>
    <w:p w14:paraId="6EA546F6" w14:textId="77777777" w:rsidR="00725F53" w:rsidRPr="004D730A" w:rsidRDefault="00725F53" w:rsidP="00725F53">
      <w:pPr>
        <w:spacing w:after="240"/>
        <w:ind w:left="567" w:hanging="567"/>
        <w:rPr>
          <w:bCs/>
          <w:iCs/>
        </w:rPr>
      </w:pPr>
      <w:r w:rsidRPr="004D730A">
        <w:t>F.</w:t>
      </w:r>
      <w:r w:rsidRPr="004D730A">
        <w:tab/>
        <w:t>der henviser til, at eneforsørgerfamilier, særlig dem med en kvindelig eneforsørger, har en øget risiko for fattigdom på 32 % sammenlignet med kun 11,2 % blandt familier med to forældre</w:t>
      </w:r>
      <w:r w:rsidRPr="004D730A">
        <w:rPr>
          <w:rStyle w:val="FootnoteReference"/>
        </w:rPr>
        <w:footnoteReference w:id="30"/>
      </w:r>
      <w:r w:rsidRPr="004D730A">
        <w:t>,</w:t>
      </w:r>
      <w:r w:rsidRPr="004D730A">
        <w:rPr>
          <w:vertAlign w:val="superscript"/>
        </w:rPr>
        <w:t xml:space="preserve"> </w:t>
      </w:r>
      <w:r w:rsidRPr="004D730A">
        <w:t xml:space="preserve">hvilket medfører, at familiemedlemmerne oftere bliver fanget i en ond cirkel af fattigdom, der går i arv fra generation til generation; der henviser til, at systemiske faktorer som manglende adgang til tjenester, ustabile boligsituationer, usikker indkomst og utilstrækkelige forebyggelses- og familiestøttetjenester underminerer familiernes evne til at tage sig af deres børn i nærmiljøet; der henviser til, </w:t>
      </w:r>
      <w:r w:rsidRPr="004D730A">
        <w:lastRenderedPageBreak/>
        <w:t>at målrettet forebyggende familiestøtte og -hjælp, herunder til ofre for vold i hjemmet, er afgørende for at styrke og beskytte disse familier og bryde fattigdomscyklussen;</w:t>
      </w:r>
    </w:p>
    <w:p w14:paraId="55A03D55" w14:textId="77777777" w:rsidR="00725F53" w:rsidRPr="004D730A" w:rsidRDefault="00725F53" w:rsidP="00725F53">
      <w:pPr>
        <w:spacing w:after="240"/>
        <w:ind w:left="567" w:hanging="567"/>
      </w:pPr>
      <w:r w:rsidRPr="004D730A">
        <w:t>G.</w:t>
      </w:r>
      <w:r w:rsidRPr="004D730A">
        <w:tab/>
        <w:t>der henviser til, at indikatorerne for antallet af børn i risiko for fattigdom er steget fra 23,6 % i 2019 til 24,2 % i 2024; der henviser til, at EU på grundlag af den nuværende kurs ikke vil kunne nå sit mål om at reducere antallet af børn, der lever i fattigdom, med mindst 5 millioner senest i 2030; der henviser til, at der konstateres betydelige uligheder blandt børn med etnisk minoritetsoprindelse eller indvandrerbaggrund, børn med handicap og romabørn; der henviser til, at de EU-midler og nationale ressourcer, der i øjeblikket anvendes, er utilstrækkelige til at tackle udfordringen med børnefattigdom i EU;</w:t>
      </w:r>
    </w:p>
    <w:p w14:paraId="7F5DCA5B" w14:textId="77777777" w:rsidR="00725F53" w:rsidRPr="004D730A" w:rsidRDefault="00725F53" w:rsidP="00725F53">
      <w:pPr>
        <w:spacing w:after="240"/>
        <w:ind w:left="567" w:hanging="567"/>
      </w:pPr>
      <w:r w:rsidRPr="004D730A">
        <w:t>H.</w:t>
      </w:r>
      <w:r w:rsidRPr="004D730A">
        <w:tab/>
        <w:t>der henviser til, at børnefattigdom ofte skyldes fattigdom i familien, og manglen på en omfattende indsats betyder, at fattigdommen fortsætter gennem hele livscyklussen (i barndommen, i arbejdslivet og under pension); der henviser til, at der for at bryde den negative udvikling mellem generationerne skal fokuseres på hele familien, der oplever fattigdom – både forældrene og børnene; der henviser til, at investering i børn og unge, navnlig i førskoleundervisning og børnepasning, herunder regnefærdigheder og udvikling af læse- og skrivefærdigheder samt familiestøtte, fungerer som en forebyggende foranstaltning mod fattigdom og skaber betydelige langsigtede sociale fordele og derfor ikke kun bør betragtes som sociale udgifter, men som en investering i fremtiden;</w:t>
      </w:r>
    </w:p>
    <w:p w14:paraId="4C28F527" w14:textId="77777777" w:rsidR="00725F53" w:rsidRPr="004D730A" w:rsidRDefault="00725F53" w:rsidP="00725F53">
      <w:pPr>
        <w:spacing w:after="240"/>
        <w:ind w:left="567" w:hanging="567"/>
      </w:pPr>
      <w:r w:rsidRPr="004D730A">
        <w:t>I.</w:t>
      </w:r>
      <w:r w:rsidRPr="004D730A">
        <w:tab/>
        <w:t>der henviser til, at Rådet den 14. juni 2021 vedtog en henstilling om en europæisk børnegaranti, som udgør en stor mulighed for at mindske uligheder og fremme social inklusion af børn og viser dets engagement i en integreret politik, der har til formål at bryde den onde cirkel af fattigdom og sikre, at børn i nød har adgang til centrale tjenester, f.eks. gratis førskoleundervisning og børnepasning, gratis uddannelse (herunder skoleaktiviteter og mindst ét sundt måltid hver skoledag), gratis sundhedspleje, sund ernæring og passende boliger; der henviser til, at selv om 5 % af finansieringen fra Den Europæiske Socialfond Plus (ESF+) er specifikt øremærket til reduktion af børnefattigdom, er antallet af børn i risiko for fattigdom eller social udstødelse steget i nogle medlemsstater, hvilket viser, at der er behov for en mere ambitiøs og effektiv anvendelse af midlerne;</w:t>
      </w:r>
    </w:p>
    <w:p w14:paraId="5A51A8D1" w14:textId="77777777" w:rsidR="00725F53" w:rsidRPr="004D730A" w:rsidRDefault="00725F53" w:rsidP="00725F53">
      <w:pPr>
        <w:spacing w:after="240"/>
        <w:ind w:left="567" w:hanging="567"/>
        <w:rPr>
          <w:bCs/>
          <w:iCs/>
        </w:rPr>
      </w:pPr>
      <w:r w:rsidRPr="004D730A">
        <w:t>J.</w:t>
      </w:r>
      <w:r w:rsidRPr="004D730A">
        <w:tab/>
        <w:t>der henviser til, at adgang til førskoleundervisning og børnepasning af høj kvalitet er afgørende for små børns sunde udvikling og for at sikre lige uddannelsesmuligheder for dårligt stillede børn, børn med handicap og børn med særlige uddannelsesbehov, hvilket danner grundlag for at bryde fattigdomscyklussen, fremme social inklusion og give et højt socialt udbytte i fremtiden; der henviser til, at EU ifølge Kommissionen skal investere yderligere over 11 mia. EUR om året for at opfylde Barcelonamålene og sikre, at mindst 45 % af børn under tre år og mindst 96 % af børn mellem tre år og den skolepligtige alder modtager førskoleundervisning og børnepasning, senest i 2030</w:t>
      </w:r>
      <w:r w:rsidRPr="004D730A">
        <w:rPr>
          <w:rStyle w:val="FootnoteReference"/>
          <w:bCs/>
          <w:iCs/>
        </w:rPr>
        <w:footnoteReference w:id="31"/>
      </w:r>
      <w:r w:rsidRPr="004D730A">
        <w:t>;</w:t>
      </w:r>
    </w:p>
    <w:p w14:paraId="09C636FE" w14:textId="77777777" w:rsidR="00725F53" w:rsidRPr="004D730A" w:rsidRDefault="00725F53" w:rsidP="00725F53">
      <w:pPr>
        <w:spacing w:after="240"/>
        <w:ind w:left="567" w:hanging="567"/>
        <w:rPr>
          <w:bCs/>
          <w:iCs/>
        </w:rPr>
      </w:pPr>
      <w:r w:rsidRPr="004D730A">
        <w:t>K.</w:t>
      </w:r>
      <w:r w:rsidRPr="004D730A">
        <w:tab/>
        <w:t xml:space="preserve">der henviser til, at den gennemsnitlige score for programmet for international elevevaluering for måling af grundlæggende færdigheder (læsning, matematik og naturvidenskab) for 15-årige i 2022 var faldet med 10 point i forhold til den sidste evaluering i 2018; der henviser til, at underpræstation er mest udbredt blandt dårligt </w:t>
      </w:r>
      <w:r w:rsidRPr="004D730A">
        <w:lastRenderedPageBreak/>
        <w:t>stillede elever og vidner om øget ulighed på uddannelsesområdet; der henviser til, at kvalitetsuddannelse med særligt fokus på at styrke funktionelle læse- og skrivefærdigheder, regnefærdigheder og digitale kompetencer som grundlæggende færdigheder er en vigtig løftestang i kampen mod fattigdom, da det kan føre til bedre beskæftigelsesmuligheder, bedre levevilkår og have en positiv indvirkning på både den mentale og fysiske sundhed; der henviser til, at investering i kvalitetsuddannelse, især for personer tilhørende mindretal og sårbare grupper, er en af de mest effektive måder til på bæredygtig og strukturel vis at reducere fattigdom;</w:t>
      </w:r>
    </w:p>
    <w:p w14:paraId="14385251" w14:textId="77777777" w:rsidR="00725F53" w:rsidRPr="004D730A" w:rsidRDefault="00725F53" w:rsidP="00725F53">
      <w:pPr>
        <w:spacing w:after="240"/>
        <w:ind w:left="567" w:hanging="567"/>
        <w:rPr>
          <w:bCs/>
          <w:iCs/>
        </w:rPr>
      </w:pPr>
      <w:r w:rsidRPr="004D730A">
        <w:t>L.</w:t>
      </w:r>
      <w:r w:rsidRPr="004D730A">
        <w:tab/>
        <w:t>der henviser til, at EU i handlingsplanen for den europæiske søjle for sociale rettigheder for 2021 har vedtaget et mål om, at mindst 60 % af alle voksne senest i 2030 skal deltage i uddannelse hvert år; der henviser til, at medlemsstaterne har forpligtet sig til nationale mål med henblik på at nå dette overordnede mål, og der henviser til, at størstedelen af medlemsstaterne er bagefter med at opfylde disse nationale mål; der henviser til, at andelen af voksne, der deltog i læringsforløb i 2022, lå på 39,5 %, hvilket stadig er et godt stykke under EU's mål for 2030</w:t>
      </w:r>
      <w:r w:rsidRPr="004D730A">
        <w:rPr>
          <w:rStyle w:val="FootnoteReference"/>
          <w:bCs/>
          <w:iCs/>
        </w:rPr>
        <w:footnoteReference w:id="32"/>
      </w:r>
      <w:r w:rsidRPr="004D730A">
        <w:t>; der henviser til, at der er behov for en yderligere betydelig indsats for at sikre indførelse af og adgang til uddannelsespolitikker af høj kvalitet, der fremmer livslang læring;</w:t>
      </w:r>
    </w:p>
    <w:p w14:paraId="4FBAAF10" w14:textId="77777777" w:rsidR="00725F53" w:rsidRPr="004D730A" w:rsidRDefault="00725F53" w:rsidP="00725F53">
      <w:pPr>
        <w:spacing w:after="240"/>
        <w:ind w:left="567" w:hanging="567"/>
        <w:rPr>
          <w:bCs/>
          <w:iCs/>
        </w:rPr>
      </w:pPr>
      <w:r w:rsidRPr="004D730A">
        <w:t>M.</w:t>
      </w:r>
      <w:r w:rsidRPr="004D730A">
        <w:tab/>
        <w:t>der henviser til, at der er højere fattigdomsniveauer blandt kvinder som følge af forskelsbehandling og uligheder sammenlignet med mænd, såsom større vanskeligheder med at få adgang til beskæftigelse, lønforskelle, lavere arbejdsintensitet, kortere erhvervskarrierer, forskelle i værdien af pensioner og sociale ydelser</w:t>
      </w:r>
      <w:r w:rsidRPr="004D730A">
        <w:rPr>
          <w:rStyle w:val="FootnoteReference"/>
          <w:bCs/>
          <w:iCs/>
        </w:rPr>
        <w:footnoteReference w:id="33"/>
      </w:r>
      <w:r w:rsidRPr="004D730A">
        <w:t>, vanskeligheder med at få adgang til specifikke sundhedsydelser samt ulige fordeling af omsorgsopgaver og huslige opgaver</w:t>
      </w:r>
      <w:r w:rsidRPr="004D730A">
        <w:rPr>
          <w:rStyle w:val="FootnoteReference"/>
          <w:bCs/>
          <w:iCs/>
        </w:rPr>
        <w:footnoteReference w:id="34"/>
      </w:r>
      <w:r w:rsidRPr="004D730A">
        <w:t>; der henviser til, at fattigdom blandt kvinder i al sin mangfoldighed skal forstås som et komplekst og flerdimensionelt fænomen, der ikke kun omfatter sociale, politiske og kulturelle aspekter, men også indkomst, bolig, sundhed og adgang til uddannelse og sociale ydelser, og som ikke kan udryddes ved hjælp af beskæftigelse alene, men kræver en omfattende og inklusiv tilgang baseret på både forebyggelse og bekæmpelse af fattigdom; der henviser til, at i alle EU-lande undtagen to var andelen af personer, der lider alvorlige materielle og sociale afsavn, i 2024 højere for kvinder (6,6 %) end for mænd (6,2 %)</w:t>
      </w:r>
      <w:r w:rsidRPr="004D730A">
        <w:rPr>
          <w:rStyle w:val="FootnoteReference"/>
          <w:bCs/>
          <w:iCs/>
        </w:rPr>
        <w:footnoteReference w:id="35"/>
      </w:r>
      <w:r w:rsidRPr="004D730A">
        <w:t>, og at andelen af personer i risiko for fattigdom eller social udstødelse var højere for kvinder (21,9 %) end for mænd (20 %) i alle EU-lande</w:t>
      </w:r>
      <w:r w:rsidRPr="004D730A">
        <w:rPr>
          <w:rStyle w:val="FootnoteReference"/>
          <w:bCs/>
          <w:iCs/>
        </w:rPr>
        <w:footnoteReference w:id="36"/>
      </w:r>
      <w:r w:rsidRPr="004D730A">
        <w:t xml:space="preserve">; der henviser til, at 23,7 % af kvinder og 22,7 % af </w:t>
      </w:r>
      <w:r w:rsidRPr="004D730A">
        <w:lastRenderedPageBreak/>
        <w:t>mænd i EU samme år anså sig selv for fattige</w:t>
      </w:r>
      <w:r w:rsidRPr="004D730A">
        <w:rPr>
          <w:rStyle w:val="FootnoteReference"/>
          <w:bCs/>
          <w:iCs/>
        </w:rPr>
        <w:footnoteReference w:id="37"/>
      </w:r>
      <w:r w:rsidRPr="004D730A">
        <w:t>, og til at 21,6 % af kvinder over 65 var i risiko for fattigdom sammenlignet med ca. 16,5 % af mænd i samme aldersgruppe</w:t>
      </w:r>
      <w:r w:rsidRPr="004D730A">
        <w:rPr>
          <w:rStyle w:val="FootnoteReference"/>
          <w:bCs/>
          <w:iCs/>
        </w:rPr>
        <w:footnoteReference w:id="38"/>
      </w:r>
      <w:r w:rsidRPr="004D730A">
        <w:t>;</w:t>
      </w:r>
    </w:p>
    <w:p w14:paraId="47DAD726" w14:textId="77777777" w:rsidR="00725F53" w:rsidRPr="004D730A" w:rsidRDefault="00725F53" w:rsidP="00725F53">
      <w:pPr>
        <w:spacing w:after="240"/>
        <w:ind w:left="567" w:hanging="567"/>
        <w:rPr>
          <w:bCs/>
          <w:iCs/>
        </w:rPr>
      </w:pPr>
      <w:r w:rsidRPr="004D730A">
        <w:t>N.</w:t>
      </w:r>
      <w:r w:rsidRPr="004D730A">
        <w:tab/>
        <w:t>der henviser til, at der er en stærk sammenhæng mellem fattigdom og kønsbaseret vold, og at fattigdom forværrer virkningen af kønsbaseret vold, navnlig for marginaliserede kvinder såsom LGBTIQ+-personer; der henviser til, at kvinder, der lever i fattigdom, har en højere risiko for at opleve vold, herunder vold i parforhold og vold i hjemmet, på grund af faktorer såsom økonomisk afhængighed, boligusikkerhed og begrænset mulighed får at opnå støttetilbud</w:t>
      </w:r>
      <w:r w:rsidRPr="004D730A">
        <w:rPr>
          <w:rStyle w:val="FootnoteReference"/>
          <w:bCs/>
          <w:iCs/>
        </w:rPr>
        <w:footnoteReference w:id="39"/>
      </w:r>
      <w:r w:rsidRPr="004D730A">
        <w:t>; der henviser til, at 30,7 % af kvinder på tværs af medlemsstaterne i løbet af deres liv oplever fysisk vold eller trusler og/eller seksuel vold fra en given gerningsmands side</w:t>
      </w:r>
      <w:r w:rsidRPr="004D730A">
        <w:rPr>
          <w:rStyle w:val="FootnoteReference"/>
          <w:bCs/>
          <w:iCs/>
        </w:rPr>
        <w:footnoteReference w:id="40"/>
      </w:r>
      <w:r w:rsidRPr="004D730A">
        <w:t>; der henviser til, at fattigdom bringer kvinder i større risiko for menneskehandel og seksuel udnyttelse;</w:t>
      </w:r>
    </w:p>
    <w:p w14:paraId="317C9A95" w14:textId="4665FC7E" w:rsidR="00725F53" w:rsidRPr="004D730A" w:rsidRDefault="00725F53" w:rsidP="00725F53">
      <w:pPr>
        <w:spacing w:after="240"/>
        <w:ind w:left="567" w:hanging="567"/>
        <w:rPr>
          <w:bCs/>
          <w:iCs/>
        </w:rPr>
      </w:pPr>
      <w:r w:rsidRPr="004D730A">
        <w:t>O.</w:t>
      </w:r>
      <w:r w:rsidRPr="004D730A">
        <w:tab/>
        <w:t>der henviser til, at fattigdom også er både en årsag til og en konsekvens af tværgående forskelsbehandling, som i uforholdsmæssig grad påvirker personer og samfundsgrupper, navnlig kvinder, familier, personer med forskellige racemæssige og etniske baggrunde, romaer og travellers, personer, der oplever hjemløshed, børn i institutionel pleje, LGBTQIA+-personer, ældre og yngre personer, personer med handicap, personer, der udsættes for forskelsbehandling på grund af religion eller tro, personer med kroniske sygdomme og afhængighed, uformelle omsorgspersoner og eneforsørgere; der henviser til, at disse grupper er mere sårbare over for social udstødelse og krydsning med andre former for menneskerettighedskrænkelser; der henviser til, at der på nuværende tidspunkt findes betydelige barrierer på arbejdsmarkedet og i de sociale beskyttelsessystemer for sårbare og marginaliserede grupper; der henviser til, at bekæmpelse af fattigdom derfor kræver politikker, der anerkender og bekæmper disse overlappende former for marginalisering og sikrer fuld og lige udøvelse af alle menneskerettigheder for alle mennesker;</w:t>
      </w:r>
    </w:p>
    <w:p w14:paraId="14430E70" w14:textId="77777777" w:rsidR="00725F53" w:rsidRPr="004D730A" w:rsidRDefault="00725F53" w:rsidP="00725F53">
      <w:pPr>
        <w:spacing w:after="240"/>
        <w:ind w:left="567" w:hanging="567"/>
        <w:rPr>
          <w:bCs/>
          <w:iCs/>
        </w:rPr>
      </w:pPr>
      <w:r w:rsidRPr="004D730A">
        <w:t>P.</w:t>
      </w:r>
      <w:r w:rsidRPr="004D730A">
        <w:tab/>
        <w:t xml:space="preserve">der henviser til, at risikoen for fattigdom eller social udstødelse for personer med handicap i EU i 2024 var 61 % højere end for personer uden sådanne begrænsninger; der henviser til, at ca. 20,2 % af personer på 16 år og derover med et handicap i EU i 2023 levede i en husstand med risiko for fattigdom; der henviser til, at ca. 10,5 % af personer med handicap i samme aldersgruppe boede i en husstand med risiko for alvorlige materielle og sociale afsavn; der henviser til, at der er en forskel i </w:t>
      </w:r>
      <w:r w:rsidRPr="004D730A">
        <w:lastRenderedPageBreak/>
        <w:t>beskæftigelsesfrekvensen på 24 procentpoint mellem personer med og uden handicap i EU og en endnu større forskel for kvinder og unge med handicap</w:t>
      </w:r>
      <w:r w:rsidRPr="004D730A">
        <w:rPr>
          <w:rStyle w:val="FootnoteReference"/>
          <w:bCs/>
          <w:iCs/>
        </w:rPr>
        <w:footnoteReference w:id="41"/>
      </w:r>
      <w:r w:rsidRPr="004D730A">
        <w:t>;</w:t>
      </w:r>
    </w:p>
    <w:p w14:paraId="6B8D9D07" w14:textId="77777777" w:rsidR="00725F53" w:rsidRPr="004D730A" w:rsidRDefault="00725F53" w:rsidP="00725F53">
      <w:pPr>
        <w:spacing w:after="240"/>
        <w:ind w:left="567" w:hanging="567"/>
        <w:rPr>
          <w:bCs/>
          <w:iCs/>
        </w:rPr>
      </w:pPr>
      <w:r w:rsidRPr="004D730A">
        <w:t>Q.</w:t>
      </w:r>
      <w:r w:rsidRPr="004D730A">
        <w:tab/>
        <w:t>der henviser til, at roma- og travellersamfund fortsat oplever nogle af de højeste niveauer af fattigdom og social udstødelse i EU, hvor op til 80 % er i risiko for fattigdom, og 48 % oplever alvorlige materielle afsavn, og at romabørn er særligt sårbare over for disse forhold; der henviser til, at data viser, at romakvinder er mere ugunstigt stillet end både romamænd og andre kvinder på centrale områder af det sociale liv såsom uddannelse, beskæftigelse og sundhed</w:t>
      </w:r>
      <w:r w:rsidRPr="004D730A">
        <w:rPr>
          <w:rStyle w:val="FootnoteReference"/>
          <w:bCs/>
          <w:iCs/>
        </w:rPr>
        <w:footnoteReference w:id="42"/>
      </w:r>
      <w:r w:rsidRPr="004D730A">
        <w:t>;</w:t>
      </w:r>
    </w:p>
    <w:p w14:paraId="32CDF42E" w14:textId="77777777" w:rsidR="00725F53" w:rsidRPr="004D730A" w:rsidRDefault="00725F53" w:rsidP="00725F53">
      <w:pPr>
        <w:spacing w:after="240"/>
        <w:ind w:left="567" w:hanging="567"/>
        <w:rPr>
          <w:bCs/>
          <w:iCs/>
        </w:rPr>
      </w:pPr>
      <w:r w:rsidRPr="004D730A">
        <w:t>R.</w:t>
      </w:r>
      <w:r w:rsidRPr="004D730A">
        <w:tab/>
        <w:t>der henviser til, at 25 % af romaerne i 2021 rapporterede, at de i de foregående 12 måneder havde oplevet forskelsbehandling i hverdagssituationer, herunder i forbindelse med jobsøgning, arbejde, bolig, sundhedspleje og uddannelse, såvel som segregering og socioøkonomisk udstødelse</w:t>
      </w:r>
      <w:r w:rsidRPr="004D730A">
        <w:rPr>
          <w:rStyle w:val="FootnoteReference"/>
          <w:bCs/>
          <w:iCs/>
        </w:rPr>
        <w:footnoteReference w:id="43"/>
      </w:r>
      <w:r w:rsidRPr="004D730A">
        <w:t>, hvilket resulterer i uforholdsmæssigt høje fattigdomsniveauer; der henviser til, at 80 % af romaerne lever under den nationale fattigdomsrisikogrænse i deres land</w:t>
      </w:r>
      <w:r w:rsidRPr="004D730A">
        <w:rPr>
          <w:rStyle w:val="FootnoteReference"/>
          <w:bCs/>
          <w:iCs/>
        </w:rPr>
        <w:footnoteReference w:id="44"/>
      </w:r>
      <w:r w:rsidRPr="004D730A">
        <w:t>;</w:t>
      </w:r>
    </w:p>
    <w:p w14:paraId="221D4C13" w14:textId="77777777" w:rsidR="00725F53" w:rsidRPr="004D730A" w:rsidRDefault="00725F53" w:rsidP="00725F53">
      <w:pPr>
        <w:spacing w:after="240"/>
        <w:ind w:left="567" w:hanging="567"/>
        <w:rPr>
          <w:bCs/>
          <w:iCs/>
        </w:rPr>
      </w:pPr>
      <w:r w:rsidRPr="004D730A">
        <w:t>S.</w:t>
      </w:r>
      <w:r w:rsidRPr="004D730A">
        <w:tab/>
        <w:t>der henviser til, at der fortsat forekommer digital udstødelse i EU, som betyder, at enkeltpersoner og grupper ikke har fuld adgang til og mulighed for at bruge informations- og kommunikationsteknologier, hvilket hindrer dem i at deltage i det økonomiske, sociale og politiske liv; der henviser til, at der fortsat er en digital kløft på mere end fem procentpoint mellem byområder og landdistrikter i hele EU; der henviser til, at den digitale kløft muligvis forværrer den digitale udstødelse blandt personer, der oplever fattigdom, og er særlig udtalt blandt sårbare grupper, herunder personer med lav indkomst eller lavt uddannelsesniveau, ældre, personer med handicap og personer, der bor i landdistrikter eller isolerede områder; der henviser til, at næsten halvdelen af den voksne befolkning mangler grundlæggende digitale færdigheder på trods af, at mere end 90 % af jobbene kræver dette; der henviser til, at 5,4 % af børn i skolealderen i Europa oplever digitale afsavn, og der er store forskelle i adgangen til digitale ressourcer mellem landene</w:t>
      </w:r>
      <w:r w:rsidRPr="004D730A">
        <w:rPr>
          <w:rStyle w:val="FootnoteReference"/>
        </w:rPr>
        <w:footnoteReference w:id="45"/>
      </w:r>
      <w:r w:rsidRPr="004D730A">
        <w:t xml:space="preserve">; der henviser til, at 97,7 % af alle husstande i EU i 2023 havde adgang til mindst én fast bredbåndsteknologi, sammenlignet med kun 92,2 % i landdistrikterne; der henviser til, at 32 % af europæerne mellem 16 og 29 år i 2023 havde digitale færdigheder under basisniveau, og at dette tal steg til 43 % blandt dem </w:t>
      </w:r>
      <w:r w:rsidRPr="004D730A">
        <w:lastRenderedPageBreak/>
        <w:t>med lavt uddannelsesniveau, hvilket viser en betydelig mangel på digitale færdigheder i den unge befolkningsgruppe</w:t>
      </w:r>
      <w:r w:rsidRPr="004D730A">
        <w:rPr>
          <w:rStyle w:val="FootnoteReference"/>
        </w:rPr>
        <w:footnoteReference w:id="46"/>
      </w:r>
      <w:r w:rsidRPr="004D730A">
        <w:t>;</w:t>
      </w:r>
    </w:p>
    <w:p w14:paraId="58FC33B1" w14:textId="77777777" w:rsidR="00725F53" w:rsidRPr="004D730A" w:rsidRDefault="00725F53" w:rsidP="00725F53">
      <w:pPr>
        <w:spacing w:after="240"/>
        <w:ind w:left="567" w:hanging="567"/>
      </w:pPr>
      <w:r w:rsidRPr="004D730A">
        <w:t>T.</w:t>
      </w:r>
      <w:r w:rsidRPr="004D730A">
        <w:tab/>
        <w:t>der henviser til, at adgang til hurtigt og pålideligt internet er afgørende for at kunne deltage i et videndrevet og informeret samfund samt for adgang til beskæftigelse, uddannelse, offentlige tjenester og sundhedspleje; der henviser til, at digitaliseringen af offentlige tjenester giver betydelige muligheder, men det kræver en målrettet indsats for at sikre inklusion af sårbare grupper;</w:t>
      </w:r>
    </w:p>
    <w:p w14:paraId="5E57EF61" w14:textId="77777777" w:rsidR="00725F53" w:rsidRPr="004D730A" w:rsidRDefault="00725F53" w:rsidP="00725F53">
      <w:pPr>
        <w:spacing w:after="240"/>
        <w:ind w:left="567" w:hanging="567"/>
        <w:rPr>
          <w:bCs/>
          <w:iCs/>
        </w:rPr>
      </w:pPr>
      <w:r w:rsidRPr="004D730A">
        <w:t>U.</w:t>
      </w:r>
      <w:r w:rsidRPr="004D730A">
        <w:tab/>
        <w:t>der henviser til, at en persons beskæftigelsessituation har en stor indvirkning på vedkommendes risiko for fattigdom eller social udstødelse i EU; der henviser til, at 8,2 % af alle personer i arbejde i EU i 2024 oplevede fattigdom blandt personer i arbejde</w:t>
      </w:r>
      <w:r w:rsidRPr="004D730A">
        <w:rPr>
          <w:rStyle w:val="FootnoteReference"/>
          <w:bCs/>
          <w:iCs/>
        </w:rPr>
        <w:footnoteReference w:id="47"/>
      </w:r>
      <w:r w:rsidRPr="004D730A">
        <w:t xml:space="preserve"> som følge af lave lønninger, jobusikkerhed og usikre arbejdsvilkår; der henviser til, at en analyse af data fra 2022 viser, at deltidsansatte stod over for uforholdsmæssigt højere niveauer af fattigdom blandt personer i arbejde (13,5 %) sammenlignet med fuldtidsansatte (7,1 %)</w:t>
      </w:r>
      <w:r w:rsidRPr="004D730A">
        <w:rPr>
          <w:rStyle w:val="FootnoteReference"/>
          <w:bCs/>
          <w:iCs/>
        </w:rPr>
        <w:footnoteReference w:id="48"/>
      </w:r>
      <w:r w:rsidRPr="004D730A">
        <w:t>; der henviser til, at fattigdom blandt personer i arbejde fortsat er en strukturel udfordring, der lægger et betydeligt socialt og økonomisk pres på de berørte husholdninger og udgør hindringer for social inklusion og økonomisk stabilitet; der henviser til, at bekæmpelse af fattigdom blandt personer i arbejde er afgørende for at fremme fair beskæftigelse, reducere uligheder og sikre en bæredygtig og inklusiv økonomisk udvikling i hele EU; der henviser til, at kollektive overenskomstforhandlinger, fagforeninger og social dialog spiller en central rolle med hensyn til at forbedre arbejds- og ansættelsesvilkårene og dermed levevilkårene;</w:t>
      </w:r>
    </w:p>
    <w:p w14:paraId="6E875386" w14:textId="77777777" w:rsidR="00725F53" w:rsidRPr="004D730A" w:rsidRDefault="00725F53" w:rsidP="00725F53">
      <w:pPr>
        <w:spacing w:after="240"/>
        <w:ind w:left="567" w:hanging="567"/>
      </w:pPr>
      <w:r w:rsidRPr="004D730A">
        <w:t>V.</w:t>
      </w:r>
      <w:r w:rsidRPr="004D730A">
        <w:tab/>
        <w:t>der henviser til, at EU's rapport om pensioners tilstrækkelighed fra 2024 fremhæver, at ca. 18,5 millioner personer på 65 år og derover i EU i 2022 var i risiko for fattigdom eller social udstødelse</w:t>
      </w:r>
      <w:r w:rsidRPr="004D730A">
        <w:rPr>
          <w:rStyle w:val="FootnoteReference"/>
        </w:rPr>
        <w:footnoteReference w:id="49"/>
      </w:r>
      <w:r w:rsidRPr="004D730A">
        <w:t>; der henviser til, at fattigdomsrisikoen i denne aldersgruppe i 2022 var på 14,2 % for mænd og 19,8 % for kvinder; der henviser til, at fattigdomsrisikoen blandt de 65-årige og derover er steget støt på grund af øget fattigdom og en aldrende befolkning;</w:t>
      </w:r>
    </w:p>
    <w:p w14:paraId="589C1C1C" w14:textId="77777777" w:rsidR="00725F53" w:rsidRDefault="00725F53" w:rsidP="00725F53">
      <w:pPr>
        <w:spacing w:after="240"/>
        <w:ind w:left="567" w:hanging="567"/>
      </w:pPr>
      <w:r w:rsidRPr="004D730A">
        <w:t>W.</w:t>
      </w:r>
      <w:r w:rsidRPr="004D730A">
        <w:tab/>
        <w:t xml:space="preserve">der henviser til, at offentlige tjenester af høj kvalitet og til en overkommelig pris er afgørende for at opnå et højt niveau af social beskyttelse, social samhørighed og social inklusion; der henviser til, at levering af offentlige tjenester af høj kvalitet vanskeliggøres af en række problemer, herunder vedrørende tjenestekontinuitet, øget efterspørgsel og utilstrækkelige ressourcer, som til dels forværres af en aldrende befolkning; der henviser til, at alle i EU har ret til at have adgang til væsentlige tjenester af høj kvalitet ledsaget af støtteforanstaltninger for dem, der har behov for det; der henviser til, at mennesker i risiko for fattigdom eller social udstødelse står over for </w:t>
      </w:r>
      <w:r w:rsidRPr="004D730A">
        <w:lastRenderedPageBreak/>
        <w:t>strukturelle barrierer i denne henseende og manglende infrastruktur, færdigheder eller pengemidler, især romaer og hjemløse;</w:t>
      </w:r>
    </w:p>
    <w:p w14:paraId="72C1A7FA" w14:textId="7C5C5BEC" w:rsidR="00102905" w:rsidRDefault="00102905" w:rsidP="00725F53">
      <w:pPr>
        <w:spacing w:after="240"/>
        <w:ind w:left="567" w:hanging="567"/>
      </w:pPr>
      <w:r>
        <w:t>X.</w:t>
      </w:r>
      <w:r>
        <w:tab/>
      </w:r>
      <w:r w:rsidR="00CE2801" w:rsidRPr="00CE2801">
        <w:t>der henviser til, at omkring 8 % af europæerne i 2024 ikke havde råd til et afbalanceret måltid, herunder med kød, fisk eller et vegetarisk alternativ, hver anden dag, hvilket svarer til ca. 36 millioner mennesker i hele Unionen, og at problemet er særlig akut blandt enlige, studerende og unge voksne, lavindkomstfamilier og indvandrere; der henviser til, at effektiv adgang til fødevarer bør betragtes som en grundlæggende menneskerettighed som krævet i et aktuelt europæisk borgerinitiativ;</w:t>
      </w:r>
    </w:p>
    <w:p w14:paraId="77EF55AE" w14:textId="5194400B" w:rsidR="00725F53" w:rsidRPr="004D730A" w:rsidRDefault="00F53764" w:rsidP="00725F53">
      <w:pPr>
        <w:spacing w:after="240"/>
        <w:ind w:left="567" w:hanging="567"/>
        <w:rPr>
          <w:bCs/>
          <w:iCs/>
        </w:rPr>
      </w:pPr>
      <w:r>
        <w:t>Y</w:t>
      </w:r>
      <w:r w:rsidR="00725F53" w:rsidRPr="004D730A">
        <w:t>.</w:t>
      </w:r>
      <w:r w:rsidR="00725F53" w:rsidRPr="004D730A">
        <w:tab/>
        <w:t>der henviser til, at adgang til vand er et essentielt behov og en grundlæggende menneskerettighed; der henviser til, at ca. 9,8 millioner mennesker i EU mangler sikkert forvaltede drikkevandstjenester</w:t>
      </w:r>
      <w:r w:rsidR="00725F53" w:rsidRPr="004D730A">
        <w:rPr>
          <w:rStyle w:val="FootnoteReference"/>
          <w:bCs/>
          <w:iCs/>
        </w:rPr>
        <w:footnoteReference w:id="50"/>
      </w:r>
      <w:r w:rsidR="00725F53" w:rsidRPr="004D730A">
        <w:t>; der henviser til, at yderligere 9,4 millioner er afhængige af basale vandforsyninger uden for hjemmet</w:t>
      </w:r>
      <w:r w:rsidR="00725F53" w:rsidRPr="004D730A">
        <w:rPr>
          <w:rStyle w:val="FootnoteReference"/>
          <w:bCs/>
          <w:iCs/>
        </w:rPr>
        <w:footnoteReference w:id="51"/>
      </w:r>
      <w:r w:rsidR="00725F53" w:rsidRPr="004D730A">
        <w:t>, og at ca. 450 000 personer ikke engang har adgang til basale drikkevandsforsyninger</w:t>
      </w:r>
      <w:r w:rsidR="00725F53" w:rsidRPr="004D730A">
        <w:rPr>
          <w:rStyle w:val="FootnoteReference"/>
          <w:bCs/>
          <w:iCs/>
        </w:rPr>
        <w:footnoteReference w:id="52"/>
      </w:r>
      <w:r w:rsidR="00725F53" w:rsidRPr="004D730A">
        <w:t>; der henviser til, at manglende adgang til drikkevand og vandinfrastruktur i uforholdsmæssig høj grad rammer marginaliserede grupper;</w:t>
      </w:r>
    </w:p>
    <w:p w14:paraId="33B6E98D" w14:textId="3F69D0C5" w:rsidR="00725F53" w:rsidRPr="004D730A" w:rsidRDefault="00F53764" w:rsidP="00725F53">
      <w:pPr>
        <w:spacing w:after="240"/>
        <w:ind w:left="567" w:hanging="567"/>
        <w:rPr>
          <w:bCs/>
          <w:iCs/>
        </w:rPr>
      </w:pPr>
      <w:r>
        <w:t>Z</w:t>
      </w:r>
      <w:r w:rsidR="00725F53" w:rsidRPr="004D730A">
        <w:t>.</w:t>
      </w:r>
      <w:r w:rsidR="00725F53" w:rsidRPr="004D730A">
        <w:tab/>
        <w:t>der henviser til, at det anslås, at 1 286 691 mennesker i Europa var hjemløse på en given nat i 2024</w:t>
      </w:r>
      <w:r w:rsidR="00725F53" w:rsidRPr="004D730A">
        <w:rPr>
          <w:rStyle w:val="FootnoteReference"/>
          <w:bCs/>
          <w:iCs/>
        </w:rPr>
        <w:footnoteReference w:id="53"/>
      </w:r>
      <w:r w:rsidR="00725F53" w:rsidRPr="004D730A">
        <w:t>; der henviser til, at romaer og andre marginaliserede grupper er uforholdsmæssigt hårdt ramt af tvangsudsættelser fra kommunale boliger, herunder romaer, der regelmæssigt betaler husleje; der henviser til, at myndighederne i mange tilfælde undlader at tilbyde alternative boliger eller passende kompensation for ekspropriation</w:t>
      </w:r>
      <w:r w:rsidR="00725F53" w:rsidRPr="004D730A">
        <w:rPr>
          <w:rStyle w:val="FootnoteReference"/>
        </w:rPr>
        <w:footnoteReference w:id="54"/>
      </w:r>
      <w:r w:rsidR="00725F53" w:rsidRPr="004D730A">
        <w:t>;</w:t>
      </w:r>
    </w:p>
    <w:p w14:paraId="0B2A8B16" w14:textId="597AE92F" w:rsidR="00725F53" w:rsidRPr="004D730A" w:rsidRDefault="00F53764" w:rsidP="00725F53">
      <w:pPr>
        <w:spacing w:after="240"/>
        <w:ind w:left="567" w:hanging="567"/>
        <w:rPr>
          <w:b/>
          <w:i/>
        </w:rPr>
      </w:pPr>
      <w:r>
        <w:t>AA</w:t>
      </w:r>
      <w:r w:rsidR="00725F53" w:rsidRPr="004D730A">
        <w:t>.</w:t>
      </w:r>
      <w:r w:rsidR="00725F53" w:rsidRPr="004D730A">
        <w:tab/>
        <w:t xml:space="preserve">der henviser til, at der stadig er mindst 1,4 millioner mennesker, der bor på institutioner i EU, selv om dette tal kan være undervurderet på grund af manglende datatilgængelighed, </w:t>
      </w:r>
      <w:r w:rsidR="00725F53" w:rsidRPr="004D730A">
        <w:noBreakHyphen/>
        <w:t xml:space="preserve">konsistens og </w:t>
      </w:r>
      <w:r w:rsidR="00725F53" w:rsidRPr="004D730A">
        <w:noBreakHyphen/>
        <w:t>dækning; der henviser til, at fattigdom stadig er en af de medvirkende faktorer til familieadskillelse i EU; der henviser til, at anbringelse af børn på institutioner har alvorlige konsekvenser for børn og familier, da det fastholder stigmatisering og social isolation og fremmer en negativ social arv</w:t>
      </w:r>
      <w:r w:rsidR="00725F53" w:rsidRPr="004D730A">
        <w:rPr>
          <w:rStyle w:val="FootnoteReference"/>
          <w:bCs/>
          <w:iCs/>
        </w:rPr>
        <w:footnoteReference w:id="55"/>
      </w:r>
      <w:r w:rsidR="00725F53" w:rsidRPr="004D730A">
        <w:t xml:space="preserve">; der henviser til, at beboere på institutioner ofte kan føle sig isolerede fra det bredere samfund og, selv om de gerne vil have bedre kontrol over deres liv, ikke har tilstrækkelig kontrol over deres </w:t>
      </w:r>
      <w:r w:rsidR="00725F53" w:rsidRPr="004D730A">
        <w:lastRenderedPageBreak/>
        <w:t>liv og de beslutninger, der påvirker dem; der henviser til, at selv om EU længe har været engageret i processen med afinstitutionalisering, er der stadig behov for en indsats på både EU-plan og nationalt plan for at gøre det muligt for sårbare grupper at leve i et familie- eller samfundsmiljø;</w:t>
      </w:r>
    </w:p>
    <w:p w14:paraId="7A267BB1" w14:textId="5B50A530" w:rsidR="00725F53" w:rsidRPr="004D730A" w:rsidRDefault="00F53764" w:rsidP="00725F53">
      <w:pPr>
        <w:spacing w:after="240"/>
        <w:ind w:left="567" w:hanging="567"/>
        <w:rPr>
          <w:bCs/>
          <w:iCs/>
        </w:rPr>
      </w:pPr>
      <w:r>
        <w:t>AB</w:t>
      </w:r>
      <w:r w:rsidR="00725F53" w:rsidRPr="004D730A">
        <w:t>.</w:t>
      </w:r>
      <w:r w:rsidR="00725F53" w:rsidRPr="004D730A">
        <w:tab/>
        <w:t>der henviser til, at mennesker, der lever i fattigdom, er uforholdsmæssigt hårdt ramt af begrænset adgang til sund mad og sundhedspleje af høj kvalitet; der henviser til, at fattigdom følgelig er forbundet med en øget risiko for fysiske og mentale sundhedsproblemer; der henviser til, at sammenhængen mellem fattigdom og sundhed i høj grad påvirkes af barrierer for sundhedspleje, såsom adgang til primærpleje, og færre hospitalsindlæggelser; der henviser til, at fattigdom, social isolation og kronisk stress er tæt forbundet, hvilket underminerer den mentale trivsel og øger risikoen for afhængighed og højere dødelighed samt risikoen for at dø for tidligt; der henviser til, at fattigdom og afhængighed er gensidigt forstærkende og skaber en ond cirkel, der forværrer social udstødelse; der henviser til, at udryddelse af fattigdom derfor kræver en sundhedsstyret, evidensbaseret tilgang til afhængighed, der prioriterer forebyggelse og afvænning;</w:t>
      </w:r>
    </w:p>
    <w:p w14:paraId="3164380D" w14:textId="3FDDF89B" w:rsidR="00725F53" w:rsidRPr="004D730A" w:rsidRDefault="00F53764" w:rsidP="00725F53">
      <w:pPr>
        <w:spacing w:after="240"/>
        <w:ind w:left="567" w:hanging="567"/>
        <w:rPr>
          <w:bCs/>
          <w:iCs/>
        </w:rPr>
      </w:pPr>
      <w:r>
        <w:t>AC</w:t>
      </w:r>
      <w:r w:rsidR="00725F53" w:rsidRPr="004D730A">
        <w:t>.</w:t>
      </w:r>
      <w:r w:rsidR="00725F53" w:rsidRPr="004D730A">
        <w:tab/>
        <w:t>der henviser til, at familier står over for mange og indbyrdes forbundne udfordringer, som ingen enkelt tjeneste eller organisation kan løse alene; der henviser til, at kontinuitet i tjenesterne samt passende koordinering mellem tjenesterne er afgørende for at forberede og lette de overgange, som børn vil stå over for; der henviser til, at risikofamilier kan have begrænset adgang til mentale sundhedstjenester på grund af økonomiske barrierer, stigma eller manglende tilgængelighed; der henviser til, at forskelsbehandling er direkte forbundet med fattigdom, da oplevelser med forskelsbehandling forhindrer personer, der oplever fattigdom, i at opnå en passende levestandard;</w:t>
      </w:r>
    </w:p>
    <w:p w14:paraId="6CC72336" w14:textId="419727CD" w:rsidR="00725F53" w:rsidRPr="004D730A" w:rsidRDefault="00F53764" w:rsidP="00725F53">
      <w:pPr>
        <w:spacing w:after="240"/>
        <w:ind w:left="567" w:hanging="567"/>
        <w:rPr>
          <w:bCs/>
          <w:iCs/>
        </w:rPr>
      </w:pPr>
      <w:r>
        <w:t>AD</w:t>
      </w:r>
      <w:r w:rsidR="00725F53" w:rsidRPr="004D730A">
        <w:t>.</w:t>
      </w:r>
      <w:r w:rsidR="00725F53" w:rsidRPr="004D730A">
        <w:tab/>
        <w:t>der henviser til, at de sociale sikringsordninger skal styrkes for at tilpasse dem til de demografiske udfordringer, nye arbejdsformer og den grønne og den digitale omstilling; der henviser til, at effektiviteten af social beskyttelses med hensyn til at mindske fattigdom gik tilbage i perioden 2021-2024 fra 37,1 % til 34,4 %</w:t>
      </w:r>
      <w:r w:rsidR="00725F53" w:rsidRPr="004D730A">
        <w:rPr>
          <w:rStyle w:val="FootnoteReference"/>
          <w:bCs/>
          <w:iCs/>
        </w:rPr>
        <w:footnoteReference w:id="56"/>
      </w:r>
      <w:r w:rsidR="00725F53" w:rsidRPr="004D730A">
        <w:t>; der henviser til, at der på nuværende tidspunkt findes betydelige barrierer på arbejdsmarkedet og i de sociale beskyttelsessystemer for sårbare og marginaliserede grupper;</w:t>
      </w:r>
    </w:p>
    <w:p w14:paraId="2E9EBC50" w14:textId="5EDEC6FA" w:rsidR="00725F53" w:rsidRPr="004D730A" w:rsidRDefault="00F53764" w:rsidP="00725F53">
      <w:pPr>
        <w:spacing w:after="240"/>
        <w:ind w:left="567" w:hanging="567"/>
        <w:rPr>
          <w:bCs/>
          <w:iCs/>
        </w:rPr>
      </w:pPr>
      <w:r>
        <w:t>AE</w:t>
      </w:r>
      <w:r w:rsidR="00725F53" w:rsidRPr="004D730A">
        <w:t>.</w:t>
      </w:r>
      <w:r w:rsidR="00725F53" w:rsidRPr="004D730A">
        <w:tab/>
        <w:t>der henviser til, at mindsteindkomstordninger fortsat er et vigtigt redskab til at sikre indkomst og reducere ulighed og fattigdom i hele EU; der henviser til, at disse mindsteindkomstordninger varierer betydeligt fra medlemsstat til medlemsstat med hensyn til ydelsernes tilstrækkelighed og dækning og deres forbindelse til aktiveringsforanstaltninger på arbejdsmarkedet; der henviser til, at mindsteindkomstniveauet ligger langt under de nationale fattigdomsgrænser i de fleste medlemsstater; der henviser til, at det skønnes, at mellem 30 % og 50 % af den berettigede befolkning ikke benytter sig af mindsteindkomstordningerne, hvilket underminerer formålet med dette støtteinstrument;</w:t>
      </w:r>
    </w:p>
    <w:p w14:paraId="1AAB1FE8" w14:textId="2384470E" w:rsidR="00725F53" w:rsidRPr="004D730A" w:rsidRDefault="00F53764" w:rsidP="00725F53">
      <w:pPr>
        <w:spacing w:after="240"/>
        <w:ind w:left="567" w:hanging="567"/>
        <w:rPr>
          <w:bCs/>
          <w:iCs/>
        </w:rPr>
      </w:pPr>
      <w:r>
        <w:t>AF</w:t>
      </w:r>
      <w:r w:rsidR="00725F53" w:rsidRPr="004D730A">
        <w:t>.</w:t>
      </w:r>
      <w:r w:rsidR="00725F53" w:rsidRPr="004D730A">
        <w:tab/>
        <w:t xml:space="preserve">der henviser til, at det er nødvendigt at sikre, at personer, der selv har prøvet at leve i fattigdom, deltager i udformningen og evalueringen af politikker, der berører dem, med henblik på at øge den demokratiske deltagelse, selvstændiggørelse og sociale frigørelse for personer, der lever i fattigdom, og opnå mere effektive og retfærdige resultater af </w:t>
      </w:r>
      <w:r w:rsidR="00725F53" w:rsidRPr="004D730A">
        <w:lastRenderedPageBreak/>
        <w:t>disse politikker;</w:t>
      </w:r>
    </w:p>
    <w:p w14:paraId="31F3CEC4" w14:textId="24A69C95" w:rsidR="00725F53" w:rsidRPr="004D730A" w:rsidRDefault="00F53764" w:rsidP="00725F53">
      <w:pPr>
        <w:spacing w:after="240"/>
        <w:ind w:left="567" w:hanging="567"/>
        <w:rPr>
          <w:bCs/>
          <w:iCs/>
        </w:rPr>
      </w:pPr>
      <w:r>
        <w:t>AG</w:t>
      </w:r>
      <w:r w:rsidR="00725F53" w:rsidRPr="004D730A">
        <w:t>.</w:t>
      </w:r>
      <w:r w:rsidR="00725F53" w:rsidRPr="004D730A">
        <w:tab/>
        <w:t>der henviser til, at regionerne i den yderste periferis afsides beliggenhed, økarakter, lille størrelse, vanskelige topografi og klima samt økonomiske afhængighed af specifikke industrier og produkter i alvorlig grad begrænser deres udvikling; der henviser til, at uligheder er en af de største sociale udfordringer for regionerne i den yderste periferi, og der endvidere henviser til, at disse er uforholdsmæssigt hårdt ramt af stor fattigdom og høj arbejdsløshed, stort skolefrafald og en høj andel af personer, der ikke er under uddannelse eller i beskæftigelse; der henviser til, at bruttonationalproduktet i regionerne i den yderste periferi ligger betydeligt under EU's og medlemsstaternes gennemsnit (60 % af gennemsnittet i EU-27);</w:t>
      </w:r>
    </w:p>
    <w:p w14:paraId="714FF39E" w14:textId="26D1D852" w:rsidR="00725F53" w:rsidRPr="004D730A" w:rsidRDefault="00F53764" w:rsidP="00725F53">
      <w:pPr>
        <w:spacing w:after="240"/>
        <w:ind w:left="567" w:hanging="567"/>
        <w:rPr>
          <w:bCs/>
          <w:iCs/>
        </w:rPr>
      </w:pPr>
      <w:r>
        <w:t>AH</w:t>
      </w:r>
      <w:r w:rsidR="00725F53" w:rsidRPr="004D730A">
        <w:t>.</w:t>
      </w:r>
      <w:r w:rsidR="00725F53" w:rsidRPr="004D730A">
        <w:tab/>
        <w:t>der henviser til, at de faktorer, der bidrager til fattigdomscirklen i landdistrikterne, er specifikke, og at udfordringerne for sårbare personer i landdistrikter er forskellige fra udfordringerne for sårbare personer i byområder; der henviser til, at manglende beskæftigelsesmuligheder, offentlige tjenester (herunder uddannelse og offentlig transport) og digital konnektivitet, høje energi- og transportpriser og demografisk udvikling såsom affolkning bidrager til større fattigdom i landdistrikter; der henviser til, at kvinder, der bor i landområder, er særligt sårbare over for fattigdom på grund af begrænset adgang til beskæftigelse, tjenesteydelser og social støtte; der henviser til, at EU's strategi for bekæmpelse af fattigdom skal tage højde for disse særlige territoriale forhold og sørge for skræddersyede politiske tiltag og finansieringsmekanismer, der effektivt fremmer social inklusion og territorial samhørighed;</w:t>
      </w:r>
    </w:p>
    <w:p w14:paraId="2341DA01" w14:textId="5B64939C" w:rsidR="00725F53" w:rsidRPr="004D730A" w:rsidRDefault="00F53764" w:rsidP="00725F53">
      <w:pPr>
        <w:spacing w:after="240"/>
        <w:ind w:left="567" w:hanging="567"/>
        <w:rPr>
          <w:bCs/>
          <w:iCs/>
        </w:rPr>
      </w:pPr>
      <w:r>
        <w:t>AI</w:t>
      </w:r>
      <w:r w:rsidR="00725F53" w:rsidRPr="004D730A">
        <w:t>.</w:t>
      </w:r>
      <w:r w:rsidR="00725F53" w:rsidRPr="004D730A">
        <w:tab/>
        <w:t>der henviser til, at der bør ske koordinering og integration på flere niveauer med hensyn til de instrumenter, der er knyttet til strategien for bekæmpelse af fattigdom; der henviser til, at det er vigtigt, at der er en solid forvaltningsmekanisme til at overvåge strategiens mål; der henviser til, at strategien kun vil give resultater, hvis den ledsages af tilstrækkelige finansielle ressourcer, og hvis dens mål støttes af de forskellige relevante EU-sektorfonde; der henviser til, at bestemmelserne om fattigdom og social inklusion i den nuværende flerårige finansielle ramme (FFR) bør fornyes, finansieres tilstrækkeligt og øremærkes i den kommende FFR;</w:t>
      </w:r>
    </w:p>
    <w:p w14:paraId="30551787" w14:textId="3C7FAF00" w:rsidR="00725F53" w:rsidRPr="004D730A" w:rsidRDefault="00F53764" w:rsidP="00725F53">
      <w:pPr>
        <w:spacing w:after="240"/>
        <w:ind w:left="567" w:hanging="567"/>
        <w:rPr>
          <w:bCs/>
          <w:iCs/>
        </w:rPr>
      </w:pPr>
      <w:r>
        <w:t>AJ</w:t>
      </w:r>
      <w:r w:rsidR="00725F53" w:rsidRPr="004D730A">
        <w:t>.</w:t>
      </w:r>
      <w:r w:rsidR="00725F53" w:rsidRPr="004D730A">
        <w:tab/>
        <w:t>der henviser til, at gennemsigtige og dybdegående dataindsamlings- og rapporteringsmekanismer på EU- og medlemsstatsniveau er nødvendige for at overvåge fremskridt i forhold til den europæiske søjle for sociale rettigheders overordnede mål for 2030, herunder målet om at nedbringe antallet af personer, der er i risiko for fattigdom eller social udstødelse, med mindst 15 millioner sammenlignet med 2019-tallene;</w:t>
      </w:r>
    </w:p>
    <w:p w14:paraId="4B74749A" w14:textId="77777777" w:rsidR="00725F53" w:rsidRPr="004D730A" w:rsidRDefault="00725F53" w:rsidP="00725F53">
      <w:pPr>
        <w:spacing w:after="240"/>
        <w:rPr>
          <w:i/>
          <w:szCs w:val="24"/>
        </w:rPr>
      </w:pPr>
      <w:r w:rsidRPr="004D730A">
        <w:rPr>
          <w:b/>
          <w:i/>
        </w:rPr>
        <w:t>En strategi for udryddelse af fattigdom</w:t>
      </w:r>
    </w:p>
    <w:p w14:paraId="4DAA1AA0" w14:textId="77777777" w:rsidR="00725F53" w:rsidRPr="004D730A" w:rsidRDefault="00725F53" w:rsidP="00725F53">
      <w:pPr>
        <w:spacing w:after="240"/>
        <w:ind w:left="567" w:hanging="567"/>
        <w:rPr>
          <w:bCs/>
          <w:iCs/>
        </w:rPr>
      </w:pPr>
      <w:r w:rsidRPr="004D730A">
        <w:t>1.</w:t>
      </w:r>
      <w:r w:rsidRPr="004D730A">
        <w:tab/>
        <w:t>er bekymret over, at 93,3 millioner mennesker i EU i 2024 stadig var i risiko for fattigdom eller social udstødelse, herunder 20 millioner børn, hvilket svarer til et ud af fire børn i EU, og at 27 millioner mennesker i EU var ramt af alvorlige materielle og sociale afsavn;</w:t>
      </w:r>
    </w:p>
    <w:p w14:paraId="11CC4E6F" w14:textId="77777777" w:rsidR="00725F53" w:rsidRPr="004D730A" w:rsidRDefault="00725F53" w:rsidP="00725F53">
      <w:pPr>
        <w:spacing w:after="240"/>
        <w:ind w:left="567" w:hanging="567"/>
        <w:rPr>
          <w:bCs/>
          <w:iCs/>
        </w:rPr>
      </w:pPr>
      <w:r w:rsidRPr="004D730A">
        <w:t>2.</w:t>
      </w:r>
      <w:r w:rsidRPr="004D730A">
        <w:tab/>
        <w:t>fremhæver, at fattigdom er et komplekst fænomen, der påvirker alle områder af livet, har rødder i systemisk og strukturel uretfærdighed og hænger sammen med historiske uligheder baseret på køn og kønsudtryk, race og etnicitet, religion, migrationsstatus, alder, seksuel orientering og handicap;</w:t>
      </w:r>
    </w:p>
    <w:p w14:paraId="65E9B7C9" w14:textId="77777777" w:rsidR="00725F53" w:rsidRPr="004D730A" w:rsidRDefault="00725F53" w:rsidP="00725F53">
      <w:pPr>
        <w:spacing w:after="240"/>
        <w:ind w:left="567" w:hanging="567"/>
        <w:rPr>
          <w:bCs/>
          <w:iCs/>
        </w:rPr>
      </w:pPr>
      <w:r w:rsidRPr="004D730A">
        <w:lastRenderedPageBreak/>
        <w:t>3.</w:t>
      </w:r>
      <w:r w:rsidRPr="004D730A">
        <w:tab/>
        <w:t>understreger, at den mest bæredygtige politik til fattigdomsbekæmpelse er en, der forhindrer fattigdom i overhovedet at opstå; opfordrer til, at der anlægges en omfattende tilgang til forebyggelse, der tackler de grundlæggende årsager til og de flerdimensionelle aspekter af fattigdom og social udstødelse, samt de punkter, hvor de krydser hinanden, med hensyn til adgang til kvalitetsjob, social beskyttelse og mindsteindkomst, offentlige tjenester, uddannelse, indgreb i den tidlige barndom, sundhedspleje, fødevarer, boliger, energi og beskatning; understreger, at fattigdom kun kan bekæmpes ved at fremme politikker, der sikrer de politiske, økonomiske, sociale og kulturelle rettigheders udelelighed og universelle karakter;</w:t>
      </w:r>
    </w:p>
    <w:p w14:paraId="523C9474" w14:textId="096958FD" w:rsidR="00725F53" w:rsidRPr="004D730A" w:rsidRDefault="00725F53" w:rsidP="00725F53">
      <w:pPr>
        <w:spacing w:after="240"/>
        <w:ind w:left="567" w:hanging="567"/>
        <w:rPr>
          <w:bCs/>
          <w:iCs/>
        </w:rPr>
      </w:pPr>
      <w:r w:rsidRPr="004D730A">
        <w:t>4.</w:t>
      </w:r>
      <w:r w:rsidRPr="004D730A">
        <w:tab/>
        <w:t>minder om, at fattigdom i uforholdsmæssig grad påvirker marginaliserede og sårbare grupper i samfundet såsom kvinder, familier, personer med forskellige racemæssige og etniske baggrunde, romaer og travellers, personer, der oplever hjemløshed, børn i institutionel pleje, LGBTQIA+-personer, ældre og yngre personer, personer med handicap, personer, der udsættes for forskelsbehandling på grund af religion eller tro, personer med kroniske sygdomme og afhængighed, uformelle omsorgspersoner og eneforsørgere; understreger, at der er behov for målrettede foranstaltninger til at afhjælpe dette med særligt fokus på dem, der er mest sårbare over for ekstrem fattigdom;</w:t>
      </w:r>
    </w:p>
    <w:p w14:paraId="7917F855" w14:textId="77777777" w:rsidR="00725F53" w:rsidRPr="004D730A" w:rsidRDefault="00725F53" w:rsidP="00725F53">
      <w:pPr>
        <w:spacing w:after="240"/>
        <w:ind w:left="567" w:hanging="567"/>
        <w:rPr>
          <w:bCs/>
          <w:iCs/>
        </w:rPr>
      </w:pPr>
      <w:r w:rsidRPr="004D730A">
        <w:t>5.</w:t>
      </w:r>
      <w:r w:rsidRPr="004D730A">
        <w:tab/>
        <w:t>minder om, at EU i handlingsplanen for den europæiske søjle for sociale rettigheder har forpligtet sig til at nedbringe antallet af personer i risiko for fattigdom og social udstødelse med mindst 15 millioner senest i 2030, herunder mindst 5 millioner børn; understreger, at uden et paradigmeskift i tilgangen til fattigdomsbekæmpelse og uden den nødvendige finansiering vil EU og medlemsstaterne ikke nå disse mål for nedbringelse af fattigdom;</w:t>
      </w:r>
    </w:p>
    <w:p w14:paraId="279EDF0C" w14:textId="77777777" w:rsidR="00725F53" w:rsidRPr="004D730A" w:rsidRDefault="00725F53" w:rsidP="00725F53">
      <w:pPr>
        <w:spacing w:after="240"/>
        <w:ind w:left="567" w:hanging="567"/>
      </w:pPr>
      <w:r w:rsidRPr="004D730A">
        <w:t>6.</w:t>
      </w:r>
      <w:r w:rsidRPr="004D730A">
        <w:tab/>
        <w:t>opfordrer Kommissionen til at fremlægge en omfattende, ambitiøs og tilstrækkeligt finansieret strategi for bekæmpelse af fattigdom, der omfatter følgende generelle mål og retningslinjer:</w:t>
      </w:r>
    </w:p>
    <w:p w14:paraId="14DFA71A" w14:textId="77777777" w:rsidR="00725F53" w:rsidRDefault="00725F53" w:rsidP="00CE7BC8">
      <w:pPr>
        <w:tabs>
          <w:tab w:val="left" w:pos="0"/>
        </w:tabs>
        <w:ind w:left="1134" w:hanging="567"/>
      </w:pPr>
      <w:r w:rsidRPr="004D730A">
        <w:t>a)</w:t>
      </w:r>
      <w:r w:rsidRPr="004D730A">
        <w:tab/>
        <w:t>anerkendelse af fattigdom som en krænkelse af den menneskelige værdighed, der underminerer den fulde gennemførelse af menneskerettighederne, og som grundlag for at fremme en rettighedsbaseret tilgang i overensstemmelse med internationale retlige rammer, navnlig artikel 25 i verdenserklæringen om menneskerettigheder</w:t>
      </w:r>
    </w:p>
    <w:p w14:paraId="343CDDB9" w14:textId="77777777" w:rsidR="002D3C51" w:rsidRPr="004D730A" w:rsidRDefault="002D3C51" w:rsidP="00525034">
      <w:pPr>
        <w:tabs>
          <w:tab w:val="left" w:pos="0"/>
        </w:tabs>
        <w:ind w:left="1134" w:hanging="567"/>
      </w:pPr>
    </w:p>
    <w:p w14:paraId="631A5ED2" w14:textId="77777777" w:rsidR="00725F53" w:rsidRDefault="00725F53" w:rsidP="00CE7BC8">
      <w:pPr>
        <w:tabs>
          <w:tab w:val="left" w:pos="0"/>
        </w:tabs>
        <w:ind w:left="1134" w:hanging="567"/>
      </w:pPr>
      <w:r w:rsidRPr="004D730A">
        <w:t>b)</w:t>
      </w:r>
      <w:r w:rsidRPr="004D730A">
        <w:tab/>
        <w:t>fastsættelse af målet om hurtigt, og senest i 2035, at udrydde fattigdom på grundlag af standarderne i FN's mål for bæredygtig udvikling og den europæiske søjle for sociale rettigheder, samtidig med at der udvikles foreløbige fremskridtsindikatorer, klare milepæle og en overvågningsramme, der muliggør passende koordinering af politikker og finansieringsbehov</w:t>
      </w:r>
    </w:p>
    <w:p w14:paraId="677B0B0A" w14:textId="77777777" w:rsidR="002D3C51" w:rsidRPr="004D730A" w:rsidRDefault="002D3C51" w:rsidP="00525034">
      <w:pPr>
        <w:tabs>
          <w:tab w:val="left" w:pos="0"/>
        </w:tabs>
        <w:ind w:left="1134" w:hanging="567"/>
      </w:pPr>
    </w:p>
    <w:p w14:paraId="05B477FB" w14:textId="77777777" w:rsidR="00725F53" w:rsidRDefault="00725F53" w:rsidP="00CE7BC8">
      <w:pPr>
        <w:tabs>
          <w:tab w:val="left" w:pos="0"/>
        </w:tabs>
        <w:ind w:left="1134" w:hanging="567"/>
      </w:pPr>
      <w:r w:rsidRPr="004D730A">
        <w:t>c)</w:t>
      </w:r>
      <w:r w:rsidRPr="004D730A">
        <w:tab/>
        <w:t>passende koordinering mellem Kommissionen og medlemsstaterne samt, hvor det er relevant, med de regionale myndigheder, i overensstemmelse med nærhedsprincippet for at nå dette mål</w:t>
      </w:r>
    </w:p>
    <w:p w14:paraId="282E26E2" w14:textId="77777777" w:rsidR="002D3C51" w:rsidRPr="004D730A" w:rsidRDefault="002D3C51" w:rsidP="00525034">
      <w:pPr>
        <w:tabs>
          <w:tab w:val="left" w:pos="0"/>
        </w:tabs>
        <w:ind w:left="1134" w:hanging="567"/>
      </w:pPr>
    </w:p>
    <w:p w14:paraId="776B9BEA" w14:textId="77777777" w:rsidR="00725F53" w:rsidRDefault="00725F53" w:rsidP="00CE7BC8">
      <w:pPr>
        <w:tabs>
          <w:tab w:val="left" w:pos="0"/>
        </w:tabs>
        <w:ind w:left="1134" w:hanging="567"/>
      </w:pPr>
      <w:r w:rsidRPr="004D730A">
        <w:t>d)</w:t>
      </w:r>
      <w:r w:rsidRPr="004D730A">
        <w:tab/>
        <w:t>en omfattende, menneskecentreret og integreret livscyklustilgang til langsigtede fattigdomsbekæmpelsespolitikker, der kombinerer universelle og målrettede foranstaltninger fra barndommen og i alle livets faser med det formål at udrydde fattigdom og fremme social inklusion som et tværgående kriterium i sektorpolitikkerne</w:t>
      </w:r>
    </w:p>
    <w:p w14:paraId="4A47F788" w14:textId="77777777" w:rsidR="002D3C51" w:rsidRPr="004D730A" w:rsidRDefault="002D3C51" w:rsidP="00525034">
      <w:pPr>
        <w:tabs>
          <w:tab w:val="left" w:pos="0"/>
        </w:tabs>
        <w:ind w:left="1134" w:hanging="567"/>
      </w:pPr>
    </w:p>
    <w:p w14:paraId="76496800" w14:textId="77777777" w:rsidR="00725F53" w:rsidRDefault="00725F53" w:rsidP="00CE7BC8">
      <w:pPr>
        <w:tabs>
          <w:tab w:val="left" w:pos="0"/>
        </w:tabs>
        <w:ind w:left="1134" w:hanging="567"/>
      </w:pPr>
      <w:r w:rsidRPr="004D730A">
        <w:t>e)</w:t>
      </w:r>
      <w:r w:rsidRPr="004D730A">
        <w:tab/>
        <w:t>deltagelse af personer, der selv har prøvet at leve i fattigdom, i fastlæggelsen, gennemførelsen og evalueringen af politikker, der berører dem, på en inklusiv, effektiv og gennemsigtig måde, som går hånd i hånd med en metodologi og kapacitetsopbygning</w:t>
      </w:r>
    </w:p>
    <w:p w14:paraId="109553CF" w14:textId="77777777" w:rsidR="002D3C51" w:rsidRPr="004D730A" w:rsidRDefault="002D3C51" w:rsidP="00525034">
      <w:pPr>
        <w:tabs>
          <w:tab w:val="left" w:pos="0"/>
        </w:tabs>
        <w:ind w:left="1134" w:hanging="567"/>
        <w:rPr>
          <w:szCs w:val="24"/>
        </w:rPr>
      </w:pPr>
    </w:p>
    <w:p w14:paraId="7927BBE9" w14:textId="77777777" w:rsidR="00725F53" w:rsidRDefault="00725F53" w:rsidP="00CE7BC8">
      <w:pPr>
        <w:tabs>
          <w:tab w:val="left" w:pos="0"/>
        </w:tabs>
        <w:ind w:left="1134" w:hanging="567"/>
      </w:pPr>
      <w:r w:rsidRPr="004D730A">
        <w:t>f)</w:t>
      </w:r>
      <w:r w:rsidRPr="004D730A">
        <w:tab/>
        <w:t>et grundlæggende og horisontalt princip om ikkeforskelsbehandling i hele strategien for fattigdomsbekæmpelse for at tackle strukturelle uligheder og samfundsmæssige stigmata, der har rod i forskelsbehandling, og som forværrer fattigdom og social udstødelse</w:t>
      </w:r>
    </w:p>
    <w:p w14:paraId="44B23C8B" w14:textId="77777777" w:rsidR="002D3C51" w:rsidRPr="004D730A" w:rsidRDefault="002D3C51" w:rsidP="00525034">
      <w:pPr>
        <w:tabs>
          <w:tab w:val="left" w:pos="0"/>
        </w:tabs>
        <w:ind w:left="1134" w:hanging="567"/>
        <w:rPr>
          <w:szCs w:val="24"/>
        </w:rPr>
      </w:pPr>
    </w:p>
    <w:p w14:paraId="0460D9DA" w14:textId="77777777" w:rsidR="00725F53" w:rsidRPr="004D730A" w:rsidRDefault="00725F53" w:rsidP="00525034">
      <w:pPr>
        <w:tabs>
          <w:tab w:val="left" w:pos="0"/>
        </w:tabs>
        <w:spacing w:after="240"/>
        <w:ind w:left="1134" w:hanging="567"/>
        <w:rPr>
          <w:szCs w:val="24"/>
        </w:rPr>
      </w:pPr>
      <w:r w:rsidRPr="004D730A">
        <w:t>g)</w:t>
      </w:r>
      <w:r w:rsidRPr="004D730A">
        <w:tab/>
        <w:t>afsættelse af tilstrækkelige og vedvarende budgetmidler til foranstaltninger til bekæmpelse af fattigdom gennem FFR og de nationale budgetmekanismer for at støtte den fulde gennemførelse af strategien for fattigdomsbekæmpelse og sikre en langsigtet virkning heraf;</w:t>
      </w:r>
    </w:p>
    <w:p w14:paraId="12922B95" w14:textId="77777777" w:rsidR="00725F53" w:rsidRPr="004D730A" w:rsidRDefault="00725F53" w:rsidP="00725F53">
      <w:pPr>
        <w:spacing w:after="240"/>
        <w:ind w:left="567" w:hanging="567"/>
        <w:rPr>
          <w:bCs/>
          <w:iCs/>
        </w:rPr>
      </w:pPr>
      <w:r w:rsidRPr="004D730A">
        <w:t>7.</w:t>
      </w:r>
      <w:r w:rsidRPr="004D730A">
        <w:tab/>
        <w:t>opfordrer Kommissionen til at anerkende de strukturelle sammenhænge mellem fattigdom og kønsbaseret vold og til at tage hånd om kønsbaseret vold som en central strategi til at udrydde fattigdom, navnlig blandt kvinder og børn, i anerkendelse af at det er afgørende at udrydde alle former for vold, for at kvinder kan tage fuld del i det omgivende samfundsliv og økonomien, få adgang til uddannelse, beskæftigelse og sociale ydelser og dermed opnå økonomisk uafhængighed; opfordrer indtrængende Kommissionen og medlemsstaterne til at fremme offentlig finansiering af politiktiltag til bekæmpelse af kønsbaseret vold; glæder sig over EU's ratificering af Istanbulkonventionen og opfordrer indtrængende Bulgarien, Tjekkiet, Ungarn, Litauen og Slovakiet til at afslutte deres ratificeringsproces uden yderligere forsinkelse; opfordrer Kommissionen til at sørge for, at direktivet om bekæmpelse af vold mod kvinder og vold i hjemmet gennemføres på formålstjenlig vis, for at garantere, at kvinder der lever i fattigdom og udsættes for andre former for vold har tilstrækkelig og uindskrænket adgang til krisecentre, offerstøttetjenester, retshjælp og social velfærd, uanset deres opholds- eller migrationsstatus;</w:t>
      </w:r>
    </w:p>
    <w:p w14:paraId="0C9EAD20" w14:textId="77777777" w:rsidR="00725F53" w:rsidRPr="004D730A" w:rsidRDefault="00725F53" w:rsidP="00725F53">
      <w:pPr>
        <w:spacing w:after="240"/>
        <w:ind w:left="567" w:hanging="567"/>
        <w:rPr>
          <w:b/>
          <w:bCs/>
          <w:i/>
          <w:iCs/>
        </w:rPr>
      </w:pPr>
      <w:r w:rsidRPr="004D730A">
        <w:rPr>
          <w:b/>
          <w:i/>
        </w:rPr>
        <w:t>Rimelige arbejdsforhold og en mere ligelig fordeling af indkomst og velstand</w:t>
      </w:r>
    </w:p>
    <w:p w14:paraId="3E646EBB" w14:textId="77777777" w:rsidR="00725F53" w:rsidRPr="004D730A" w:rsidRDefault="00725F53" w:rsidP="00725F53">
      <w:pPr>
        <w:spacing w:after="240"/>
        <w:ind w:left="567" w:hanging="567"/>
      </w:pPr>
      <w:r w:rsidRPr="004D730A">
        <w:t>8.</w:t>
      </w:r>
      <w:r w:rsidRPr="004D730A">
        <w:tab/>
        <w:t>opfordrer Kommissionen og medlemsstaterne til at gennemføre målet om fuld og anstændig beskæftigelse såvel som tilstrækkelig social beskyttelse, ydelser til alle samt en retfærdig fordeling af indkomst og velstand som udgangspunkt for de økonomiske og sociale politikker; opfordrer i den forbindelse Kommissionen og medlemsstaterne til at styrke deres aktive arbejdsmarkedspolitikker, især for dem, der er længst væk fra arbejdsmarkedet; understreger, at effektive aktive arbejdsmarkedspolitikker bør række ud over adgang til beskæftigelse og også omfatte tjenester, der gør det muligt for folk at forblive i beskæftigelse;</w:t>
      </w:r>
    </w:p>
    <w:p w14:paraId="2DF8C810" w14:textId="77777777" w:rsidR="00725F53" w:rsidRPr="004D730A" w:rsidRDefault="00725F53" w:rsidP="00725F53">
      <w:pPr>
        <w:spacing w:after="240"/>
        <w:ind w:left="567" w:hanging="567"/>
      </w:pPr>
      <w:r w:rsidRPr="004D730A">
        <w:t>9.</w:t>
      </w:r>
      <w:r w:rsidRPr="004D730A">
        <w:tab/>
        <w:t xml:space="preserve">opfordrer Kommissionen og medlemsstaterne til at fremme politikker, der beskytter og fremmer arbejdstagerrettigheder, kvalitetsjob, stabile ansættelsesforhold og beskyttelse mod uberettiget afskedigelse, rimelige lønninger, herunder lige løn for lige arbejde og lige løn til kvinder og mænd, livslang læring, opkvalificering og omskoling, sundhed og sikkerhed på arbejdspladsen, ikkeforskelsbehandling og adgang til passende social beskyttelse; glæder sig i den forbindelse over meddelelsen om en køreplan for kvalitetsjob, der skal sikre en retfærdig overgang for alle arbejdstagere og selvstændige, især ved at øge dækningen af kollektive forhandlinger; understreger, at denne køreplan udgør en mulighed for at etablere en individuel ret til uddannelse og livslang læring; </w:t>
      </w:r>
      <w:r w:rsidRPr="004D730A">
        <w:lastRenderedPageBreak/>
        <w:t>understreger, at én ud af 12 arbejdstagere i EU fortsat lever i fattigdom; insisterer i den forbindelse på, at der ikke bør forekomme fattigdom blandt personer i arbejde i EU, og opfordrer Kommissionen og medlemsstaterne til at sætte alvorligt ind over for dette problem ved at tage fat på strukturelle hindringer ud over jobkvalitet, herunder adgang og støtte til børnepasningsordninger, bedre anerkendelse af kvalifikationer og afhjælpning af manglen på skræddersyet karrierevejledning og uddannelsesstøtte; understreger, at gennemførelsen af direktiv (EU) 2022/2041 om passende mindstelønninger vil være afgørende for at forebygge og bekæmpe fattigdomsrisici blandt arbejdstagere og samtidig styrke incitamenterne til at arbejde;</w:t>
      </w:r>
    </w:p>
    <w:p w14:paraId="3C1FD645" w14:textId="77777777" w:rsidR="00725F53" w:rsidRPr="004D730A" w:rsidRDefault="00725F53" w:rsidP="00725F53">
      <w:pPr>
        <w:spacing w:after="240"/>
        <w:ind w:left="567" w:hanging="567"/>
        <w:rPr>
          <w:bCs/>
          <w:iCs/>
        </w:rPr>
      </w:pPr>
      <w:r w:rsidRPr="004D730A">
        <w:t>10.</w:t>
      </w:r>
      <w:r w:rsidRPr="004D730A">
        <w:tab/>
        <w:t>understreger behovet for at styrke den demokratiske deltagelse på arbejdspladsen som et redskab til at bekæmpe fattigdom blandt personer i arbejde gennem retten til at organisere sig og retten til kollektive skridt og bedre kollektive forhandlinger, gennem fagforeningsrettigheder, navnlig friheden til at oprette og melde sig ind i fagforeninger, ved at forbedre balancen mellem arbejdsliv og privatliv og skabe rimelige arbejdsvilkår, herunder arbejdstid, og ved at tilpasse arbejdsvilkårene til de menneskelige behov;</w:t>
      </w:r>
    </w:p>
    <w:p w14:paraId="2C6BE158" w14:textId="77777777" w:rsidR="00725F53" w:rsidRPr="004D730A" w:rsidRDefault="00725F53" w:rsidP="00725F53">
      <w:pPr>
        <w:spacing w:after="240"/>
        <w:ind w:left="567" w:hanging="567"/>
        <w:rPr>
          <w:bCs/>
          <w:iCs/>
        </w:rPr>
      </w:pPr>
      <w:r w:rsidRPr="004D730A">
        <w:t>11.</w:t>
      </w:r>
      <w:r w:rsidRPr="004D730A">
        <w:tab/>
        <w:t>understreger behovet for at styrke de offentlige arbejdsformidlinger, uddannelsesforløb og støttesystemer til jobsøgning for personer, der oplever fattigdom, og sårbare grupper, især langtidsledige og lavtuddannede; understreger vigtigheden af individuel vejledning, anerkendelse af uformelle færdigheder og sammenkædning af uddannelse med gode jobmuligheder; opfordrer medlemsstaterne til at sørge for at udvikle og udvide nationale rammer for validering af ikkeformel og uformel læring og muliggøre anerkendelse af praktisk erfaring i sektorer som byggeri, landbrug, sundhedspleje og social omsorg, hotel- og restaurationsbranchen, fremstilling, håndværk, logistik og informations- og kommunikationsteknologi som opfølgning på Rådets henstilling af 20. december 2012 om validering af ikkeformel og uformel læring</w:t>
      </w:r>
      <w:r w:rsidRPr="004D730A">
        <w:rPr>
          <w:rStyle w:val="FootnoteReference"/>
          <w:bCs/>
          <w:iCs/>
        </w:rPr>
        <w:footnoteReference w:id="57"/>
      </w:r>
      <w:r w:rsidRPr="004D730A">
        <w:t>;</w:t>
      </w:r>
    </w:p>
    <w:p w14:paraId="41B0C35C" w14:textId="77777777" w:rsidR="00725F53" w:rsidRPr="004D730A" w:rsidRDefault="00725F53" w:rsidP="00725F53">
      <w:pPr>
        <w:spacing w:after="240"/>
        <w:ind w:left="567" w:hanging="567"/>
        <w:rPr>
          <w:bCs/>
          <w:iCs/>
        </w:rPr>
      </w:pPr>
      <w:r w:rsidRPr="004D730A">
        <w:t>12.</w:t>
      </w:r>
      <w:r w:rsidRPr="004D730A">
        <w:tab/>
        <w:t>understreger betydningen af at støtte kvinders iværksætterånd og muligheder for selvstændig beskæftigelse, navnlig i landdistrikter, på øer og i andre geografisk fjerntliggende områder, som et middel til at opnå bedre økonomisk inddragelse og ligestilling og til at bekæmpe fattigdom, skabe lokal beskæftigelse og fremme en inklusiv økonomisk udvikling; opfordrer Kommissionen og medlemsstaterne til at sikre målrettet støtte til kvindelige iværksættere gennem forbedret adgang til finansiering, erhvervsuddannelse, digitale værktøjer og markeder; opfordrer Kommissionen til at udvikle politikker, der letter kvinders adgang til kvalitetsjob og iværksættermuligheder, gennem incitamenter for virksomheder til at ansætte og forfremme kvinder, navnlig enlige mødre, og til at tilbyde fleksible arbejdsordninger;</w:t>
      </w:r>
    </w:p>
    <w:p w14:paraId="35438AD2" w14:textId="77777777" w:rsidR="00725F53" w:rsidRPr="004D730A" w:rsidRDefault="00725F53" w:rsidP="00725F53">
      <w:pPr>
        <w:spacing w:after="240"/>
        <w:ind w:left="567" w:hanging="567"/>
        <w:rPr>
          <w:bCs/>
          <w:iCs/>
        </w:rPr>
      </w:pPr>
      <w:r w:rsidRPr="004D730A">
        <w:t>13.</w:t>
      </w:r>
      <w:r w:rsidRPr="004D730A">
        <w:tab/>
        <w:t xml:space="preserve">fremhæver, at segregering i adgangen til almindelig uddannelse for børn med handicap medfører social udstødelse og fortsat er en udfordring i hele EU; opfordrer til, at strategien for bekæmpelse af fattigdom sikrer adgang til uddannelse for børn med handicap, både med hensyn til fysisk infrastruktur og uddannelsesressourcer, for at sikre lige muligheder for alle elever; understreger, at økonomisk overkommelige hjælpemiddelteknologier og kunstig intelligens (AI) har potentiale til at forbedre den inkluderende undervisning for elever med handicap ved at tilbyde personlig støtte, tilpasningsværktøjer og bedre kommunikation; opfordrer medlemsstaterne til at investere i disse teknologier og sikre, at lærere uddannes i at integrere dem effektivt; opfordrer endvidere Kommissionen og medlemsstaterne til at sikre solide beskyttelsesforanstaltninger mod fejldiagnosticering af intellektuelle handicap eller </w:t>
      </w:r>
      <w:r w:rsidRPr="004D730A">
        <w:lastRenderedPageBreak/>
        <w:t>særlige uddannelsesbehov blandt romabørn, hvilket medfører uddannelsesmæssig segregering; understreger betydningen af ikkediskriminerende vurderingspraksis samt inklusive uddannelsespolitikker, der værner om alle børns rettigheder og værdighed;</w:t>
      </w:r>
    </w:p>
    <w:p w14:paraId="7B31716D" w14:textId="77777777" w:rsidR="00725F53" w:rsidRPr="004D730A" w:rsidRDefault="00725F53" w:rsidP="00725F53">
      <w:pPr>
        <w:spacing w:after="240"/>
        <w:ind w:left="567" w:hanging="567"/>
      </w:pPr>
      <w:r w:rsidRPr="004D730A">
        <w:t>14.</w:t>
      </w:r>
      <w:r w:rsidRPr="004D730A">
        <w:tab/>
        <w:t>anbefaler, at Kommissionen og medlemsstaterne tager hensyn til tilgangen i rapporten fra 2023 fra FN's særlige rapportør om ekstrem fattigdom og menneskerettigheder til at bekæmpe fattigdom gennem effektiv adgang til arbejde og målet om fuld beskæftigelse og kvalitetsjob, navnlig ved at oprette eller styrke specifikke instrumenter, der primært har til formål at bekæmpe arbejdsløshed og underbeskæftigelse, yde personlig støtte og øge beskæftigelsesegnetheden for de personer, der er længst væk fra arbejdsmarkedet, navnlig personer fra dårligt stillede og sårbare grupper såsom romaer og personer med handicap; mener, at disse instrumenter bør tage hensyn til både den private og den offentlige sektors rolle og medlemsstaternes sociale ansvar;</w:t>
      </w:r>
    </w:p>
    <w:p w14:paraId="32D96C51" w14:textId="77777777" w:rsidR="00725F53" w:rsidRPr="004D730A" w:rsidRDefault="00725F53" w:rsidP="00725F53">
      <w:pPr>
        <w:spacing w:after="240"/>
        <w:ind w:left="567" w:hanging="567"/>
      </w:pPr>
      <w:r w:rsidRPr="004D730A">
        <w:t>15.</w:t>
      </w:r>
      <w:r w:rsidRPr="004D730A">
        <w:tab/>
        <w:t>mener, at den sociale økonomi er et væsentligt element i EU's sociale markedsøkonomi og en drivkraft for gennemførelsen af den europæiske søjle for sociale rettigheder og målene herfor, eftersom den ofte giver beskæftigelse til sårbare og udstødte grupper; opfordrer til, at strategien for bekæmpelse af fattigdom anvendes til at styrke den sociale økonomi i overensstemmelse med EU-handlingsplanen for den sociale økonomi og Liègekøreplanen for den sociale økonomi i Den Europæiske Union; gentager sin opfordring til Kommissionen om at undersøge innovative finansieringsmekanismer såsom sociale obligationer til finansiering af projekter til støtte for udviklingen af den sociale økonomi i EU</w:t>
      </w:r>
      <w:r w:rsidRPr="004D730A">
        <w:rPr>
          <w:rStyle w:val="FootnoteReference"/>
        </w:rPr>
        <w:footnoteReference w:id="58"/>
      </w:r>
      <w:r w:rsidRPr="004D730A">
        <w:t>;</w:t>
      </w:r>
    </w:p>
    <w:p w14:paraId="33FBEF23" w14:textId="07B1E179" w:rsidR="00725F53" w:rsidRPr="004D730A" w:rsidRDefault="00946B57" w:rsidP="00725F53">
      <w:pPr>
        <w:ind w:left="567" w:hanging="567"/>
        <w:rPr>
          <w:bCs/>
          <w:iCs/>
        </w:rPr>
      </w:pPr>
      <w:r>
        <w:t>16</w:t>
      </w:r>
      <w:r w:rsidR="00725F53" w:rsidRPr="004D730A">
        <w:t>.</w:t>
      </w:r>
      <w:r w:rsidR="00725F53" w:rsidRPr="004D730A">
        <w:tab/>
        <w:t>opfordrer Kommissionen og medlemsstaterne til i lyset af leveomkostningskrisen at sikre adgang til økonomisk overkommelige nødvendige varer og tjenesteydelser såsom fødevarer, energi, vand, boliger, transport og kommunikation;</w:t>
      </w:r>
    </w:p>
    <w:p w14:paraId="6311EB54" w14:textId="77777777" w:rsidR="00725F53" w:rsidRPr="004D730A" w:rsidRDefault="00725F53" w:rsidP="00725F53">
      <w:pPr>
        <w:spacing w:after="240"/>
        <w:ind w:left="567" w:hanging="567"/>
        <w:rPr>
          <w:b/>
          <w:bCs/>
          <w:i/>
          <w:iCs/>
        </w:rPr>
      </w:pPr>
    </w:p>
    <w:p w14:paraId="417DD8A5" w14:textId="77777777" w:rsidR="00725F53" w:rsidRPr="004D730A" w:rsidRDefault="00725F53" w:rsidP="00725F53">
      <w:pPr>
        <w:spacing w:after="240"/>
        <w:ind w:left="567" w:hanging="567"/>
        <w:rPr>
          <w:b/>
          <w:bCs/>
          <w:i/>
          <w:iCs/>
        </w:rPr>
      </w:pPr>
      <w:r w:rsidRPr="004D730A">
        <w:rPr>
          <w:b/>
          <w:i/>
        </w:rPr>
        <w:t>Adgang til offentlige tjenester af høj kvalitet, social beskyttelse og støtteforanstaltninger</w:t>
      </w:r>
    </w:p>
    <w:p w14:paraId="13ED17B2" w14:textId="4E23864B" w:rsidR="00725F53" w:rsidRPr="004D730A" w:rsidRDefault="00946B57" w:rsidP="00725F53">
      <w:pPr>
        <w:spacing w:after="240"/>
        <w:ind w:left="567" w:hanging="567"/>
      </w:pPr>
      <w:r>
        <w:t>17</w:t>
      </w:r>
      <w:r w:rsidR="00725F53" w:rsidRPr="004D730A">
        <w:t>.</w:t>
      </w:r>
      <w:r w:rsidR="00725F53" w:rsidRPr="004D730A">
        <w:tab/>
        <w:t>opfordrer indtrængende Kommissionen og medlemsstaterne til at bekæmpe fattigdom ved at fremme offentlige politikker, der sikrer de politiske, økonomiske, sociale og kulturelle rettigheders udelelighed og universelle karakter; insisterer på, at det er vigtigt at have en tværfaglig tilgang, og på at bekæmpe fattigdom og social udstødelse, navnlig ved at fremme adgangen til boliger, offentlige rum og tjenester, sundhedspleje, trivsel og livskvalitet; opfordrer medlemsstaterne til at udvikle metoder til at vurdere strukturelle eller systemiske hindringer for at overvinde fattigdom og social udstødelse og for at deltage fuldt ud i samfundet, hvad enten sådanne hindringer findes i deres retssystemer, offentlige politikker eller gennemførelsen af disse på territorialt niveau;</w:t>
      </w:r>
    </w:p>
    <w:p w14:paraId="09B2D4C5" w14:textId="43E3D2F2" w:rsidR="00725F53" w:rsidRPr="004D730A" w:rsidRDefault="00946B57" w:rsidP="00725F53">
      <w:pPr>
        <w:spacing w:after="240"/>
        <w:ind w:left="567" w:hanging="567"/>
      </w:pPr>
      <w:r>
        <w:t>18</w:t>
      </w:r>
      <w:r w:rsidR="00725F53" w:rsidRPr="004D730A">
        <w:t>.</w:t>
      </w:r>
      <w:r w:rsidR="00725F53" w:rsidRPr="004D730A">
        <w:tab/>
        <w:t>opfordrer til, at der medtages kvalitative indikatorer i EU's strategi for bekæmpelse af fattigdom for bedre at afspejle de flerdimensionelle aspekter af fattigdom;</w:t>
      </w:r>
    </w:p>
    <w:p w14:paraId="2C993986" w14:textId="162076BE" w:rsidR="00725F53" w:rsidRPr="004D730A" w:rsidRDefault="00946B57" w:rsidP="00725F53">
      <w:pPr>
        <w:spacing w:after="240"/>
        <w:ind w:left="567" w:hanging="567"/>
      </w:pPr>
      <w:r>
        <w:t>19</w:t>
      </w:r>
      <w:r w:rsidR="00725F53" w:rsidRPr="004D730A">
        <w:t>.</w:t>
      </w:r>
      <w:r w:rsidR="00725F53" w:rsidRPr="004D730A">
        <w:tab/>
        <w:t xml:space="preserve">opfordrer Kommissionen og medlemsstaterne til i væsentlig grad at øge de offentlige investeringer i politikker, der garanterer sociale rettigheder, ved at give universel adgang til offentlige tjenester af høj kvalitet og varer og tjenesteydelser af almen økonomisk og social interesse såsom anstændige boliger, fødevarer, vand, sanitet, energi, transport, kommunikation samt kulturelle aktiviteter og fritidsaktiviteter; </w:t>
      </w:r>
      <w:r w:rsidR="00725F53" w:rsidRPr="004D730A">
        <w:lastRenderedPageBreak/>
        <w:t>understreger, at adgang til sund og økonomisk overkommelig ernæring er et grundlæggende behov, især for enkeltpersoner og familier, der oplever ekstrem fattigdom, børn, ældre, der bor alene, og marginaliserede samfund; understreger, at sådanne investeringer bidrager til at bryde fattigdomscyklussen mellem generationerne og muliggøre social og beskæftigelsesmæssig inklusion, navnlig på områder som uddannelse, herunder førskoleundervisning og børnepasning, sundhedspleje, herunder mental sundhedspleje, og social beskyttelse;</w:t>
      </w:r>
    </w:p>
    <w:p w14:paraId="0D4086C0" w14:textId="76780EEB" w:rsidR="00725F53" w:rsidRPr="004D730A" w:rsidRDefault="00946B57" w:rsidP="00725F53">
      <w:pPr>
        <w:spacing w:after="240"/>
        <w:ind w:left="567" w:hanging="567"/>
        <w:rPr>
          <w:bCs/>
          <w:iCs/>
        </w:rPr>
      </w:pPr>
      <w:r>
        <w:t>20</w:t>
      </w:r>
      <w:r w:rsidR="00725F53" w:rsidRPr="004D730A">
        <w:t>.</w:t>
      </w:r>
      <w:r w:rsidR="00725F53" w:rsidRPr="004D730A">
        <w:tab/>
        <w:t>opfordrer Kommissionen til at støtte medlemsstaterne i at fremme en boligpolitik, der sikrer universel adgang til anstændige og økonomisk overkommelige boliger i overensstemmelse med FN's mål for bæredygtig udvikling og verdenserklæringen om menneskerettigheder, navnlig artikel 25, og omfatter specifikke tiltag til at bekæmpe hjemløshed; opfordrer Kommissionen til at sikre, at den europæiske plan for økonomisk overkommelige boliger opfylder boligbehovene i alle EU-lande, samtidig med at nærhedsprincippet respekteres, med særligt fokus på personer, der oplever fattigdom, sårbare børn, unge og marginaliserede samfund; understreger den afgørende rolle, som økonomisk overkommelige og tilgængelige boliger spiller med hensyn til at støtte afinstitutionalisering og forebygge institutionalisering på grund af fattigdom, utilstrækkelige boliger eller manglende støtte</w:t>
      </w:r>
      <w:r w:rsidR="00725F53" w:rsidRPr="004D730A">
        <w:rPr>
          <w:rStyle w:val="FootnoteReference"/>
          <w:bCs/>
          <w:iCs/>
        </w:rPr>
        <w:footnoteReference w:id="59"/>
      </w:r>
      <w:r w:rsidR="00725F53" w:rsidRPr="004D730A">
        <w:t>; opfordrer til, at der i denne plan afsættes solid EU-finansiering til at udvide og renovere den offentlige og sociale boligmasse; opfordrer til, at statsstøttereglerne revideres med henblik på at give medlemsstaterne mulighed for at foretage større investeringer i offentlige og sociale boliger og træffe foranstaltninger til at støtte ordninger for sociale boliger og andelsboliger i nonprofitsektoren og den sociale økonomi samt foranstaltninger til at beskytte lejerne, sikre boligstabilitet, forebygge udsættelser uden skyld og bekæmpe spekulativ praksis;</w:t>
      </w:r>
    </w:p>
    <w:p w14:paraId="7F7E28A5" w14:textId="76E13A8A" w:rsidR="00725F53" w:rsidRPr="004D730A" w:rsidRDefault="00946B57" w:rsidP="00725F53">
      <w:pPr>
        <w:spacing w:after="240"/>
        <w:ind w:left="567" w:hanging="567"/>
        <w:rPr>
          <w:bCs/>
          <w:iCs/>
        </w:rPr>
      </w:pPr>
      <w:r>
        <w:t>21</w:t>
      </w:r>
      <w:r w:rsidR="00725F53" w:rsidRPr="004D730A">
        <w:t>.</w:t>
      </w:r>
      <w:r w:rsidR="00725F53" w:rsidRPr="004D730A">
        <w:tab/>
        <w:t>opfordrer indtrængende Kommissionen til under overholdelse af nærhedsprincippet at støtte medlemsstaterne i at gennemføre og udvide programmer og foranstaltninger såsom "Housing First" (først en bolig) for at afhjælpe og forebygge hjemløshed, med særligt fokus på hjemløshed blandt børn, og anerkende hjemløshed som en af de mest alvorlige og synlige former for fattigdom og social udstødelse; opfordrer indtrængende Kommissionen til at fremlægge en solid handlingsplan med specifikke mål med henblik på at udrydde hjemløshed i hele EU senest i 2030 og med specifikke foranstaltninger til at forebygge hjemløshed generelt, hjemløshed blandt børn og familier, hjemløshed på grund af mistet arbejde og usikre arbejdsvilkår i særdeleshed og til at bekæmpe hjemløshed blandt kvinder – ofte forårsaget af vold i familien og i hjemmet – samt foranstaltninger til at forbedre adgangen til boliger for personer med handicap og ældre;</w:t>
      </w:r>
    </w:p>
    <w:p w14:paraId="25EA4B49" w14:textId="398FB300" w:rsidR="00725F53" w:rsidRPr="004D730A" w:rsidRDefault="00946B57" w:rsidP="00725F53">
      <w:pPr>
        <w:spacing w:after="240"/>
        <w:ind w:left="567" w:hanging="567"/>
        <w:rPr>
          <w:bCs/>
          <w:iCs/>
        </w:rPr>
      </w:pPr>
      <w:r>
        <w:t>22</w:t>
      </w:r>
      <w:r w:rsidR="00725F53" w:rsidRPr="004D730A">
        <w:t>.</w:t>
      </w:r>
      <w:r w:rsidR="00725F53" w:rsidRPr="004D730A">
        <w:tab/>
        <w:t>opfordrer medlemsstaterne til at oprette og støtte centre for hjemløse med tilbud om grundlæggende og specialiseret lægehjælp tilpasset hjemløses behov, herunder fysiske og mentale sundhedstjenester, suppleret med uddannelsesprogrammer, der tager sigte på at forebygge narkotikamisbrug, herunder rådgivning, og kompetenceudviklingsinitiativer til støtte for reintegration i samfundet; opfordrer Kommissionen til at yde vejledning og lette udvekslingen af bedste praksis mellem medlemsstaterne for at sikre en effektiv og human drift af disse centre;</w:t>
      </w:r>
    </w:p>
    <w:p w14:paraId="2857076A" w14:textId="58D2CC02" w:rsidR="00725F53" w:rsidRPr="004D730A" w:rsidRDefault="00946B57" w:rsidP="00725F53">
      <w:pPr>
        <w:spacing w:after="240"/>
        <w:ind w:left="567" w:hanging="567"/>
        <w:rPr>
          <w:bCs/>
          <w:iCs/>
        </w:rPr>
      </w:pPr>
      <w:r>
        <w:t>23</w:t>
      </w:r>
      <w:r w:rsidR="00725F53" w:rsidRPr="004D730A">
        <w:t>.</w:t>
      </w:r>
      <w:r w:rsidR="00725F53" w:rsidRPr="004D730A">
        <w:tab/>
        <w:t xml:space="preserve">opfordrer Kommissionen og medlemsstaterne til at vedtage effektive foranstaltninger og politikker med henblik på at gennemføre princippet om "lige løn for lige arbejde" og </w:t>
      </w:r>
      <w:r w:rsidR="00725F53" w:rsidRPr="004D730A">
        <w:lastRenderedPageBreak/>
        <w:t>bekæmpe uligheder og forskelsbehandling på arbejdspladsen, navnlig baseret på køn, race eller etnisk oprindelse, handicap, alder, socioøkonomisk baggrund, seksuel orientering, kønsidentitet eller migrationsstatus; understreger betydningen af en hurtig gennemførelse af direktiv (EU) 2023/970 om lige løn for lige arbejde samt af oplysningskampagner om og uddannelse inden for bevidste og ubevidste fordomme for at forhindre sådanne uligheder og forskelsbehandling;</w:t>
      </w:r>
    </w:p>
    <w:p w14:paraId="2DC42375" w14:textId="29E94DBB" w:rsidR="00725F53" w:rsidRPr="004D730A" w:rsidRDefault="00946B57" w:rsidP="00725F53">
      <w:pPr>
        <w:spacing w:after="240"/>
        <w:ind w:left="567" w:hanging="567"/>
        <w:rPr>
          <w:bCs/>
          <w:iCs/>
        </w:rPr>
      </w:pPr>
      <w:r>
        <w:t>24</w:t>
      </w:r>
      <w:r w:rsidR="00725F53" w:rsidRPr="004D730A">
        <w:t>.</w:t>
      </w:r>
      <w:r w:rsidR="00725F53" w:rsidRPr="004D730A">
        <w:tab/>
        <w:t>opfordrer til en fornyet, intensiveret indsats for at udligne den kønsbestemte forskel i beskæftigelsesfrekvens og pension og til at øge investeringerne i offentlige tjenesteydelser og social infrastruktur; opfordrer indtrængende Kommissionen til at tilskynde medlemsstaterne til at udvikle målrettede tiltag til at sikre tilstrækkelige pensionsniveauer;</w:t>
      </w:r>
    </w:p>
    <w:p w14:paraId="589110F3" w14:textId="7657D313" w:rsidR="00725F53" w:rsidRPr="004D730A" w:rsidRDefault="00946B57" w:rsidP="00725F53">
      <w:pPr>
        <w:spacing w:after="240"/>
        <w:ind w:left="567" w:hanging="567"/>
      </w:pPr>
      <w:r>
        <w:t>25</w:t>
      </w:r>
      <w:r w:rsidR="00725F53" w:rsidRPr="004D730A">
        <w:t>.</w:t>
      </w:r>
      <w:r w:rsidR="00725F53" w:rsidRPr="004D730A">
        <w:tab/>
        <w:t>opfordrer medlemsstaterne til at udvikle politikker, der styrker barsels-, fædre- og forældrerettighederne samt andre omsorgspersoners rettigheder, fremmer balancen mellem arbejdsliv og privatliv, herunder fleksible arbejdstidsordninger, letter kvinders adgang til en garanteret indkomst under barselsorlov og støtter kvinders genintegrering i arbejdsmarkedet efter graviditet og barselsorlov og sikrer passende betingelser for amning på arbejdspladsen; tilskynder medlemsstaterne til at indføre og fremme tilgængelige og tilstrækkeligt kompenserede fædreorlovspolitikker, der gør det muligt for fædre at etablere stærke bånd med deres børn, ligeligt dele omsorgsansvaret og tage den nødvendige tid fri til at støtte udviklingen i den tidlige barndom og familiens trivsel;</w:t>
      </w:r>
    </w:p>
    <w:p w14:paraId="50442520" w14:textId="22497F6F" w:rsidR="00725F53" w:rsidRPr="004D730A" w:rsidRDefault="00946B57" w:rsidP="00725F53">
      <w:pPr>
        <w:spacing w:after="240"/>
        <w:ind w:left="567" w:hanging="567"/>
        <w:rPr>
          <w:bCs/>
          <w:iCs/>
        </w:rPr>
      </w:pPr>
      <w:r>
        <w:t>26</w:t>
      </w:r>
      <w:r w:rsidR="00725F53" w:rsidRPr="004D730A">
        <w:t>.</w:t>
      </w:r>
      <w:r w:rsidR="00725F53" w:rsidRPr="004D730A">
        <w:tab/>
        <w:t>fremhæver den uforholdsmæssige indvirkning, som ulønnet plejearbejde har på kvinder og deres økonomiske sikkerhed; opfordrer medlemsstaterne til at styrke deres offentlige nationale og regionale plejesystemer for at sikre, at alle personer, både ældre og yngre, uanset deres baggrund, har adgang til professionelle plejetjenester, der garanterer gode arbejdsvilkår for plejepersonalet; fremhæver, at hjemmeplejetjenester er afgørende for at levere personcentreret kvalitetspleje til plejekrævende personer, herunder ældre, samt børnepasning af høj kvalitet; tilskynder medlemsstaterne til at undersøge muligheden for at indføre praksis og foranstaltninger, der giver støtte til uformelle omsorgspersoner, navnlig dem, som yder pleje til personer fra lavindkomsthusholdninger, som efter en professionel vurdering anses for at være ude af stand til at leve uafhængigt, som et middel til at støtte en værdig, samfundsbaseret pleje;</w:t>
      </w:r>
    </w:p>
    <w:p w14:paraId="61511736" w14:textId="78AA7ECB" w:rsidR="00725F53" w:rsidRPr="004D730A" w:rsidRDefault="00946B57" w:rsidP="00725F53">
      <w:pPr>
        <w:spacing w:after="240"/>
        <w:ind w:left="567" w:hanging="567"/>
        <w:rPr>
          <w:bCs/>
          <w:iCs/>
        </w:rPr>
      </w:pPr>
      <w:r>
        <w:t>27</w:t>
      </w:r>
      <w:r w:rsidR="00725F53" w:rsidRPr="004D730A">
        <w:t>.</w:t>
      </w:r>
      <w:r w:rsidR="00725F53" w:rsidRPr="004D730A">
        <w:tab/>
        <w:t>opfordrer medlemsstaterne til at udvikle politikker for og adgang til tilbagevendingsstøtte for arbejdstagere, særlig kvinder, der har stået uden for arbejdsstyrken i en årrække på grund af familiemæssige forpligtelser;</w:t>
      </w:r>
    </w:p>
    <w:p w14:paraId="7EF4639B" w14:textId="3FCF17CC" w:rsidR="00725F53" w:rsidRPr="004D730A" w:rsidRDefault="00946B57" w:rsidP="00725F53">
      <w:pPr>
        <w:spacing w:after="240"/>
        <w:ind w:left="567" w:hanging="567"/>
      </w:pPr>
      <w:r>
        <w:t>28</w:t>
      </w:r>
      <w:r w:rsidR="00725F53" w:rsidRPr="004D730A">
        <w:t>.</w:t>
      </w:r>
      <w:r w:rsidR="00725F53" w:rsidRPr="004D730A">
        <w:tab/>
        <w:t xml:space="preserve">opfordrer indtrængende medlemsstaterne til at sikre universel adgang til økonomisk overkommelig offentlig sundhedspleje af høj kvalitet for alle, herunder prænatal sundhedspleje og sundhedspleje for mødre, nyfødte og børn – herunder primær forebyggelse, vaccinationsprogrammer og primær sundhedspleje – adgang til diagnosticering, behandling og rehabilitering og adgang til en bred vifte af medicinske og terapeutiske specialbehandlinger, der garanterer alle kvinder </w:t>
      </w:r>
      <w:bookmarkStart w:id="6" w:name="_Hlk213659452"/>
      <w:r w:rsidR="00725F53" w:rsidRPr="004D730A">
        <w:t xml:space="preserve">retten til seksuel og reproduktiv </w:t>
      </w:r>
      <w:bookmarkStart w:id="7" w:name="_Hlk213659435"/>
      <w:r w:rsidR="00725F53" w:rsidRPr="004D730A">
        <w:t>sundhedspleje</w:t>
      </w:r>
      <w:bookmarkEnd w:id="6"/>
      <w:r w:rsidR="00725F53" w:rsidRPr="004D730A">
        <w:t xml:space="preserve">, ud over </w:t>
      </w:r>
      <w:bookmarkEnd w:id="7"/>
      <w:r w:rsidR="00725F53" w:rsidRPr="004D730A">
        <w:t>målrettede foranstaltninger til at sikre tidlig identifikation og indgriben for dem, der er i risiko for sundheds- og udviklingsproblemer, og også til at forbedre de målrettede tjenester til intervention i den tidlige barndom med henblik på at fremme børns udvikling, trivsel og sociale inklusion;</w:t>
      </w:r>
    </w:p>
    <w:p w14:paraId="009E2E38" w14:textId="610B8A5C" w:rsidR="00725F53" w:rsidRPr="00CE2801" w:rsidRDefault="00946B57" w:rsidP="00725F53">
      <w:pPr>
        <w:spacing w:after="240"/>
        <w:ind w:left="567" w:hanging="567"/>
      </w:pPr>
      <w:r w:rsidRPr="00CE2801">
        <w:t>29</w:t>
      </w:r>
      <w:r w:rsidR="00725F53" w:rsidRPr="00CE2801">
        <w:t>.</w:t>
      </w:r>
      <w:r w:rsidR="00725F53" w:rsidRPr="00CE2801">
        <w:tab/>
      </w:r>
      <w:r w:rsidR="00B2333F" w:rsidRPr="00CE2801">
        <w:t xml:space="preserve">anerkender menstruationsfattigdom som en strukturel form for fattigdom og ulighed </w:t>
      </w:r>
      <w:r w:rsidR="00B2333F" w:rsidRPr="00CE2801">
        <w:lastRenderedPageBreak/>
        <w:t>mellem kønnene i EU, der påvirker anslået 10 % af den menstruerende befolkning; understreger dens uforholdsmæssigt store indvirkning på kvinder og piger med lav indkomst, flygtninge, asylansøgere, unge, hjemløse, personer med handicap og andre i sårbare situationer; understreger, at menstruationsfattigdom i alvorlig grad begrænser deltagelsen i det sociale, uddannelsesmæssige og professionelle liv; opfordrer Kommissionen til at udarbejde en omfattende handlingsplan som led i EU-strategien for bekæmpelse af fattigdom, som sikrer gratis eller økonomisk overkommelig adgang til menstruationsprodukter, information og passende sanitære faciliteter, navnlig på offentlige steder såsom uddannelsesinstitutioner, arbejdspladser, offentlige bygninger og modtagelsescentre;</w:t>
      </w:r>
    </w:p>
    <w:p w14:paraId="4F5FC607" w14:textId="12C7DFB7" w:rsidR="00725F53" w:rsidRPr="004D730A" w:rsidRDefault="00946B57" w:rsidP="00725F53">
      <w:pPr>
        <w:spacing w:after="240"/>
        <w:ind w:left="567" w:hanging="567"/>
      </w:pPr>
      <w:r>
        <w:t>30</w:t>
      </w:r>
      <w:r w:rsidR="00725F53" w:rsidRPr="004D730A">
        <w:t>.</w:t>
      </w:r>
      <w:r w:rsidR="00725F53" w:rsidRPr="004D730A">
        <w:tab/>
        <w:t xml:space="preserve">opfordrer medlemsstaterne til at styrke offentlige, universelle og solidaritetsbaserede sociale sikringsordninger for at sikre fuld og effektiv social beskyttelse for alle, herunder arbejdstagere, selvstændige og pensionister, og for at forebygge og tackle de grundlæggende årsager til fattigdom og fattigdom blandt personer i arbejde i overensstemmelse med Rådets henstilling fra 2019 om adgang til social beskyttelse for arbejdstagere og selvstændige; insisterer på, at det er vigtigt at tackle de udfordringer, som personer i usikre eller atypiske former for beskæftigelse står over for, navnlig unge, der udsættes for aldersdiskrimination og ikke har indbetalt tilstrækkeligt bidrag til at få adgang til sociale sikringsydelser, og herunder også kunstnere og arbejdstagere i de kulturelle og kreative sektorer; </w:t>
      </w:r>
      <w:bookmarkStart w:id="8" w:name="_Hlk209688047"/>
      <w:r w:rsidR="00725F53" w:rsidRPr="004D730A">
        <w:t>opfordrer medlemsstaterne til at bekæmpe fattigdom blandt ældre gennem specifikke foranstaltninger med særlig vægt på kvinder, der er uforholdsmæssigt hårdt ramt</w:t>
      </w:r>
      <w:bookmarkEnd w:id="8"/>
      <w:r w:rsidR="00725F53" w:rsidRPr="004D730A">
        <w:t>; opfordrer medlemsstaterne til i deres pensionsordninger at tage tilstrækkeligt hensyn til perioder med fravær fra arbejdet på grund af forældreorlov;</w:t>
      </w:r>
    </w:p>
    <w:p w14:paraId="283CD06A" w14:textId="18DE1F5D" w:rsidR="00725F53" w:rsidRPr="004D730A" w:rsidRDefault="00946B57" w:rsidP="00725F53">
      <w:pPr>
        <w:spacing w:after="240"/>
        <w:ind w:left="567" w:hanging="567"/>
        <w:rPr>
          <w:bCs/>
          <w:iCs/>
        </w:rPr>
      </w:pPr>
      <w:r>
        <w:t>31</w:t>
      </w:r>
      <w:r w:rsidR="00725F53" w:rsidRPr="004D730A">
        <w:t>.</w:t>
      </w:r>
      <w:r w:rsidR="00725F53" w:rsidRPr="004D730A">
        <w:tab/>
        <w:t>understreger, at der i strategien for bekæmpelse af fattigdom bør tages højde for den uformelle økonomi, da denne fortsat er udbredt i hele Unionen, hvilket resulterer i job uden adgang til rettigheder, tilstrækkelig løn, social beskyttelse eller arbejdsmiljøstandarder; tilskynder medlemsstaterne til at skabe inklusionsveje mellem den uformelle og formelle økonomi, f.eks. ved at indføre forenklede registreringsprocedurer for sæsonarbejdere, manuelle arbejdstagere og husarbejdere;</w:t>
      </w:r>
    </w:p>
    <w:p w14:paraId="40143798" w14:textId="1C65E8E3" w:rsidR="00725F53" w:rsidRPr="004D730A" w:rsidRDefault="00946B57" w:rsidP="00725F53">
      <w:pPr>
        <w:spacing w:after="240"/>
        <w:ind w:left="567" w:hanging="567"/>
        <w:rPr>
          <w:bCs/>
          <w:iCs/>
        </w:rPr>
      </w:pPr>
      <w:r>
        <w:t>32</w:t>
      </w:r>
      <w:r w:rsidR="00725F53" w:rsidRPr="004D730A">
        <w:t>.</w:t>
      </w:r>
      <w:r w:rsidR="00725F53" w:rsidRPr="004D730A">
        <w:tab/>
        <w:t>opfordrer medlemsstaterne til at tackle ungdomsfattigdom og socioøkonomisk ulighed i erkendelse af, at unge er uforholdsmæssigt hårdt ramt af arbejdsløshed, usikker beskæftigelse, boligmæssig eksklusion og social sårbarhed; understreger, at unge er overrepræsenteret i sektorer, der er kendetegnet ved deltidsarbejde, sæsonarbejde, usikre ansættelsesforhold og sort arbejde, og at andelen af unge, der ikke er i beskæftigelse eller under uddannelse, fortsat er høj i flere medlemsstater og mere end dobbelt så høj som den samlede arbejdsløshedsprocent i EU; fremhæver behovet for at styrke ungdomsgarantien som et centralt instrument til at fremme inklusion af unge på arbejdsmarkedet samt behovet for at anvende strategien til at udvikle flere synergier mellem dette instrument og den europæiske børnegaranti og for at styrke begge instrumenter ved at vedtage målrettede foranstaltninger, fremme boligløsninger til overkommelige priser for unge inden for den kommende plan for økonomisk overkommelige boliger og forbedre skræddersyet mental sundhedsstøtte og sociale inklusionstjenester, der er specielt udformet til unge; opfordrer til at yde øget støtte til unge, der er på vej ud af alternativ pleje, for at sikre dem en stabil og værdig vej ind i voksenlivet, navnlig ved at give dem bedre adgang til uddannelses- og beskæftigelsesmuligheder eller støtte til universitets- eller erhvervsuddannelse, med henblik på at mindske risikoen for fattigdom, social udstødelse og hjemløshed i denne kritiske periode;</w:t>
      </w:r>
    </w:p>
    <w:p w14:paraId="62A587D3" w14:textId="0CA4057D" w:rsidR="00725F53" w:rsidRDefault="00946B57" w:rsidP="00725F53">
      <w:pPr>
        <w:spacing w:after="240"/>
        <w:ind w:left="567" w:hanging="567"/>
      </w:pPr>
      <w:r>
        <w:lastRenderedPageBreak/>
        <w:t>33</w:t>
      </w:r>
      <w:r w:rsidR="00725F53" w:rsidRPr="004D730A">
        <w:t>.</w:t>
      </w:r>
      <w:r w:rsidR="00725F53" w:rsidRPr="004D730A">
        <w:tab/>
        <w:t>opfordrer Kommissionen og medlemsstaterne til at tage højde for de skjulte fattigdomsfænomener, bekæmpe stigmatiseringen af personer, der lever i fattigdom, og den manglende udnyttelse af tilgængelige sociale ydelser;</w:t>
      </w:r>
    </w:p>
    <w:p w14:paraId="7A25C9DC" w14:textId="57495B38" w:rsidR="00FE22BB" w:rsidRPr="004D730A" w:rsidRDefault="00946B57" w:rsidP="00725F53">
      <w:pPr>
        <w:spacing w:after="240"/>
        <w:ind w:left="567" w:hanging="567"/>
      </w:pPr>
      <w:r>
        <w:t>34</w:t>
      </w:r>
      <w:r w:rsidR="00FE22BB">
        <w:t>.</w:t>
      </w:r>
      <w:r w:rsidR="00FE22BB">
        <w:tab/>
      </w:r>
      <w:r w:rsidR="00FE22BB" w:rsidRPr="00FE22BB">
        <w:t xml:space="preserve">understreger vigtigheden af at overvinde administrative hindringer, der kan forhindre sårbare grupper, </w:t>
      </w:r>
      <w:proofErr w:type="gramStart"/>
      <w:r w:rsidR="00FE22BB" w:rsidRPr="00FE22BB">
        <w:t>eksempelvis</w:t>
      </w:r>
      <w:proofErr w:type="gramEnd"/>
      <w:r w:rsidR="00FE22BB" w:rsidRPr="00FE22BB">
        <w:t xml:space="preserve"> romaer, i at få adgang til væsentlige tjenester og social beskyttelse, da disse hindringer opretholder og forværrer fattigdom og udstødelse; understreger, at nationale identifikationsnumre kan fremme lige adgang til væsentlige tjenester, samtidig med at man bevarer administrativ klarhed og ansvarlighed;</w:t>
      </w:r>
    </w:p>
    <w:p w14:paraId="0358A00B" w14:textId="0B7348A8" w:rsidR="00725F53" w:rsidRPr="004D730A" w:rsidRDefault="00946B57" w:rsidP="00725F53">
      <w:pPr>
        <w:spacing w:after="240"/>
        <w:ind w:left="567" w:hanging="567"/>
        <w:rPr>
          <w:bCs/>
          <w:iCs/>
        </w:rPr>
      </w:pPr>
      <w:r>
        <w:t>35</w:t>
      </w:r>
      <w:r w:rsidR="00725F53" w:rsidRPr="004D730A">
        <w:t>.</w:t>
      </w:r>
      <w:r w:rsidR="00725F53" w:rsidRPr="004D730A">
        <w:tab/>
        <w:t>opfordrer Kommissionen og medlemsstaterne til at revidere den relevante lovgivning med henblik på udtrykkeligt at forbyde forskelsbehandling på grund af socioøkonomisk status og anerkende krydsfeltet med andre former for forskelsbehandling; understreger, at et klart retsgrundlag er nødvendigt for at sikre rettigheder, der kan håndhæves, og beskyttelse af personer, der oplever fattigdom og social udstødelse; opfordrer endvidere Rådet til at vedtage sin holdning til det horisontale direktiv om bekæmpelse af forskelsbehandling med henblik på at indlede interinstitutionelle forhandlinger;</w:t>
      </w:r>
    </w:p>
    <w:p w14:paraId="7A00792B" w14:textId="60B70A01" w:rsidR="00725F53" w:rsidRPr="004D730A" w:rsidRDefault="00946B57" w:rsidP="00725F53">
      <w:pPr>
        <w:spacing w:after="240"/>
        <w:ind w:left="567" w:hanging="567"/>
        <w:rPr>
          <w:bCs/>
          <w:iCs/>
        </w:rPr>
      </w:pPr>
      <w:r>
        <w:t>36</w:t>
      </w:r>
      <w:r w:rsidR="00725F53" w:rsidRPr="004D730A">
        <w:t>.</w:t>
      </w:r>
      <w:r w:rsidR="00725F53" w:rsidRPr="004D730A">
        <w:tab/>
        <w:t>opfordrer medlemsstaterne til at revidere politikker og foranstaltninger, som straffer personer, der oplever ekstrem fattigdom, og sanktionerne mod dem, der yder støtte; understreger, at sådanne foranstaltninger ofte underminerer værdighed, forværrer udstødelse og er kontraproduktive i forhold til langsigtede mål for social inklusion;</w:t>
      </w:r>
    </w:p>
    <w:p w14:paraId="7F356925" w14:textId="6907B24F" w:rsidR="00725F53" w:rsidRPr="004D730A" w:rsidRDefault="00946B57" w:rsidP="00725F53">
      <w:pPr>
        <w:spacing w:after="240"/>
        <w:ind w:left="567" w:hanging="567"/>
        <w:rPr>
          <w:bCs/>
          <w:iCs/>
        </w:rPr>
      </w:pPr>
      <w:r>
        <w:t>37</w:t>
      </w:r>
      <w:r w:rsidR="00725F53" w:rsidRPr="004D730A">
        <w:t>.</w:t>
      </w:r>
      <w:r w:rsidR="00725F53" w:rsidRPr="004D730A">
        <w:tab/>
        <w:t>opfordrer indtrængende medlemsstaterne til at undersøge og implementere proaktive mekanismer til at sikre, at alle personer, der er berettiget til sociale ydelser, navnlig personer i grupper, der er mål for social bistand, informeres effektivt herom og får adgang hertil, og dermed mindske den manglende udnyttelse heraf, blandt andet ved at mindske den administrative byrde i forbindelse med ansøgninger om ydelser, sikre større gennemsigtighed og sørge for, at personalet er uddannet til at nå ud til og hjælpe personer, der oplever fattigdom, med henblik på at opbygge tillid til de relevante institutioner;</w:t>
      </w:r>
    </w:p>
    <w:p w14:paraId="3F0F9A77" w14:textId="67507AC1" w:rsidR="00725F53" w:rsidRPr="004D730A" w:rsidRDefault="00946B57" w:rsidP="00725F53">
      <w:pPr>
        <w:spacing w:after="240"/>
        <w:ind w:left="567" w:hanging="567"/>
        <w:rPr>
          <w:bCs/>
          <w:iCs/>
        </w:rPr>
      </w:pPr>
      <w:r>
        <w:t>38</w:t>
      </w:r>
      <w:r w:rsidR="00725F53" w:rsidRPr="004D730A">
        <w:t>.</w:t>
      </w:r>
      <w:r w:rsidR="00725F53" w:rsidRPr="004D730A">
        <w:tab/>
        <w:t>beklager, at målet i EU's strategiske ramme for romaer 2021-2030 om at reducere fattigdomskløften mellem romasamfundene og den generelle befolkning med mindst halvdelen stadig er langt fra at være nået; fremhæver, at EU-strategien for bekæmpelse af fattigdom bør have et fælles mål om at fremme grundlæggende rettigheder, reducere ulighed og tackle strukturel forskelsbehandling med EU's strategiske ramme for romaer og den europæiske børnegaranti; understreger betydningen af at sikre, at disse initiativer gennemføres i synergi, især med hensyn til at tackle børnefattigdom og bryde den onde cirkel af ugunstige vilkår mellem generationerne blandt romafamilier og travellersamfund;</w:t>
      </w:r>
    </w:p>
    <w:p w14:paraId="54A5A1F8" w14:textId="15823A33" w:rsidR="00725F53" w:rsidRPr="004D730A" w:rsidRDefault="00946B57" w:rsidP="00725F53">
      <w:pPr>
        <w:spacing w:after="240"/>
        <w:ind w:left="567" w:hanging="567"/>
        <w:rPr>
          <w:bCs/>
          <w:iCs/>
        </w:rPr>
      </w:pPr>
      <w:r>
        <w:t>39</w:t>
      </w:r>
      <w:r w:rsidR="00725F53" w:rsidRPr="004D730A">
        <w:t>.</w:t>
      </w:r>
      <w:r w:rsidR="00725F53" w:rsidRPr="004D730A">
        <w:tab/>
        <w:t>fremhæver den voksende digitale kløft, som kan forværre fattigdom ved at begrænse adgangen til information, og behovet for foranstaltninger til at tackle den digitale udstødelse af lavindkomstgrupper og marginaliserede grupper, herunder ældre; opfordrer i denne forbindelse Kommissionen og medlemsstaterne til at fremme den digitale integration af sårbare grupper gennem foranstaltninger og støtteprogrammer, der sikrer deres adgang til digitale teknologier, infrastruktur og konnektivitet samt uddannelse i grundlæggende digitale færdigheder; anbefaler, at der medtages klare indikatorer til overvågning af digital inklusion, navnlig blandt børn, samtidig med at deres og teenageres onlineaktivitet fortsat beskyttes;</w:t>
      </w:r>
    </w:p>
    <w:p w14:paraId="71437FA8" w14:textId="3FFF6236" w:rsidR="00725F53" w:rsidRPr="004D730A" w:rsidRDefault="00946B57" w:rsidP="00725F53">
      <w:pPr>
        <w:spacing w:after="240"/>
        <w:ind w:left="567" w:hanging="567"/>
        <w:rPr>
          <w:bCs/>
          <w:iCs/>
        </w:rPr>
      </w:pPr>
      <w:r>
        <w:lastRenderedPageBreak/>
        <w:t>40</w:t>
      </w:r>
      <w:r w:rsidR="00725F53" w:rsidRPr="004D730A">
        <w:t>.</w:t>
      </w:r>
      <w:r w:rsidR="00725F53" w:rsidRPr="004D730A">
        <w:tab/>
        <w:t>mener, at målet om fuld digitalisering af centrale offentlige tjenester, der er fastsat i EU's politikprogram for det digitale årti, kan øge ulighederne, navnlig mellem byområder og landdistrikter, aldersgrupper og socioøkonomiske grupper, ved at bevæge sig væk fra individualiseret støtte; understreger i denne forbindelse behovet for at finde en balance mellem processen med digitalisering af offentlige tjenester og forvaltning og sårbare gruppers behov; opfordrer Kommissionen og medlemsstaterne til at behandle dette spørgsmål inden for rammerne af strategien for bekæmpelse af fattigdom og de nationale handlingsplaner og sikre de nødvendige ressourcer, personlig støtte og passende uddannelse af personale i centrale offentlige forvaltningstjenester for at sikre lige adgang til offentlige tjenester og forhindre, at den digitale kløft bliver større;</w:t>
      </w:r>
    </w:p>
    <w:p w14:paraId="458544B2" w14:textId="4367877C" w:rsidR="00725F53" w:rsidRPr="004D730A" w:rsidRDefault="00946B57" w:rsidP="00725F53">
      <w:pPr>
        <w:spacing w:after="240"/>
        <w:ind w:left="567" w:hanging="567"/>
        <w:rPr>
          <w:bCs/>
          <w:iCs/>
        </w:rPr>
      </w:pPr>
      <w:r>
        <w:t>41</w:t>
      </w:r>
      <w:r w:rsidR="00725F53" w:rsidRPr="004D730A">
        <w:t>.</w:t>
      </w:r>
      <w:r w:rsidR="00725F53" w:rsidRPr="004D730A">
        <w:tab/>
        <w:t>minder om, at den stigende brug af algoritmer og AI-systemer i vigtige offentlige tjenester kan udgøre en betydelig risiko for at forstærke eksisterende former for forskelsbehandling, især mod personer, der oplever fattigdom; opfordrer i denne forbindelse indtrængende Kommissionen til at fremme AI-systemer, der er etiske i deres udformning, og til at sikre det horisontale princip om ikkeforskelsbehandling i alle EU-forordninger vedrørende AI;</w:t>
      </w:r>
    </w:p>
    <w:p w14:paraId="24A93376" w14:textId="75C58007" w:rsidR="00725F53" w:rsidRPr="004D730A" w:rsidRDefault="00946B57" w:rsidP="00725F53">
      <w:pPr>
        <w:spacing w:after="240"/>
        <w:ind w:left="567" w:hanging="567"/>
        <w:rPr>
          <w:szCs w:val="24"/>
        </w:rPr>
      </w:pPr>
      <w:r>
        <w:t>42</w:t>
      </w:r>
      <w:r w:rsidR="00725F53" w:rsidRPr="004D730A">
        <w:t>.</w:t>
      </w:r>
      <w:r w:rsidR="00725F53" w:rsidRPr="004D730A">
        <w:tab/>
        <w:t>understreger, at fattigdom og mental sundhed er tæt forbundet, og at de hver især kan påvirke hinanden negativt; anbefaler, at medlemsstaterne øger støtten til personer, herunder familier og børn i sårbare situationer, gennem støttetjenester for mental sundhed og psykosociale støttetjenester og sikrer, at der anvendes tilstrækkelige ressourcer og tilstrækkeligt uddannede fagfolk til at levere disse tjenester effektivt;</w:t>
      </w:r>
    </w:p>
    <w:p w14:paraId="0A2804B2" w14:textId="34CD8088" w:rsidR="00725F53" w:rsidRPr="004D730A" w:rsidRDefault="00946B57" w:rsidP="00725F53">
      <w:pPr>
        <w:spacing w:after="240"/>
        <w:ind w:left="567" w:hanging="567"/>
        <w:rPr>
          <w:bCs/>
          <w:iCs/>
          <w:szCs w:val="24"/>
        </w:rPr>
      </w:pPr>
      <w:r>
        <w:t>43</w:t>
      </w:r>
      <w:r w:rsidR="00725F53" w:rsidRPr="004D730A">
        <w:t>.</w:t>
      </w:r>
      <w:r w:rsidR="00725F53" w:rsidRPr="004D730A">
        <w:tab/>
        <w:t>understreger vigtigheden af at sikre, at alle har ret til at få adgang til, skabe og deltage i kultur, og af at afskaffe økonomisk, social og territorial forskelsbehandling i forbindelse med adgangen til kultur;</w:t>
      </w:r>
    </w:p>
    <w:p w14:paraId="3C48D770" w14:textId="4AC8C223" w:rsidR="00725F53" w:rsidRPr="004D730A" w:rsidRDefault="00946B57" w:rsidP="00725F53">
      <w:pPr>
        <w:spacing w:after="240"/>
        <w:ind w:left="567" w:hanging="567"/>
        <w:rPr>
          <w:bCs/>
          <w:iCs/>
          <w:szCs w:val="24"/>
        </w:rPr>
      </w:pPr>
      <w:r>
        <w:t>44</w:t>
      </w:r>
      <w:r w:rsidR="00725F53" w:rsidRPr="004D730A">
        <w:t>.</w:t>
      </w:r>
      <w:r w:rsidR="00725F53" w:rsidRPr="004D730A">
        <w:tab/>
        <w:t>fremhæver, at personer, der er i risiko for fattigdom og social udstødelse, rammes uforholdsmæssigt hårdt af klimaændringer; gentager, at den grønne og den digitale omstilling skal være socialt retfærdig og inklusiv; opfordrer til, at EU-strategien for bekæmpelse af fattigdom skal omfatte passende og målrettede foranstaltninger, der styrker og supplerer indsatsen for en retfærdig omstilling og sikrer en samlet tilgang til håndtering af sociale og økonomiske uligheder; opfordrer indtrængende Kommissionen til at afsætte tilstrækkelige midler i FFR for 2028-2034 til investeringer i at yde støtte til mennesker under disse omstillinger, med særlig vægt på lavindkomsthusstande;</w:t>
      </w:r>
    </w:p>
    <w:p w14:paraId="517DB50F" w14:textId="12CCA5AA" w:rsidR="00725F53" w:rsidRDefault="00946B57" w:rsidP="00725F53">
      <w:pPr>
        <w:ind w:left="567" w:hanging="567"/>
      </w:pPr>
      <w:r>
        <w:t>45</w:t>
      </w:r>
      <w:r w:rsidR="00725F53" w:rsidRPr="004D730A">
        <w:t>.</w:t>
      </w:r>
      <w:r w:rsidR="00725F53" w:rsidRPr="004D730A">
        <w:tab/>
        <w:t>understreger, at befolkningen i landdistrikter, fjerntliggende samfund og områder med en lav tæthed af offentlige tjenester, er mere sårbare over for at blive ramt af fattigdom og social udstødelse på grund af manglende beskæftigelsesmuligheder, offentlige tjenester (herunder uddannelse og offentlig transport), digital konnektivitet og høje energi- og transportpriser; opfordrer til, at der tages hensyn til de særlige behov blandt indbyggerne i disse områder i strategien for bekæmpelse af fattigdom;</w:t>
      </w:r>
    </w:p>
    <w:p w14:paraId="28BE5A00" w14:textId="77777777" w:rsidR="00CE7BC8" w:rsidRPr="004D730A" w:rsidRDefault="00CE7BC8" w:rsidP="00725F53">
      <w:pPr>
        <w:ind w:left="567" w:hanging="567"/>
        <w:rPr>
          <w:bCs/>
          <w:iCs/>
          <w:szCs w:val="24"/>
        </w:rPr>
      </w:pPr>
    </w:p>
    <w:p w14:paraId="5E97E454" w14:textId="77777777" w:rsidR="00725F53" w:rsidRPr="004D730A" w:rsidRDefault="00725F53" w:rsidP="00725F53">
      <w:pPr>
        <w:spacing w:after="240"/>
        <w:ind w:left="567" w:hanging="567"/>
        <w:rPr>
          <w:b/>
          <w:i/>
        </w:rPr>
      </w:pPr>
      <w:r w:rsidRPr="004D730A">
        <w:rPr>
          <w:b/>
          <w:i/>
        </w:rPr>
        <w:t>En strategi med børnefattigdom i centrum</w:t>
      </w:r>
    </w:p>
    <w:p w14:paraId="041F493B" w14:textId="4FFC2247" w:rsidR="00725F53" w:rsidRDefault="00946B57" w:rsidP="00725F53">
      <w:pPr>
        <w:spacing w:after="240"/>
        <w:ind w:left="567" w:hanging="567"/>
      </w:pPr>
      <w:r>
        <w:t>46</w:t>
      </w:r>
      <w:r w:rsidR="00725F53" w:rsidRPr="004D730A">
        <w:t>.</w:t>
      </w:r>
      <w:r w:rsidR="00725F53" w:rsidRPr="004D730A">
        <w:tab/>
        <w:t>beklager, at antallet af børn, der risikerer fattigdom og social udstødelse, er steget; opfordrer Kommissionen til at sikre, at strategien til bekæmpelse af fattigdom aktivt bekæmper børnefattigdom gennem en livscyklustilgang, i betragtning af at de første år af børns liv er afgørende for deres fysiske, mentale, kognitive, sociale og følelsesmæssige udvikling, og for at de får et tilfredsstillende liv, med henblik på at bryde den onde cirkel af fattigdom mellem generationerne;</w:t>
      </w:r>
    </w:p>
    <w:p w14:paraId="580A8AB4" w14:textId="46EEBB23" w:rsidR="00E2668B" w:rsidRPr="004D730A" w:rsidRDefault="00946B57" w:rsidP="00725F53">
      <w:pPr>
        <w:spacing w:after="240"/>
        <w:ind w:left="567" w:hanging="567"/>
        <w:rPr>
          <w:bCs/>
          <w:iCs/>
        </w:rPr>
      </w:pPr>
      <w:r>
        <w:lastRenderedPageBreak/>
        <w:t>47</w:t>
      </w:r>
      <w:r w:rsidR="00E2668B">
        <w:t>.</w:t>
      </w:r>
      <w:r w:rsidR="00E2668B">
        <w:tab/>
      </w:r>
      <w:r w:rsidR="00E2668B" w:rsidRPr="00E2668B">
        <w:t>minder om, at Kommissionens formand Ursula von der Leyen i 2019 gav tilsagn om at sikre, at alle børn i Europa, der er truet af fattigdom eller social udstødelse, har adgang til de mest grundlæggende rettigheder såsom sundhedspleje og uddannelse, hvilket blev efterfulgt af vedtagelsen i 2021 af Rådets henstilling om oprettelse af en europæisk børnegaranti; understreger, at målene for den europæiske børnegaranti ikke kan nås uden et ambitiøst særskilt budget på både EU-plan og nationalt plan; gentager i den forbindelse sin opfordring til et betydeligt særskilt budget på mindst 20 mia. EUR til den europæiske børnegaranti; understreger det presserende behov for, at der afsættes et sådant særskilt budget i den næste flerårige finansielle ramme for at imødegå den voksende udfordring med børnefattigdom og social udstødelse;</w:t>
      </w:r>
    </w:p>
    <w:p w14:paraId="3F490053" w14:textId="77777777" w:rsidR="00725F53" w:rsidRDefault="00725F53" w:rsidP="00725F53">
      <w:pPr>
        <w:spacing w:after="240"/>
        <w:ind w:left="567" w:hanging="567"/>
      </w:pPr>
      <w:r w:rsidRPr="004D730A">
        <w:t>48.</w:t>
      </w:r>
      <w:r w:rsidRPr="004D730A">
        <w:tab/>
        <w:t>opfordrer Kommissionen til at støtte medlemsstaterne i uden ophold at styrke og fuldt ud gennemføre den europæiske børnegaranti for at sikre adgang til effektiv og gratis sundhedspleje, uddannelse, førskoleundervisning og børnepasning, effektiv adgang til passende og anstændige boliger og sund ernæring for alle børn i nød; understreger i denne forbindelse vigtigheden af effektiv og universel adgang til økonomisk overkommelige skolemåltider; fremhæver den centrale rolle, som den europæiske børnegaranti spiller i bekæmpelsen af børnefattigdom og social udstødelse, og anbefaler passende koordinering og forbindelse mellem dette instrument og strategien for bekæmpelse af fattigdom; understreger betydningen af, at medlemsstaterne gennemfører denne fuldt ud og rettidigt; opfordrer Kommissionen og medlemsstaterne til at stille alle ressourcer til rådighed og gøre fuld brug af dem, herunder ESF+ og genopretnings- og resiliensfaciliteten, for effektivt at gennemføre den europæiske børnegaranti, samtidig med at der sikres flere midler til at fremme uddannelsesmæssig inklusion;</w:t>
      </w:r>
    </w:p>
    <w:p w14:paraId="2C6BF3D5" w14:textId="31FCCFFF" w:rsidR="00E2668B" w:rsidRPr="004D730A" w:rsidRDefault="00E2668B" w:rsidP="00725F53">
      <w:pPr>
        <w:spacing w:after="240"/>
        <w:ind w:left="567" w:hanging="567"/>
        <w:rPr>
          <w:bCs/>
          <w:iCs/>
        </w:rPr>
      </w:pPr>
      <w:r>
        <w:t>49.</w:t>
      </w:r>
      <w:r>
        <w:tab/>
      </w:r>
      <w:r w:rsidRPr="00E2668B">
        <w:t>glæder sig over den nylige ajourføring af overvågningsrammen for den europæiske børnegaranti</w:t>
      </w:r>
      <w:r>
        <w:rPr>
          <w:rStyle w:val="FootnoteReference"/>
        </w:rPr>
        <w:footnoteReference w:id="60"/>
      </w:r>
      <w:r w:rsidRPr="00E2668B">
        <w:t xml:space="preserve"> og medtagelsen af nye indikatorer i rammen for at forbedre effektiviteten af overvågningen af fremskridt i gennemførelsen af dette instrument i medlemsstaterne; understreger den vigtige rolle, som dataindsamling og overvågningssystemer spiller for at forstå de hindringer, der gør sig gældende for sårbare børn, og muliggøre skræddersyede interventioner og ressourceallokering; opfordrer Udvalget for Social Beskyttelse til at fortsætte sit arbejde med at forbedre overvågningsrammen for at bevare dens relevans og afhjælpe de resterende datahuller og opfordrer medlemsstaterne til at anvende denne fælles overvågningsramme og samtidig tilpasse den til deres særlige forhold med hensyn til børnefattigdom;</w:t>
      </w:r>
    </w:p>
    <w:p w14:paraId="6E9E4A37" w14:textId="16BBEE7D" w:rsidR="00725F53" w:rsidRPr="004D730A" w:rsidRDefault="00946B57" w:rsidP="00725F53">
      <w:pPr>
        <w:spacing w:after="240"/>
        <w:ind w:left="567" w:hanging="567"/>
        <w:rPr>
          <w:bCs/>
          <w:iCs/>
        </w:rPr>
      </w:pPr>
      <w:r>
        <w:t>50</w:t>
      </w:r>
      <w:r w:rsidR="00725F53" w:rsidRPr="004D730A">
        <w:t>.</w:t>
      </w:r>
      <w:r w:rsidR="00725F53" w:rsidRPr="004D730A">
        <w:tab/>
        <w:t xml:space="preserve">understreger vigtigheden af skolefritidsordninger og af at modvirke skolefrafald; mener, at strategien for bekæmpelse af fattigdom er en mulighed for at fremme kvalitetsforbedring af førskoleundervisning og børnepasning gennem tilstrækkelige finansielle og menneskelige ressourcer, uddannelse for personale, bedre tidlige varslingssystemer og foranstaltninger til evaluering og løbende forbedring af pædagogisk kvalitet, såsom læse-, skrive- og regnefærdigheder, for at sikre børns overordnede udvikling; understreger, at det er vigtigt at lukke vedvarende huller i de funktionelle læse-, skrive- og regnefærdigheder gennem målrettede interventioner i formelle og uformelle uddannelsesmiljøer for at mindske betydelige hindringer for at </w:t>
      </w:r>
      <w:r w:rsidR="00725F53" w:rsidRPr="004D730A">
        <w:lastRenderedPageBreak/>
        <w:t>overvinde fattigdom;</w:t>
      </w:r>
    </w:p>
    <w:p w14:paraId="4992068F" w14:textId="48C08F9C" w:rsidR="00725F53" w:rsidRPr="004D730A" w:rsidRDefault="00946B57" w:rsidP="00725F53">
      <w:pPr>
        <w:spacing w:after="240"/>
        <w:ind w:left="567" w:hanging="567"/>
        <w:rPr>
          <w:bCs/>
          <w:iCs/>
        </w:rPr>
      </w:pPr>
      <w:r>
        <w:t>51</w:t>
      </w:r>
      <w:r w:rsidR="00725F53" w:rsidRPr="004D730A">
        <w:t>.</w:t>
      </w:r>
      <w:r w:rsidR="00725F53" w:rsidRPr="004D730A">
        <w:tab/>
        <w:t xml:space="preserve">opfordrer Kommissionen til at sikre, at den europæiske børnegaranti </w:t>
      </w:r>
      <w:r w:rsidR="00E2668B" w:rsidRPr="00E2668B">
        <w:t xml:space="preserve">tildeles </w:t>
      </w:r>
      <w:r w:rsidR="00725F53" w:rsidRPr="004D730A">
        <w:t xml:space="preserve">et særskilt budget </w:t>
      </w:r>
      <w:r w:rsidR="00E2668B" w:rsidRPr="00E2668B">
        <w:t>med betydelige midler</w:t>
      </w:r>
      <w:r w:rsidR="00725F53" w:rsidRPr="004D730A">
        <w:t>, der gennemføres gennem ESF+, med henblik på at reagere på de voksende udfordringer i forbindelse med børnefattigdom og social udstødelse, og at medlemsstaterne tildeler mindst 5 % af ESF+-midlerne til specifikke projekter og strukturelle investeringer til bekæmpelse af børnefattigdom, idet mindst 10 % øremærkes til medlemsstater, hvor niveauet af børnefattigdom og social udstødelse ligger over EU-gennemsnittet; understreger, at denne investering i den næste generation ud over at sikre børns trivsel er en sund investering, der vil forhindre fremtidige samfundsmæssige omkostninger</w:t>
      </w:r>
      <w:r w:rsidR="00725F53" w:rsidRPr="004D730A">
        <w:rPr>
          <w:rStyle w:val="FootnoteReference"/>
        </w:rPr>
        <w:footnoteReference w:id="61"/>
      </w:r>
      <w:r w:rsidR="00725F53" w:rsidRPr="004D730A">
        <w:t>; understreger, at anvendelsen af disse midler bør være gennemsigtig og kræve inddragelse af sociale organisationer i planlægningen, gennemførelsen og evalueringen heraf;</w:t>
      </w:r>
    </w:p>
    <w:p w14:paraId="0212690E" w14:textId="1E521F80" w:rsidR="00725F53" w:rsidRPr="004D730A" w:rsidRDefault="00946B57" w:rsidP="00725F53">
      <w:pPr>
        <w:pStyle w:val="NormalHanging12a"/>
        <w:rPr>
          <w:bCs/>
          <w:iCs/>
        </w:rPr>
      </w:pPr>
      <w:r>
        <w:t>52</w:t>
      </w:r>
      <w:r w:rsidR="00725F53" w:rsidRPr="004D730A">
        <w:t>.</w:t>
      </w:r>
      <w:r w:rsidR="00725F53" w:rsidRPr="004D730A">
        <w:tab/>
        <w:t>gentager sin opfordring til Kommissionen om nøje at overvåge gennemførelsen af den europæisk børnegaranti i alle medlemsstaterne som led i det europæiske semester og de landespecifikke henstillinger; mener, at de landespecifikke henstillinger bør afspejle medlemsstaternes budgetmæssige overholdelse af minimumskravet for tildeling til bekæmpelse af børnefattigdom, der er fastsat i ESF+-forordningen;</w:t>
      </w:r>
    </w:p>
    <w:p w14:paraId="1754EE0B" w14:textId="4F8F4472" w:rsidR="00725F53" w:rsidRPr="004D730A" w:rsidRDefault="00946B57" w:rsidP="00725F53">
      <w:pPr>
        <w:spacing w:after="240"/>
        <w:ind w:left="567" w:hanging="567"/>
        <w:rPr>
          <w:bCs/>
          <w:iCs/>
        </w:rPr>
      </w:pPr>
      <w:r>
        <w:t>53</w:t>
      </w:r>
      <w:r w:rsidR="00725F53" w:rsidRPr="004D730A">
        <w:t>.</w:t>
      </w:r>
      <w:r w:rsidR="00725F53" w:rsidRPr="004D730A">
        <w:tab/>
        <w:t>opfordrer indtrængende medlemsstaterne til at sikre børnepasning af høj kvalitet, der er tilgængelig for alle, med det formål at støtte førskoleundervisning og børnepasning som afgørende drivkræfter til at bryde fattigdomscyklussen og øge forældrenes deltagelse på arbejdsmarkedet i erkendelse af, at omsorgsforpligtelser i uforholdsmæssigt høj grad påhviler kvinder;</w:t>
      </w:r>
    </w:p>
    <w:p w14:paraId="303CD911" w14:textId="4641A62D" w:rsidR="00725F53" w:rsidRPr="004D730A" w:rsidRDefault="00946B57" w:rsidP="00725F53">
      <w:pPr>
        <w:spacing w:after="240"/>
        <w:ind w:left="567" w:hanging="567"/>
        <w:rPr>
          <w:bCs/>
          <w:iCs/>
        </w:rPr>
      </w:pPr>
      <w:r>
        <w:t>54</w:t>
      </w:r>
      <w:r w:rsidR="00725F53" w:rsidRPr="004D730A">
        <w:t>.</w:t>
      </w:r>
      <w:r w:rsidR="00725F53" w:rsidRPr="004D730A">
        <w:tab/>
        <w:t>opfordrer medlemsstaterne til at sikre en børnefokuseret orientering i deres sociale beskyttelsessystemer og til at styrke dem ved at give specifikke fordele til børn i nød for at støtte deres udvikling og trivsel såsom børnetilskud, skolemåltider og programmer til at mindske omkostningerne ved kulturelle aktiviteter og sports- og fritidsaktiviteter;</w:t>
      </w:r>
    </w:p>
    <w:p w14:paraId="29602D14" w14:textId="5F90E13D" w:rsidR="00725F53" w:rsidRPr="004D730A" w:rsidRDefault="00946B57" w:rsidP="00725F53">
      <w:pPr>
        <w:spacing w:after="240"/>
        <w:ind w:left="567" w:hanging="567"/>
      </w:pPr>
      <w:r>
        <w:t>55</w:t>
      </w:r>
      <w:r w:rsidR="00725F53" w:rsidRPr="004D730A">
        <w:t>.</w:t>
      </w:r>
      <w:r w:rsidR="00725F53" w:rsidRPr="004D730A">
        <w:tab/>
        <w:t>understreger, at børn, der er ramt af fattigdom og social udstødelse, står over for vanskeligheder på forskellige områder af deres udvikling; understreger i denne forbindelse betydningen af en tværsektoriel tilgang, hvor alle relevante interessenter arbejder i partnerskab for at udvikle en integreret strategi til at udpege vanskeligheder og bekæmpe uligheder i barndommen, yde beskyttelse af børn og støtte til familier; fremhæver, at nogle børn og deres familier, der er ramt af fattigdom, kan have brug for specifik støtte, f.eks. fra talepædagoger, øjenlæger, psykologer, ergoterapeuter og ernæringseksperter; opfordrer til, at strategien for bekæmpelse af fattigdom aktivt fremmer partnerskaber mellem uddannelsestjenester, sundhedstjenester og sociale tjenester for at lette adgangen til pleje og overførsel af oplysninger mellem tjenester med henblik på at forbedre integrerede støtte- og koordineringsmekanismer for børn i nød;</w:t>
      </w:r>
    </w:p>
    <w:p w14:paraId="69AE322D" w14:textId="541DD9A5" w:rsidR="00725F53" w:rsidRDefault="00946B57" w:rsidP="00725F53">
      <w:pPr>
        <w:spacing w:after="240"/>
        <w:ind w:left="567" w:hanging="567"/>
      </w:pPr>
      <w:r>
        <w:t>56</w:t>
      </w:r>
      <w:r w:rsidR="00725F53" w:rsidRPr="004D730A">
        <w:t>.</w:t>
      </w:r>
      <w:r w:rsidR="00725F53" w:rsidRPr="004D730A">
        <w:tab/>
        <w:t xml:space="preserve">opfordrer Kommissionen og medlemsstaterne til at sikre alle børns ret til familieliv, hvilket betyder, at fattigdom, usikre boligsituationer eller manglende adgang til tilstrækkelige offentlige tjenester aldrig anvendes som det eneste grundlag for at anbringe børn i institutionel pleje; anbefaler, at medlemsstaterne udvikler nationale forebyggelsesstrategier og proaktive socialpolitikker for at forhindre, at børn adskilles </w:t>
      </w:r>
      <w:r w:rsidR="00725F53" w:rsidRPr="004D730A">
        <w:lastRenderedPageBreak/>
        <w:t>fra deres familiemiljø; opfordrer medlemsstaterne til at sikre, at institutionalisering af børn og unge betragtes som en sidste udvej, og til at investere i sikre plejesystemer for børn og unge for at lette overgangen fra institutionel pleje til familiepleje og pleje i nærmiljøet; anbefaler, at medlemsstaterne udformer og gennemfører overvågningsmekanismer for at udpege fattigdomsrelateret familieadskillelse;</w:t>
      </w:r>
    </w:p>
    <w:p w14:paraId="46F80E6D" w14:textId="054B329F" w:rsidR="009D5730" w:rsidRPr="004D730A" w:rsidRDefault="00946B57" w:rsidP="00725F53">
      <w:pPr>
        <w:spacing w:after="240"/>
        <w:ind w:left="567" w:hanging="567"/>
        <w:rPr>
          <w:bCs/>
          <w:iCs/>
        </w:rPr>
      </w:pPr>
      <w:r>
        <w:t>57</w:t>
      </w:r>
      <w:r w:rsidR="009D5730">
        <w:t>.</w:t>
      </w:r>
      <w:r w:rsidR="009D5730">
        <w:tab/>
      </w:r>
      <w:r w:rsidR="009D5730" w:rsidRPr="009D5730">
        <w:t>minder om EU's målsætning om omstilling fra institutionel pleje til lokalsamfunds- eller familiebaseret pleje; anerkender den mulighed, som strategien for bekæmpelse af fattigdom giver for at bygge bro med den europæiske børnegaranti, især med foranstaltninger til støtte for målgruppen af børn i institutionel pleje; opfordrer medlemsstaterne til at gøre fuld brug af ESF+ samt andre relevante europæiske og nationale midler med henblik på at afslutte afinstitutionaliseringsprocessen for at sikre, at børn kan leve i et familie- eller lokalmiljø;</w:t>
      </w:r>
    </w:p>
    <w:p w14:paraId="5AC7E75A" w14:textId="18336BC8" w:rsidR="00725F53" w:rsidRPr="004D730A" w:rsidRDefault="00946B57" w:rsidP="00725F53">
      <w:pPr>
        <w:spacing w:after="240"/>
        <w:ind w:left="567" w:hanging="567"/>
        <w:rPr>
          <w:bCs/>
          <w:iCs/>
        </w:rPr>
      </w:pPr>
      <w:r>
        <w:t>58</w:t>
      </w:r>
      <w:r w:rsidR="00725F53" w:rsidRPr="004D730A">
        <w:t>.</w:t>
      </w:r>
      <w:r w:rsidR="00725F53" w:rsidRPr="004D730A">
        <w:tab/>
        <w:t>fordømmer alle former for vold, misbrug, udnyttelse og forsømmelse af børn; opfordrer Kommissionen og medlemsstaterne til at sørge for investeringer i børnebeskyttelsessystemer, herunder håndtering af vold mod og blandt børn, f.eks. cybervold og -mobning, især når det er baseret på socioøkonomiske grunde og påvirker sårbare børn, for at tilskynde til udveksling af bedste praksis på dette område med henblik på at udrydde vold og chikane;</w:t>
      </w:r>
    </w:p>
    <w:p w14:paraId="42033CF7" w14:textId="77777777" w:rsidR="00725F53" w:rsidRPr="004D730A" w:rsidRDefault="00725F53" w:rsidP="00725F53">
      <w:pPr>
        <w:spacing w:after="240"/>
        <w:ind w:left="567" w:hanging="567"/>
        <w:rPr>
          <w:b/>
          <w:bCs/>
          <w:i/>
          <w:iCs/>
        </w:rPr>
      </w:pPr>
      <w:r w:rsidRPr="004D730A">
        <w:rPr>
          <w:b/>
          <w:i/>
        </w:rPr>
        <w:t>Bekæmpelse af fattigdom gennem øget demokratisk deltagelse</w:t>
      </w:r>
    </w:p>
    <w:p w14:paraId="11469E55" w14:textId="07BA8D29" w:rsidR="00725F53" w:rsidRPr="004D730A" w:rsidRDefault="00946B57" w:rsidP="00725F53">
      <w:pPr>
        <w:spacing w:after="240"/>
        <w:ind w:left="567" w:hanging="567"/>
      </w:pPr>
      <w:r>
        <w:t>59</w:t>
      </w:r>
      <w:r w:rsidR="00725F53" w:rsidRPr="004D730A">
        <w:t>.</w:t>
      </w:r>
      <w:r w:rsidR="00725F53" w:rsidRPr="004D730A">
        <w:tab/>
        <w:t>opfordrer Kommissionen og medlemsstaterne til at sikre passende, effektive og gennemsigtige mekanismer til at fremme meningsfuld og vedvarende deltagelse af personer, der selv har prøvet at leve i fattigdom, i alle stadier af den politiske beslutningstagning, herunder udformningen, gennemførelsen og evalueringen af politikker, der berører personer, der lever i fattigdom, hvilket skal gå hånd i hånd med en metodologi og kapacitetsopbygning, der muliggør en sådan deltagelse, og føre til medskabelse og ikke blot høring i overensstemmelse med princippet "intet om os uden os";</w:t>
      </w:r>
    </w:p>
    <w:p w14:paraId="5D34EB1C" w14:textId="1AC60589" w:rsidR="00725F53" w:rsidRPr="004D730A" w:rsidRDefault="00946B57" w:rsidP="00725F53">
      <w:pPr>
        <w:spacing w:after="240"/>
        <w:ind w:left="567" w:hanging="567"/>
      </w:pPr>
      <w:r>
        <w:t>60</w:t>
      </w:r>
      <w:r w:rsidR="00725F53" w:rsidRPr="004D730A">
        <w:t>.</w:t>
      </w:r>
      <w:r w:rsidR="00725F53" w:rsidRPr="004D730A">
        <w:tab/>
        <w:t>anbefaler, at der afholdes en årlig konference for at vurdere gennemførelsen af strategien for bekæmpelse af fattigdom med en bred og forskelligartet sammensætning, herunder personer, der selv har prøvet at leve i fattigdom, særlig kvinder; fremhæver, at konferencen bør bidrage til EU's formelle overvågning af strategien til bekæmpelse af fattigdom ved at give plads til at gennemgå fremskridt i forhold til klare benchmarks og indikatorer; opfordrer i denne forbindelse til, at den direkte deltagelse af personer, der har prøvet at leve i fattigdom, aktivt støttes og anerkendes som afgørende for at evaluere den faktiske virkning af strategien til bekæmpelse af fattigdom;</w:t>
      </w:r>
    </w:p>
    <w:p w14:paraId="522C6EE8" w14:textId="39CF0F9E" w:rsidR="00725F53" w:rsidRPr="004D730A" w:rsidRDefault="00946B57" w:rsidP="00725F53">
      <w:pPr>
        <w:spacing w:after="240"/>
        <w:ind w:left="567" w:hanging="567"/>
        <w:rPr>
          <w:bCs/>
          <w:iCs/>
        </w:rPr>
      </w:pPr>
      <w:r>
        <w:t>61</w:t>
      </w:r>
      <w:r w:rsidR="00725F53" w:rsidRPr="004D730A">
        <w:t>.</w:t>
      </w:r>
      <w:r w:rsidR="00725F53" w:rsidRPr="004D730A">
        <w:tab/>
        <w:t>anerkender betydningen af de forskellige sociale organisationer, herunder nonprofitorganisationer, der er involveret i bekæmpelse og forebyggelse af fattigdom, og den rolle, som disse organisationer spiller i bekæmpelsen af fattigdom, og understreger behovet for på meningsfuld vis at inddrage dem og øge de ressourcer, der afsættes til at støtte deres arbejde;</w:t>
      </w:r>
    </w:p>
    <w:p w14:paraId="0DA79D0A" w14:textId="77777777" w:rsidR="00725F53" w:rsidRPr="004D730A" w:rsidRDefault="00725F53" w:rsidP="00725F53">
      <w:pPr>
        <w:spacing w:after="240"/>
        <w:ind w:left="567" w:hanging="567"/>
        <w:rPr>
          <w:b/>
          <w:bCs/>
          <w:i/>
          <w:iCs/>
        </w:rPr>
      </w:pPr>
      <w:r w:rsidRPr="004D730A">
        <w:rPr>
          <w:b/>
          <w:i/>
        </w:rPr>
        <w:t>Hensigtsmæssig institutionel koordinering og styring</w:t>
      </w:r>
    </w:p>
    <w:p w14:paraId="72404B8B" w14:textId="5796F8BD" w:rsidR="00725F53" w:rsidRPr="004D730A" w:rsidRDefault="00946B57" w:rsidP="00725F53">
      <w:pPr>
        <w:spacing w:after="240"/>
        <w:ind w:left="567" w:hanging="567"/>
      </w:pPr>
      <w:r>
        <w:t>62</w:t>
      </w:r>
      <w:r w:rsidR="00725F53" w:rsidRPr="004D730A">
        <w:t>.</w:t>
      </w:r>
      <w:r w:rsidR="00725F53" w:rsidRPr="004D730A">
        <w:tab/>
        <w:t xml:space="preserve">understreger, at fattigdomsbekæmpelsesstrategiens succes også vil afhænge af en intersektionel tilgang og tilstrækkelig finansiering samt passende horisontal koordinering på flere niveauer mellem alle forvaltnings- og </w:t>
      </w:r>
      <w:r w:rsidR="00725F53" w:rsidRPr="004D730A">
        <w:lastRenderedPageBreak/>
        <w:t>beslutningstagningsniveauer, der er involveret i dens gennemførelse; gentager, at en omfattende integration af strategien for bekæmpelse af fattigdom i alle relevante politikker er nødvendig for at sikre sammenhæng, virkning og langsigtet bæredygtighed;</w:t>
      </w:r>
    </w:p>
    <w:p w14:paraId="279EF534" w14:textId="55D14A6B" w:rsidR="00725F53" w:rsidRPr="004D730A" w:rsidRDefault="00946B57" w:rsidP="00725F53">
      <w:pPr>
        <w:spacing w:after="240"/>
        <w:ind w:left="567" w:hanging="567"/>
        <w:rPr>
          <w:szCs w:val="24"/>
        </w:rPr>
      </w:pPr>
      <w:r>
        <w:t>63</w:t>
      </w:r>
      <w:r w:rsidR="00725F53" w:rsidRPr="004D730A">
        <w:t>.</w:t>
      </w:r>
      <w:r w:rsidR="00725F53" w:rsidRPr="004D730A">
        <w:tab/>
        <w:t>mener, at omfanget af ansvaret på EU-plan, medlemsstatsplan og regionalt plan for at nå målet om at udrydde fattigdom bør defineres hensigtsmæssigt i overensstemmelse med nærhedsprincippet;</w:t>
      </w:r>
    </w:p>
    <w:p w14:paraId="1831A056" w14:textId="5920C9F4" w:rsidR="00725F53" w:rsidRPr="004D730A" w:rsidRDefault="00946B57" w:rsidP="00725F53">
      <w:pPr>
        <w:spacing w:after="240"/>
        <w:ind w:left="567" w:hanging="567"/>
      </w:pPr>
      <w:r>
        <w:t>64</w:t>
      </w:r>
      <w:r w:rsidR="00725F53" w:rsidRPr="004D730A">
        <w:t>.</w:t>
      </w:r>
      <w:r w:rsidR="00725F53" w:rsidRPr="004D730A">
        <w:tab/>
        <w:t>opfordrer Kommissionen til at indføre et horisontalt princip i strategien for bekæmpelse af fattigdom med krav om, at der for alle relevante EU-sektorpolitikker skal foretages en forudgående konsekvensanalyse af fattigdom og ulighed, herunder gennem fordelingsmæssige konsekvensanalyser</w:t>
      </w:r>
      <w:r w:rsidR="00725F53" w:rsidRPr="004D730A">
        <w:rPr>
          <w:rStyle w:val="FootnoteReference"/>
        </w:rPr>
        <w:footnoteReference w:id="62"/>
      </w:r>
      <w:r w:rsidR="00725F53" w:rsidRPr="004D730A">
        <w:t>, med særlig vægt på virkningerne for dem, der er i størst risiko for at opleve social udstødelse og ekstrem fattigdom;</w:t>
      </w:r>
    </w:p>
    <w:p w14:paraId="42E0D1EB" w14:textId="59F082BC" w:rsidR="00725F53" w:rsidRPr="004D730A" w:rsidRDefault="00946B57" w:rsidP="00725F53">
      <w:pPr>
        <w:spacing w:after="240"/>
        <w:ind w:left="567" w:hanging="567"/>
        <w:rPr>
          <w:bCs/>
          <w:iCs/>
        </w:rPr>
      </w:pPr>
      <w:r>
        <w:t>65</w:t>
      </w:r>
      <w:r w:rsidR="00725F53" w:rsidRPr="004D730A">
        <w:t>.</w:t>
      </w:r>
      <w:r w:rsidR="00725F53" w:rsidRPr="004D730A">
        <w:tab/>
        <w:t>understreger behovet for, at EU fortsat fokuserer på bekæmpelse af hjemløshed, ekstrem fattigdom og social udstødelse gennem passende finansiel støtte, fremme af gensidig læring med hensyn til medlemsstaternes strategier og erfaringer og etablering af en systematisk tilgang til at overvåge fremskridt og effektiviteten af de trufne foranstaltninger;</w:t>
      </w:r>
    </w:p>
    <w:p w14:paraId="1A2E46CD" w14:textId="77777777" w:rsidR="00725F53" w:rsidRPr="004D730A" w:rsidRDefault="00725F53" w:rsidP="00725F53">
      <w:pPr>
        <w:spacing w:after="240"/>
        <w:ind w:left="567" w:hanging="567"/>
        <w:rPr>
          <w:bCs/>
          <w:iCs/>
        </w:rPr>
      </w:pPr>
      <w:r w:rsidRPr="004D730A">
        <w:t>66.</w:t>
      </w:r>
      <w:r w:rsidRPr="004D730A">
        <w:tab/>
        <w:t>minder om, at indikatoren for risiko for fattigdom eller social udstødelse ikke omfatter de grundlæggende årsager til fattigdom, idet den navnlig udelader personer, der bor uden for private husholdninger, kvalitative aspekter af fattigdom og folks egne erfaringer med marginalisering; understreger, at fattigdom rækker ud over utilstrækkelig indkomst eller materielle afsavn; opfordrer Udvalget for Social Beskyttelse til at samarbejde med relevante interessenter om at forny målingen af statistikken for risikoen for fattigdom eller social udstødelse for at udvide den i retning af et stærkere, opdelt og mere flerdimensionelt billede af fattigdom og social udstødelse;</w:t>
      </w:r>
    </w:p>
    <w:p w14:paraId="7C5EE5DC" w14:textId="63636CC9" w:rsidR="00725F53" w:rsidRPr="004D730A" w:rsidRDefault="00725F53" w:rsidP="00725F53">
      <w:pPr>
        <w:spacing w:after="240"/>
        <w:ind w:left="567" w:hanging="567"/>
      </w:pPr>
      <w:r w:rsidRPr="004D730A">
        <w:t>67.</w:t>
      </w:r>
      <w:r w:rsidRPr="004D730A">
        <w:tab/>
        <w:t>understreger, at strategien for bekæmpelse af fattigdom kun vil give resultater, hvis den ledsages af tilstrækkelig finansiering på EU-plan og nationalt plan; insisterer på behovet for at beskytte og styrke samhørighedspolitikken for fortsat at støtte den økonomiske, sociale og territoriale samhørighed og bekæmpe asymmetrier mellem og i EU-medlemsstaterne under den næste FFR; opfordrer i denne forbindelse til en tilstrækkelig og øremærket tildeling af midler til at styrke politikker, der bidrager til at udrydde fattigdom, herunder målrettet støtte til marginaliserede og sårbare grupper; fremhæver den afgørende rolle, som ESF+ spiller med hensyn til at fremme social inklusion og bekæmpe fattigdom, navnlig ved at yde bistand til de socialt dårligst stillede og den europæiske børnegaranti samt Den Europæiske Fond for Regionaludvikling (EFRU) og Asyl-, Migrations- og Integrationsfonden i denne forbindelse; understreger vigtigheden af at optimere brugen af EU-midler, herunder genopretnings- og resiliensfaciliteten, til at finansiere konkrete fattigdomsbekæmpende foranstaltninger såsom økonomisk overkommelige og energieffektive boliger, adgang til førskoleundervisning og børnepasning af høj kvalitet</w:t>
      </w:r>
      <w:r w:rsidR="009D5730">
        <w:t xml:space="preserve"> </w:t>
      </w:r>
      <w:r w:rsidR="009D5730" w:rsidRPr="009D5730">
        <w:t>f.eks. gennem EU-skoleordningen</w:t>
      </w:r>
      <w:r w:rsidRPr="004D730A">
        <w:t>, tilgængelig offentlig transport og målrettet energistøtte til lavindkomsthusholdninger;</w:t>
      </w:r>
      <w:r w:rsidR="009D5730">
        <w:t xml:space="preserve"> </w:t>
      </w:r>
      <w:r w:rsidR="009D5730" w:rsidRPr="009D5730">
        <w:t xml:space="preserve">understreger behovet for at sikre en dedikeret og tilstrækkeligt finansieret tildeling af midler til fødevarebanker, der yder materiel støtte, herunder fødevarehjælp, således at de har tilstrækkelig operationel kapacitet og evne til at reagere hurtigt på stigende niveauer af </w:t>
      </w:r>
      <w:r w:rsidR="009D5730" w:rsidRPr="009D5730">
        <w:lastRenderedPageBreak/>
        <w:t>fødevareusikkerhed og materielle afsavn; understreger, at en sådan støtte skal suppleres af ledsageforanstaltninger, der fremmer social inklusion og veje ud af fattigdom i overensstemmelse med ESF Plus-reglerne;</w:t>
      </w:r>
    </w:p>
    <w:p w14:paraId="5FA51C63" w14:textId="77777777" w:rsidR="00725F53" w:rsidRPr="004D730A" w:rsidRDefault="00725F53" w:rsidP="00725F53">
      <w:pPr>
        <w:spacing w:after="240"/>
        <w:ind w:left="567" w:hanging="567"/>
        <w:rPr>
          <w:bCs/>
          <w:iCs/>
        </w:rPr>
      </w:pPr>
      <w:r w:rsidRPr="004D730A">
        <w:t>68.</w:t>
      </w:r>
      <w:r w:rsidRPr="004D730A">
        <w:tab/>
        <w:t>minder om de tematiske støttebetingelser for EFRU, ESF+ og Samhørighedsfonden, der er fastsat i bilag IV til Europa-Parlamentets forordning (EU) 2021/1060</w:t>
      </w:r>
      <w:r w:rsidRPr="004D730A">
        <w:rPr>
          <w:rStyle w:val="FootnoteReference"/>
          <w:bCs/>
          <w:iCs/>
        </w:rPr>
        <w:footnoteReference w:id="63"/>
      </w:r>
      <w:r w:rsidRPr="004D730A">
        <w:t xml:space="preserve"> om fælles bestemmelser for disse fonde, navnlig støttebetingelse 4.4, med titlen "En national strategisk politikramme for social inklusion og fattigdomsbekæmpelse"; understreger vigtigheden af at sammenkæde strategien for bekæmpelse af fattigdom og dens finansiering med de tidligere definerede specifikke mål; opfordrer Kommissionen og Rådet til at sikre, at de fælles bestemmelser for EFRU og ESF+ bedre afspejler disse specifikke mål, og til at indarbejde strategien for bekæmpelse af fattigdom, såvel som integration af kønsaspektet, i den næste FFR;</w:t>
      </w:r>
    </w:p>
    <w:p w14:paraId="5C3ED85B" w14:textId="77777777" w:rsidR="00725F53" w:rsidRPr="004D730A" w:rsidRDefault="00725F53" w:rsidP="00725F53">
      <w:pPr>
        <w:spacing w:after="240"/>
        <w:ind w:left="567" w:hanging="567"/>
        <w:rPr>
          <w:bCs/>
          <w:iCs/>
        </w:rPr>
      </w:pPr>
      <w:r w:rsidRPr="004D730A">
        <w:t>69.</w:t>
      </w:r>
      <w:r w:rsidRPr="004D730A">
        <w:tab/>
        <w:t>minder om, at blandt andet energi og transport er centrale væsentlige tjenester, som alle bør have adgang til, og insisterer derfor på, at der lægges ekstra vægt på de sociale klimaplaner, som medlemsstaterne skal udforme og gennemføre under Den Sociale Klimafond, og at der investeres i energieffektivitet, renovering af boliger og tilgængeligheden og prisoverkommeligheden af vedvarende energikilder og transportsystemer; opfordrer medlemsstaterne til aktivt at inddrage personer i sårbare situationer, således at støtten effektivt kan nå ud til dem, der har mest brug for den; opfordrer medlemsstaterne til at udveksle bedste praksis om bekæmpelse af energifattigdom såsom energikuponer og regulering af energipriser;</w:t>
      </w:r>
    </w:p>
    <w:p w14:paraId="71FF0574" w14:textId="77777777" w:rsidR="00725F53" w:rsidRDefault="00725F53" w:rsidP="00725F53">
      <w:pPr>
        <w:spacing w:after="240"/>
        <w:ind w:left="567" w:hanging="567"/>
      </w:pPr>
      <w:r w:rsidRPr="004D730A">
        <w:t>70.</w:t>
      </w:r>
      <w:r w:rsidRPr="004D730A">
        <w:tab/>
        <w:t>understreger, at det på lokalt plan og for organisationer med færre tekniske ressourcer er vanskeligt at få adgang til EU-midler på grund af deres kompleksitet; understreger behovet for at forenkle gennemførelsen af EU's finansieringsmekanismer og ordningerne for at stille disse midler til rådighed for de endelige støttemodtagere samt for at uddanne personale hos de relevante offentlige myndigheder og i organisationerne; understreger, at i henhold til ESF+-forordningen skal medfinansieringssatsen for støtte til de socialt dårligst stillede personer fortsætte og forblive på eller omkring 90 %, hvilket bør lette adgangen til denne finansiering for programmer og aktiviteter, der har til formål at bidrage til at udrydde fattigdom;</w:t>
      </w:r>
    </w:p>
    <w:p w14:paraId="1B95E279" w14:textId="601DED55" w:rsidR="00CE7BC8" w:rsidRDefault="00CE7BC8" w:rsidP="00CE7BC8">
      <w:pPr>
        <w:widowControl/>
        <w:spacing w:after="240"/>
        <w:jc w:val="center"/>
        <w:rPr>
          <w:bCs/>
          <w:iCs/>
        </w:rPr>
      </w:pPr>
      <w:r>
        <w:rPr>
          <w:bCs/>
          <w:iCs/>
        </w:rPr>
        <w:t>°</w:t>
      </w:r>
    </w:p>
    <w:p w14:paraId="2637E917" w14:textId="49F5DB2A" w:rsidR="00CE7BC8" w:rsidRDefault="00CE7BC8" w:rsidP="00CE7BC8">
      <w:pPr>
        <w:widowControl/>
        <w:spacing w:after="240"/>
        <w:jc w:val="center"/>
        <w:rPr>
          <w:bCs/>
          <w:iCs/>
        </w:rPr>
      </w:pPr>
      <w:r>
        <w:rPr>
          <w:bCs/>
          <w:iCs/>
        </w:rPr>
        <w:t>°     °</w:t>
      </w:r>
    </w:p>
    <w:p w14:paraId="52E62A81" w14:textId="5436635B" w:rsidR="00E365E1" w:rsidRPr="004D730A" w:rsidRDefault="00725F53" w:rsidP="00CE2801">
      <w:pPr>
        <w:pStyle w:val="NormalHanging12a"/>
      </w:pPr>
      <w:r w:rsidRPr="004D730A">
        <w:t>71.</w:t>
      </w:r>
      <w:r w:rsidRPr="004D730A">
        <w:tab/>
        <w:t>pålægger sin formand at fremsende denne beslutning til Rådet og Kommissionen.</w:t>
      </w:r>
    </w:p>
    <w:sectPr w:rsidR="00E365E1" w:rsidRPr="004D730A" w:rsidSect="004D730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3195" w14:textId="77777777" w:rsidR="000008D7" w:rsidRPr="004D730A" w:rsidRDefault="000008D7">
      <w:r w:rsidRPr="004D730A">
        <w:separator/>
      </w:r>
    </w:p>
  </w:endnote>
  <w:endnote w:type="continuationSeparator" w:id="0">
    <w:p w14:paraId="5B8BD005" w14:textId="77777777" w:rsidR="000008D7" w:rsidRPr="004D730A" w:rsidRDefault="000008D7">
      <w:r w:rsidRPr="004D7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BAE5" w14:textId="77777777" w:rsidR="000008D7" w:rsidRPr="004D730A" w:rsidRDefault="000008D7">
      <w:r w:rsidRPr="004D730A">
        <w:separator/>
      </w:r>
    </w:p>
  </w:footnote>
  <w:footnote w:type="continuationSeparator" w:id="0">
    <w:p w14:paraId="15C57EE9" w14:textId="77777777" w:rsidR="000008D7" w:rsidRPr="004D730A" w:rsidRDefault="000008D7">
      <w:r w:rsidRPr="004D730A">
        <w:continuationSeparator/>
      </w:r>
    </w:p>
  </w:footnote>
  <w:footnote w:id="1">
    <w:p w14:paraId="39F1D0C6" w14:textId="4B19C3A5"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Sachs, J.D., Lafortune, G., Fuller, G. og Iablonovski, G., </w:t>
      </w:r>
      <w:r w:rsidRPr="004D730A">
        <w:rPr>
          <w:i/>
          <w:sz w:val="24"/>
          <w:lang w:val="da-DK"/>
        </w:rPr>
        <w:t>Sustainable Development Report 2025 – Financing Sustainable Development to 2030 and Mid-Century</w:t>
      </w:r>
      <w:r w:rsidRPr="004D730A">
        <w:rPr>
          <w:sz w:val="24"/>
          <w:lang w:val="da-DK"/>
        </w:rPr>
        <w:t>, Dublin University Press, Dublin, Irland, 2025.</w:t>
      </w:r>
    </w:p>
  </w:footnote>
  <w:footnote w:id="2">
    <w:p w14:paraId="0CE31F10" w14:textId="068658CE"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EFT L 180 af 19.7.2000, s. 22, ELI: </w:t>
      </w:r>
      <w:hyperlink r:id="rId1" w:tooltip="Giver adgang til dette dokument via dets ELI-URI." w:history="1">
        <w:r w:rsidRPr="004D730A">
          <w:rPr>
            <w:rStyle w:val="Hyperlink"/>
            <w:sz w:val="24"/>
            <w:lang w:val="da-DK"/>
          </w:rPr>
          <w:t>http://data.europa.eu/eli/dir/2000/43/oj</w:t>
        </w:r>
      </w:hyperlink>
      <w:r w:rsidRPr="004D730A">
        <w:rPr>
          <w:sz w:val="24"/>
          <w:lang w:val="da-DK"/>
        </w:rPr>
        <w:t>.</w:t>
      </w:r>
    </w:p>
  </w:footnote>
  <w:footnote w:id="3">
    <w:p w14:paraId="002B6835" w14:textId="66B5E01F"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EFT L 303 af 2.12.2000, s. 16, ELI: </w:t>
      </w:r>
      <w:hyperlink r:id="rId2" w:tooltip="Giver adgang til dette dokument via dets ELI-URI." w:history="1">
        <w:r w:rsidRPr="004D730A">
          <w:rPr>
            <w:rStyle w:val="Hyperlink"/>
            <w:sz w:val="24"/>
            <w:lang w:val="da-DK"/>
          </w:rPr>
          <w:t>http://data.europa.eu/eli/dir/2000/78/oj</w:t>
        </w:r>
      </w:hyperlink>
      <w:r w:rsidRPr="004D730A">
        <w:rPr>
          <w:sz w:val="24"/>
          <w:lang w:val="da-DK"/>
        </w:rPr>
        <w:t>.</w:t>
      </w:r>
    </w:p>
  </w:footnote>
  <w:footnote w:id="4">
    <w:p w14:paraId="1C495FFF" w14:textId="18E506E8"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L 188 af 12.7.2019, s. 79, ELI: </w:t>
      </w:r>
      <w:hyperlink r:id="rId3" w:tooltip="Giver adgang til dette dokument via dets ELI-URI." w:history="1">
        <w:r w:rsidRPr="004D730A">
          <w:rPr>
            <w:rStyle w:val="Hyperlink"/>
            <w:sz w:val="24"/>
            <w:lang w:val="da-DK"/>
          </w:rPr>
          <w:t>http://data.europa.eu/eli/dir/2019/1158/oj</w:t>
        </w:r>
      </w:hyperlink>
      <w:r w:rsidRPr="004D730A">
        <w:rPr>
          <w:sz w:val="24"/>
          <w:lang w:val="da-DK"/>
        </w:rPr>
        <w:t>.</w:t>
      </w:r>
    </w:p>
  </w:footnote>
  <w:footnote w:id="5">
    <w:p w14:paraId="45F46998" w14:textId="24E6F768"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L 275 af 25.10.2022, s. 33, ELI: </w:t>
      </w:r>
      <w:hyperlink r:id="rId4" w:tooltip="Giver adgang til dette dokument via dets ELI-URI." w:history="1">
        <w:r w:rsidRPr="004D730A">
          <w:rPr>
            <w:rStyle w:val="Hyperlink"/>
            <w:sz w:val="24"/>
            <w:lang w:val="da-DK"/>
          </w:rPr>
          <w:t>http://data.europa.eu/eli/dir/2022/2041/oj</w:t>
        </w:r>
      </w:hyperlink>
      <w:r w:rsidRPr="004D730A">
        <w:rPr>
          <w:sz w:val="24"/>
          <w:lang w:val="da-DK"/>
        </w:rPr>
        <w:t>.</w:t>
      </w:r>
    </w:p>
  </w:footnote>
  <w:footnote w:id="6">
    <w:p w14:paraId="4C83B7AC" w14:textId="6F841706"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L 132 af 17.5.2023, s. 21, ELI: </w:t>
      </w:r>
      <w:hyperlink r:id="rId5" w:tooltip="Giver adgang til dette dokument via dets ELI-URI." w:history="1">
        <w:r w:rsidRPr="004D730A">
          <w:rPr>
            <w:rStyle w:val="Hyperlink"/>
            <w:sz w:val="24"/>
            <w:lang w:val="da-DK"/>
          </w:rPr>
          <w:t>http://data.europa.eu/eli/dir/2023/970/oj</w:t>
        </w:r>
      </w:hyperlink>
      <w:r w:rsidRPr="004D730A">
        <w:rPr>
          <w:sz w:val="24"/>
          <w:lang w:val="da-DK"/>
        </w:rPr>
        <w:t>.</w:t>
      </w:r>
    </w:p>
  </w:footnote>
  <w:footnote w:id="7">
    <w:p w14:paraId="742A17F3" w14:textId="1CCA1554" w:rsidR="00725F53" w:rsidRPr="00664EF0" w:rsidRDefault="00725F53" w:rsidP="004D730A">
      <w:pPr>
        <w:pStyle w:val="FootnoteText"/>
        <w:ind w:left="567" w:hanging="567"/>
        <w:rPr>
          <w:sz w:val="24"/>
          <w:lang w:val="da-DK"/>
        </w:rPr>
      </w:pPr>
      <w:r w:rsidRPr="004D730A">
        <w:rPr>
          <w:rStyle w:val="FootnoteReference"/>
          <w:sz w:val="24"/>
          <w:lang w:val="da-DK"/>
        </w:rPr>
        <w:footnoteRef/>
      </w:r>
      <w:r w:rsidR="004D730A" w:rsidRPr="00664EF0">
        <w:rPr>
          <w:sz w:val="24"/>
          <w:lang w:val="da-DK"/>
        </w:rPr>
        <w:t xml:space="preserve"> </w:t>
      </w:r>
      <w:r w:rsidR="004D730A" w:rsidRPr="00664EF0">
        <w:rPr>
          <w:sz w:val="24"/>
          <w:lang w:val="da-DK"/>
        </w:rPr>
        <w:tab/>
      </w:r>
      <w:r w:rsidRPr="00664EF0">
        <w:rPr>
          <w:sz w:val="24"/>
          <w:lang w:val="da-DK"/>
        </w:rPr>
        <w:t>EUT L 130</w:t>
      </w:r>
      <w:r w:rsidR="00B43708" w:rsidRPr="00664EF0">
        <w:rPr>
          <w:sz w:val="24"/>
          <w:lang w:val="da-DK"/>
        </w:rPr>
        <w:t xml:space="preserve"> af </w:t>
      </w:r>
      <w:r w:rsidRPr="00664EF0">
        <w:rPr>
          <w:sz w:val="24"/>
          <w:lang w:val="da-DK"/>
        </w:rPr>
        <w:t>16.5.2023, s. 1, ELI: </w:t>
      </w:r>
      <w:hyperlink r:id="rId6" w:tooltip="Giver adgang til dette dokument via dets ELI-URI." w:history="1">
        <w:r w:rsidRPr="00664EF0">
          <w:rPr>
            <w:rStyle w:val="Hyperlink"/>
            <w:sz w:val="24"/>
            <w:lang w:val="da-DK"/>
          </w:rPr>
          <w:t>http://data.europa.eu/eli/reg/2023/955/oj</w:t>
        </w:r>
      </w:hyperlink>
      <w:r w:rsidRPr="00664EF0">
        <w:rPr>
          <w:sz w:val="24"/>
          <w:lang w:val="da-DK"/>
        </w:rPr>
        <w:t>.</w:t>
      </w:r>
    </w:p>
  </w:footnote>
  <w:footnote w:id="8">
    <w:p w14:paraId="0DE5B6A6" w14:textId="073E6A87"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L, 2024/1385, 24.5.2024, ELI: </w:t>
      </w:r>
      <w:hyperlink r:id="rId7" w:history="1">
        <w:r w:rsidRPr="00525034">
          <w:rPr>
            <w:rStyle w:val="Hyperlink"/>
            <w:sz w:val="24"/>
            <w:lang w:val="fi-FI"/>
          </w:rPr>
          <w:t>http://data.europa.eu/eli/dir/2024/1385/oj</w:t>
        </w:r>
      </w:hyperlink>
      <w:r w:rsidRPr="00525034">
        <w:rPr>
          <w:sz w:val="24"/>
          <w:lang w:val="fi-FI"/>
        </w:rPr>
        <w:t>.</w:t>
      </w:r>
    </w:p>
  </w:footnote>
  <w:footnote w:id="9">
    <w:p w14:paraId="409CAB0A" w14:textId="34F90C9E"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331 af 17.8.2021, s. 5.</w:t>
      </w:r>
    </w:p>
  </w:footnote>
  <w:footnote w:id="10">
    <w:p w14:paraId="555A62F7" w14:textId="4CE3E73C"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456 af 10.11.2021, s. 145.</w:t>
      </w:r>
    </w:p>
  </w:footnote>
  <w:footnote w:id="11">
    <w:p w14:paraId="079390C0" w14:textId="293A7BBC"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465 af 17.11.2021, s. 62.</w:t>
      </w:r>
    </w:p>
  </w:footnote>
  <w:footnote w:id="12">
    <w:p w14:paraId="4324C242" w14:textId="5CDC7C52"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474 af 24.11.2021, s. 146.</w:t>
      </w:r>
    </w:p>
  </w:footnote>
  <w:footnote w:id="13">
    <w:p w14:paraId="743D33C4" w14:textId="66E219F7"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506 af 15.12.2021, s. 94.</w:t>
      </w:r>
    </w:p>
  </w:footnote>
  <w:footnote w:id="14">
    <w:p w14:paraId="6AF7E594" w14:textId="3EA99578"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47 af 7.2.2023, s. 2.</w:t>
      </w:r>
    </w:p>
  </w:footnote>
  <w:footnote w:id="15">
    <w:p w14:paraId="432F56E0" w14:textId="19ED93CF"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EUT C 132 af 14.4.2023, s. 29.</w:t>
      </w:r>
    </w:p>
  </w:footnote>
  <w:footnote w:id="16">
    <w:p w14:paraId="0A24AFD0" w14:textId="683C60ED"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C/2023/400, 23.11.2023, ELI: </w:t>
      </w:r>
      <w:hyperlink r:id="rId8" w:history="1">
        <w:r w:rsidRPr="00525034">
          <w:rPr>
            <w:rStyle w:val="Hyperlink"/>
            <w:sz w:val="24"/>
            <w:lang w:val="fi-FI"/>
          </w:rPr>
          <w:t>http://data.europa.eu/eli/C/2023/400/oj</w:t>
        </w:r>
      </w:hyperlink>
      <w:r w:rsidRPr="00525034">
        <w:rPr>
          <w:sz w:val="24"/>
          <w:lang w:val="fi-FI"/>
        </w:rPr>
        <w:t>.</w:t>
      </w:r>
    </w:p>
  </w:footnote>
  <w:footnote w:id="17">
    <w:p w14:paraId="3C796946" w14:textId="391EF514"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C/2023/1063, 15.12.2023, ELI: </w:t>
      </w:r>
      <w:r>
        <w:fldChar w:fldCharType="begin"/>
      </w:r>
      <w:r w:rsidRPr="00664EF0">
        <w:rPr>
          <w:lang w:val="fi-FI"/>
        </w:rPr>
        <w:instrText>HYPERLINK "http://data.europa.eu/eli/C/2023/1063/oj"</w:instrText>
      </w:r>
      <w:r>
        <w:fldChar w:fldCharType="separate"/>
      </w:r>
      <w:r w:rsidRPr="00525034">
        <w:rPr>
          <w:rStyle w:val="Hyperlink"/>
          <w:sz w:val="24"/>
          <w:lang w:val="fi-FI"/>
        </w:rPr>
        <w:t>http://data.europa.eu/eli/C/2023/1063/oj</w:t>
      </w:r>
      <w:r>
        <w:fldChar w:fldCharType="end"/>
      </w:r>
      <w:r w:rsidRPr="00525034">
        <w:rPr>
          <w:sz w:val="24"/>
          <w:lang w:val="fi-FI"/>
        </w:rPr>
        <w:t>.</w:t>
      </w:r>
    </w:p>
  </w:footnote>
  <w:footnote w:id="18">
    <w:p w14:paraId="18C86A70" w14:textId="46583096"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C/2024/4211, 24.7.2024, ELI: </w:t>
      </w:r>
      <w:r>
        <w:fldChar w:fldCharType="begin"/>
      </w:r>
      <w:r w:rsidRPr="00664EF0">
        <w:rPr>
          <w:lang w:val="fi-FI"/>
        </w:rPr>
        <w:instrText>HYPERLINK "http://data.europa.eu/eli/C/2024/4211/oj"</w:instrText>
      </w:r>
      <w:r>
        <w:fldChar w:fldCharType="separate"/>
      </w:r>
      <w:r w:rsidRPr="00525034">
        <w:rPr>
          <w:rStyle w:val="Hyperlink"/>
          <w:sz w:val="24"/>
          <w:lang w:val="fi-FI"/>
        </w:rPr>
        <w:t>http://data.europa.eu/eli/C/2024/4211/oj</w:t>
      </w:r>
      <w:r>
        <w:fldChar w:fldCharType="end"/>
      </w:r>
      <w:r w:rsidRPr="00525034">
        <w:rPr>
          <w:sz w:val="24"/>
          <w:lang w:val="fi-FI"/>
        </w:rPr>
        <w:t>.</w:t>
      </w:r>
    </w:p>
  </w:footnote>
  <w:footnote w:id="19">
    <w:p w14:paraId="5BA81384" w14:textId="5EE921F6"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C/2024/4212, 24.7.2024, ELI: </w:t>
      </w:r>
      <w:r>
        <w:fldChar w:fldCharType="begin"/>
      </w:r>
      <w:r w:rsidRPr="00664EF0">
        <w:rPr>
          <w:lang w:val="fi-FI"/>
        </w:rPr>
        <w:instrText>HYPERLINK "http://data.europa.eu/eli/C/2024/4212/oj"</w:instrText>
      </w:r>
      <w:r>
        <w:fldChar w:fldCharType="separate"/>
      </w:r>
      <w:r w:rsidRPr="00525034">
        <w:rPr>
          <w:rStyle w:val="Hyperlink"/>
          <w:sz w:val="24"/>
          <w:lang w:val="fi-FI"/>
        </w:rPr>
        <w:t>http://data.europa.eu/eli/C/2024/4212/oj</w:t>
      </w:r>
      <w:r>
        <w:fldChar w:fldCharType="end"/>
      </w:r>
      <w:r w:rsidRPr="00525034">
        <w:rPr>
          <w:sz w:val="24"/>
          <w:lang w:val="fi-FI"/>
        </w:rPr>
        <w:t>.</w:t>
      </w:r>
    </w:p>
  </w:footnote>
  <w:footnote w:id="20">
    <w:p w14:paraId="5A019E12" w14:textId="1E3D6C5C"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C/2024/4224, 24.7.2024, ELI: </w:t>
      </w:r>
      <w:r>
        <w:fldChar w:fldCharType="begin"/>
      </w:r>
      <w:r w:rsidRPr="00664EF0">
        <w:rPr>
          <w:lang w:val="fi-FI"/>
        </w:rPr>
        <w:instrText>HYPERLINK "http://data.europa.eu/eli/C/2024/4224/oj"</w:instrText>
      </w:r>
      <w:r>
        <w:fldChar w:fldCharType="separate"/>
      </w:r>
      <w:r w:rsidRPr="00525034">
        <w:rPr>
          <w:rStyle w:val="Hyperlink"/>
          <w:sz w:val="24"/>
          <w:lang w:val="fi-FI"/>
        </w:rPr>
        <w:t>http://data.europa.eu/eli/C/2024/4224/oj</w:t>
      </w:r>
      <w:r>
        <w:fldChar w:fldCharType="end"/>
      </w:r>
      <w:r w:rsidRPr="00525034">
        <w:rPr>
          <w:sz w:val="24"/>
          <w:lang w:val="fi-FI"/>
        </w:rPr>
        <w:t>.</w:t>
      </w:r>
    </w:p>
  </w:footnote>
  <w:footnote w:id="21">
    <w:p w14:paraId="0B1A00B1" w14:textId="100C001F"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189 af 5.6.2019, s. 4.</w:t>
      </w:r>
    </w:p>
  </w:footnote>
  <w:footnote w:id="22">
    <w:p w14:paraId="7F994C35" w14:textId="7BC0BBFF"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L 59 af 2.3.2013, s. 5.</w:t>
      </w:r>
    </w:p>
  </w:footnote>
  <w:footnote w:id="23">
    <w:p w14:paraId="370D7927" w14:textId="10F0F210"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L, 2024/1238, 14.5.2024, ELI: </w:t>
      </w:r>
      <w:r>
        <w:fldChar w:fldCharType="begin"/>
      </w:r>
      <w:r w:rsidRPr="00664EF0">
        <w:rPr>
          <w:lang w:val="fi-FI"/>
        </w:rPr>
        <w:instrText>HYPERLINK "http://data.europa.eu/eli/reco/2024/1238/oj"</w:instrText>
      </w:r>
      <w:r>
        <w:fldChar w:fldCharType="separate"/>
      </w:r>
      <w:r w:rsidRPr="00525034">
        <w:rPr>
          <w:rStyle w:val="Hyperlink"/>
          <w:sz w:val="24"/>
          <w:lang w:val="fi-FI"/>
        </w:rPr>
        <w:t>http://data.europa.eu/eli/reco/2024/1238/oj</w:t>
      </w:r>
      <w:r>
        <w:fldChar w:fldCharType="end"/>
      </w:r>
      <w:r w:rsidRPr="00525034">
        <w:rPr>
          <w:sz w:val="24"/>
          <w:lang w:val="fi-FI"/>
        </w:rPr>
        <w:t>.</w:t>
      </w:r>
    </w:p>
  </w:footnote>
  <w:footnote w:id="24">
    <w:p w14:paraId="1AED963A" w14:textId="6A5BA87A"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EUT L 223 af 22.6.2021, s. 14, ELI: </w:t>
      </w:r>
      <w:r>
        <w:fldChar w:fldCharType="begin"/>
      </w:r>
      <w:r w:rsidRPr="00664EF0">
        <w:rPr>
          <w:lang w:val="da-DK"/>
        </w:rPr>
        <w:instrText>HYPERLINK "http://data.europa.eu/eli/reco/2021/1004/oj"</w:instrText>
      </w:r>
      <w:r>
        <w:fldChar w:fldCharType="separate"/>
      </w:r>
      <w:r w:rsidRPr="004D730A">
        <w:rPr>
          <w:rStyle w:val="Hyperlink"/>
          <w:sz w:val="24"/>
          <w:lang w:val="da-DK"/>
        </w:rPr>
        <w:t>http://data.europa.eu/eli/reco/2021/1004/oj</w:t>
      </w:r>
      <w:r>
        <w:fldChar w:fldCharType="end"/>
      </w:r>
      <w:r w:rsidRPr="004D730A">
        <w:rPr>
          <w:sz w:val="24"/>
          <w:lang w:val="da-DK"/>
        </w:rPr>
        <w:t>.</w:t>
      </w:r>
    </w:p>
  </w:footnote>
  <w:footnote w:id="25">
    <w:p w14:paraId="27A8E65F" w14:textId="1BBA7E0F"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93 af 19.3.2021, s. 1.</w:t>
      </w:r>
    </w:p>
  </w:footnote>
  <w:footnote w:id="26">
    <w:p w14:paraId="159A7FF0" w14:textId="1DCC4FF8"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387 af 15.11.2019, s. 1.</w:t>
      </w:r>
    </w:p>
  </w:footnote>
  <w:footnote w:id="27">
    <w:p w14:paraId="632AE138" w14:textId="1479ACC9"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EUT C 41 af 3.2.2023, s. 1.</w:t>
      </w:r>
    </w:p>
  </w:footnote>
  <w:footnote w:id="28">
    <w:p w14:paraId="7F0F02AC" w14:textId="117AC302"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EUT C, C/2025/6322, 3.12.2025, ELI: </w:t>
      </w:r>
      <w:r>
        <w:fldChar w:fldCharType="begin"/>
      </w:r>
      <w:r w:rsidRPr="00664EF0">
        <w:rPr>
          <w:lang w:val="fi-FI"/>
        </w:rPr>
        <w:instrText>HYPERLINK "http://data.europa.eu/eli/C/2025/6322/oj"</w:instrText>
      </w:r>
      <w:r>
        <w:fldChar w:fldCharType="separate"/>
      </w:r>
      <w:r w:rsidRPr="00525034">
        <w:rPr>
          <w:rStyle w:val="Hyperlink"/>
          <w:sz w:val="24"/>
          <w:lang w:val="fi-FI"/>
        </w:rPr>
        <w:t>http://data.europa.eu/eli/C/2025/6322/oj</w:t>
      </w:r>
      <w:r>
        <w:fldChar w:fldCharType="end"/>
      </w:r>
      <w:r w:rsidRPr="00525034">
        <w:rPr>
          <w:sz w:val="24"/>
          <w:lang w:val="fi-FI"/>
        </w:rPr>
        <w:t>.</w:t>
      </w:r>
    </w:p>
  </w:footnote>
  <w:footnote w:id="29">
    <w:p w14:paraId="7DE67ECF" w14:textId="37300028" w:rsidR="00725F53" w:rsidRPr="00525034" w:rsidRDefault="00725F53" w:rsidP="004D730A">
      <w:pPr>
        <w:pStyle w:val="FootnoteText"/>
        <w:ind w:left="567" w:hanging="567"/>
        <w:rPr>
          <w:sz w:val="24"/>
          <w:lang w:val="fi-FI"/>
        </w:rPr>
      </w:pPr>
      <w:r w:rsidRPr="004D730A">
        <w:rPr>
          <w:rStyle w:val="FootnoteReference"/>
          <w:sz w:val="24"/>
          <w:lang w:val="da-DK"/>
        </w:rPr>
        <w:footnoteRef/>
      </w:r>
      <w:r w:rsidR="004D730A" w:rsidRPr="00525034">
        <w:rPr>
          <w:sz w:val="24"/>
          <w:lang w:val="fi-FI"/>
        </w:rPr>
        <w:t xml:space="preserve"> </w:t>
      </w:r>
      <w:r w:rsidR="004D730A" w:rsidRPr="00525034">
        <w:rPr>
          <w:sz w:val="24"/>
          <w:lang w:val="fi-FI"/>
        </w:rPr>
        <w:tab/>
      </w:r>
      <w:r w:rsidRPr="00525034">
        <w:rPr>
          <w:sz w:val="24"/>
          <w:lang w:val="fi-FI"/>
        </w:rPr>
        <w:t xml:space="preserve">Eurostat, "Severe material and social deprivation rate by age and sex", Eurostat data browser, 14. november 2025, tilgået den 9. december 2025, </w:t>
      </w:r>
      <w:r>
        <w:fldChar w:fldCharType="begin"/>
      </w:r>
      <w:r w:rsidRPr="00664EF0">
        <w:rPr>
          <w:lang w:val="fi-FI"/>
        </w:rPr>
        <w:instrText>HYPERLINK "https://ec.europa.eu/eurostat/databrowser/view/ilc_mdsd11/default/table?lang=da"</w:instrText>
      </w:r>
      <w:r>
        <w:fldChar w:fldCharType="separate"/>
      </w:r>
      <w:r w:rsidRPr="00525034">
        <w:rPr>
          <w:rStyle w:val="Hyperlink"/>
          <w:sz w:val="24"/>
          <w:lang w:val="fi-FI"/>
        </w:rPr>
        <w:t>https://ec.europa.eu/eurostat/databrowser/view/ilc_mdsd11/default/table?lang=da</w:t>
      </w:r>
      <w:r>
        <w:fldChar w:fldCharType="end"/>
      </w:r>
      <w:r w:rsidRPr="00525034">
        <w:rPr>
          <w:sz w:val="24"/>
          <w:lang w:val="fi-FI"/>
        </w:rPr>
        <w:t>.</w:t>
      </w:r>
    </w:p>
  </w:footnote>
  <w:footnote w:id="30">
    <w:p w14:paraId="0E9BD4FF" w14:textId="7F15C450"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"At-risk-of-poverty rate by poverty threshold and household type", Eurostat data browser, 14. november 2025, tilgået den 9. december 2025, </w:t>
      </w:r>
      <w:r>
        <w:fldChar w:fldCharType="begin"/>
      </w:r>
      <w:r w:rsidRPr="00664EF0">
        <w:rPr>
          <w:lang w:val="en-GB"/>
        </w:rPr>
        <w:instrText>HYPERLINK "https://ec.europa.eu/eurostat/databrowser/view/ilc_li03/default/table?lang=da"</w:instrText>
      </w:r>
      <w:r>
        <w:fldChar w:fldCharType="separate"/>
      </w:r>
      <w:r w:rsidRPr="00525034">
        <w:rPr>
          <w:rStyle w:val="Hyperlink"/>
          <w:sz w:val="24"/>
          <w:lang w:val="en-GB"/>
        </w:rPr>
        <w:t>https://ec.europa.eu/eurostat/databrowser/view/ilc_li03/default/table?lang=da</w:t>
      </w:r>
      <w:r>
        <w:fldChar w:fldCharType="end"/>
      </w:r>
      <w:r w:rsidRPr="00525034">
        <w:rPr>
          <w:sz w:val="24"/>
          <w:lang w:val="en-GB"/>
        </w:rPr>
        <w:t>.</w:t>
      </w:r>
    </w:p>
  </w:footnote>
  <w:footnote w:id="31">
    <w:p w14:paraId="0B46EF9D" w14:textId="3E9DAE36"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Kommissionen: Generaldirektoratet for Beskæftigelse, Sociale Anliggender, Arbejdsmarkedsforhold og Inklusion, </w:t>
      </w:r>
      <w:r w:rsidRPr="004D730A">
        <w:rPr>
          <w:i/>
          <w:sz w:val="24"/>
          <w:lang w:val="da-DK"/>
        </w:rPr>
        <w:t>Employment and social developments in Europe 2024</w:t>
      </w:r>
      <w:r w:rsidRPr="004D730A">
        <w:rPr>
          <w:sz w:val="24"/>
          <w:lang w:val="da-DK"/>
        </w:rPr>
        <w:t>, Den Europæiske Unions Publikationskontor, 2024.</w:t>
      </w:r>
    </w:p>
  </w:footnote>
  <w:footnote w:id="32">
    <w:p w14:paraId="3B631D9F" w14:textId="72E32F37"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Kommissionen: Generaldirektoratet for Uddannelse, Unge, Idræt og Kultur, </w:t>
      </w:r>
      <w:r w:rsidRPr="004D730A">
        <w:rPr>
          <w:i/>
          <w:sz w:val="24"/>
          <w:lang w:val="da-DK"/>
        </w:rPr>
        <w:t>Education and training monitor 2024 – Comparative report</w:t>
      </w:r>
      <w:r w:rsidRPr="004D730A">
        <w:rPr>
          <w:sz w:val="24"/>
          <w:lang w:val="da-DK"/>
        </w:rPr>
        <w:t>, Den Europæiske Unions Publikationskontor, 2024.</w:t>
      </w:r>
    </w:p>
  </w:footnote>
  <w:footnote w:id="33">
    <w:p w14:paraId="64743074" w14:textId="15C22477"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Briefing – "The gender gap in pensions in the EU", Europa-Parlamentet, Generaldirektoratet for Interne Politikker, Temaafdelingen for Økonomisk og Videnskabelig Politik og Livskvalitet, juli 2019.</w:t>
      </w:r>
    </w:p>
  </w:footnote>
  <w:footnote w:id="34">
    <w:p w14:paraId="5873CE39" w14:textId="452969A4"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fldChar w:fldCharType="begin"/>
      </w:r>
      <w:r w:rsidRPr="00664EF0">
        <w:rPr>
          <w:lang w:val="da-DK"/>
        </w:rPr>
        <w:instrText>HYPERLINK "https://eige.europa.eu/publications-resources/toolkits-guides/gender-equality-index-2021-report/gender-differences-household-chores"</w:instrText>
      </w:r>
      <w:r>
        <w:fldChar w:fldCharType="separate"/>
      </w:r>
      <w:r w:rsidRPr="004D730A">
        <w:rPr>
          <w:rStyle w:val="Hyperlink"/>
          <w:sz w:val="24"/>
          <w:lang w:val="da-DK"/>
        </w:rPr>
        <w:t>https://eige.europa.eu/publications-resources/toolkits-guides/gender-equality-index-2021-report/gender-differences-household-chores</w:t>
      </w:r>
      <w:r>
        <w:fldChar w:fldCharType="end"/>
      </w:r>
      <w:r w:rsidRPr="004D730A">
        <w:rPr>
          <w:sz w:val="24"/>
          <w:lang w:val="da-DK"/>
        </w:rPr>
        <w:t>.</w:t>
      </w:r>
    </w:p>
  </w:footnote>
  <w:footnote w:id="35">
    <w:p w14:paraId="6DBB32C0" w14:textId="3A59A229"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Eurostat, "Severe material and social deprivation rate by age and sex", Eurostat data browser, 14. november 2025, tilgået den 9. december 2025, </w:t>
      </w:r>
      <w:r>
        <w:fldChar w:fldCharType="begin"/>
      </w:r>
      <w:r w:rsidRPr="00664EF0">
        <w:rPr>
          <w:lang w:val="da-DK"/>
        </w:rPr>
        <w:instrText>HYPERLINK "https://ec.europa.eu/eurostat/databrowser/view/ilc_mdsd11/default/table?lang=da"</w:instrText>
      </w:r>
      <w:r>
        <w:fldChar w:fldCharType="separate"/>
      </w:r>
      <w:r w:rsidRPr="004D730A">
        <w:rPr>
          <w:rStyle w:val="Hyperlink"/>
          <w:sz w:val="24"/>
          <w:lang w:val="da-DK"/>
        </w:rPr>
        <w:t>https://ec.europa.eu/eurostat/databrowser/view/ilc_mdsd11/default/table?lang=da</w:t>
      </w:r>
      <w:r>
        <w:fldChar w:fldCharType="end"/>
      </w:r>
      <w:r w:rsidRPr="004D730A">
        <w:rPr>
          <w:sz w:val="24"/>
          <w:lang w:val="da-DK"/>
        </w:rPr>
        <w:t>.</w:t>
      </w:r>
    </w:p>
  </w:footnote>
  <w:footnote w:id="36">
    <w:p w14:paraId="4196EBFB" w14:textId="1B5EF142"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"Persons at risk of poverty or social exclusion by age and sex", Eurostat data browser, 14. november 2025, tilgået den 9. december 2025, </w:t>
      </w:r>
      <w:r>
        <w:fldChar w:fldCharType="begin"/>
      </w:r>
      <w:r w:rsidRPr="00664EF0">
        <w:rPr>
          <w:lang w:val="en-GB"/>
        </w:rPr>
        <w:instrText>HYPERLINK "https://ec.europa.eu/eurostat/databrowser/view/ilc_peps01n__custom_17280682/bookmark/table?lang=da&amp;bookmarkId=1136c1ef-3d9f-4fda-82fb-cf7423eac65e&amp;&amp;page=time:2024"</w:instrText>
      </w:r>
      <w:r>
        <w:fldChar w:fldCharType="separate"/>
      </w:r>
      <w:r w:rsidRPr="00525034">
        <w:rPr>
          <w:rStyle w:val="Hyperlink"/>
          <w:sz w:val="24"/>
          <w:lang w:val="en-GB"/>
        </w:rPr>
        <w:t>https://ec.europa.eu/eurostat/databrowser/view/ilc_peps01n__custom_17280682/bookmark/table?lang=da&amp;bookmarkId=1136c1ef-3d9f-4fda-82fb-cf7423eac65e&amp;&amp;page=time:2024</w:t>
      </w:r>
      <w:r>
        <w:fldChar w:fldCharType="end"/>
      </w:r>
      <w:r w:rsidRPr="00525034">
        <w:rPr>
          <w:sz w:val="24"/>
          <w:lang w:val="en-GB"/>
        </w:rPr>
        <w:t>.</w:t>
      </w:r>
    </w:p>
  </w:footnote>
  <w:footnote w:id="37">
    <w:p w14:paraId="55E7DC51" w14:textId="34F83C7D"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"Subjective poverty by age and sex", Eurostat data browser, 14. november 2025, tilgået den 9. december 2025, </w:t>
      </w:r>
      <w:r>
        <w:fldChar w:fldCharType="begin"/>
      </w:r>
      <w:r w:rsidRPr="00664EF0">
        <w:rPr>
          <w:lang w:val="en-GB"/>
        </w:rPr>
        <w:instrText>HYPERLINK "https://ec.europa.eu/eurostat/databrowser/view/ilc_sbjp01__custom_17284289/bookmark/table?lang=da&amp;&amp;bookmarkId=7d0decb7-866a-4494-b901-58a61bebd575&amp;&amp;page=time:2024"</w:instrText>
      </w:r>
      <w:r>
        <w:fldChar w:fldCharType="separate"/>
      </w:r>
      <w:r w:rsidRPr="00525034">
        <w:rPr>
          <w:rStyle w:val="Hyperlink"/>
          <w:sz w:val="24"/>
          <w:lang w:val="en-GB"/>
        </w:rPr>
        <w:t>https://ec.europa.eu/eurostat/databrowser/view/ilc_sbjp01__custom_17284289/bookmark/table?lang=da&amp;&amp;bookmarkId=7d0decb7-866a-4494-b901-58a61bebd575&amp;&amp;page=time:2024</w:t>
      </w:r>
      <w:r>
        <w:fldChar w:fldCharType="end"/>
      </w:r>
      <w:r w:rsidRPr="00525034">
        <w:rPr>
          <w:sz w:val="24"/>
          <w:lang w:val="en-GB"/>
        </w:rPr>
        <w:t>.</w:t>
      </w:r>
    </w:p>
  </w:footnote>
  <w:footnote w:id="38">
    <w:p w14:paraId="3AFBEAFD" w14:textId="44E385CB"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"Persons at risk of poverty or social exclusion by age and sex", Eurostat data browser, 14. november 2025, tilgået den 9. december 2025, </w:t>
      </w:r>
      <w:r>
        <w:fldChar w:fldCharType="begin"/>
      </w:r>
      <w:r w:rsidRPr="00664EF0">
        <w:rPr>
          <w:lang w:val="en-GB"/>
        </w:rPr>
        <w:instrText>HYPERLINK "https://ec.europa.eu/eurostat/databrowser/view/ilc_peps01n__custom_17280682/bookmark/table?lang=da&amp;bookmarkId=1136c1ef-3d9f-4fda-82fb-cf7423eac65e&amp;&amp;page=time:2024"</w:instrText>
      </w:r>
      <w:r>
        <w:fldChar w:fldCharType="separate"/>
      </w:r>
      <w:r w:rsidRPr="00525034">
        <w:rPr>
          <w:rStyle w:val="Hyperlink"/>
          <w:sz w:val="24"/>
          <w:lang w:val="en-GB"/>
        </w:rPr>
        <w:t>https://ec.europa.eu/eurostat/databrowser/view/ilc_peps01n__custom_17280682/bookmark/table?lang=da&amp;bookmarkId=1136c1ef-3d9f-4fda-82fb-cf7423eac65e&amp;&amp;page=time:2024</w:t>
      </w:r>
      <w:r>
        <w:fldChar w:fldCharType="end"/>
      </w:r>
      <w:r w:rsidRPr="00525034">
        <w:rPr>
          <w:sz w:val="24"/>
          <w:lang w:val="en-GB"/>
        </w:rPr>
        <w:t>.</w:t>
      </w:r>
    </w:p>
  </w:footnote>
  <w:footnote w:id="39">
    <w:p w14:paraId="6D72C466" w14:textId="303E720E" w:rsidR="00725F53" w:rsidRPr="00525034" w:rsidRDefault="00725F53" w:rsidP="004D730A">
      <w:pPr>
        <w:pStyle w:val="FootnoteText"/>
        <w:ind w:left="567" w:hanging="567"/>
        <w:rPr>
          <w:bCs/>
          <w:iCs/>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Det Europæiske Institut for Ligestilling mellem Mænd og Kvinder, </w:t>
      </w:r>
      <w:r w:rsidRPr="00525034">
        <w:rPr>
          <w:i/>
          <w:sz w:val="24"/>
          <w:lang w:val="en-GB"/>
        </w:rPr>
        <w:t>Financial independence and gender equality: Joining the dots between income, wealth, and power</w:t>
      </w:r>
      <w:r w:rsidRPr="00525034">
        <w:rPr>
          <w:sz w:val="24"/>
          <w:lang w:val="en-GB"/>
        </w:rPr>
        <w:t xml:space="preserve">, Den Europæiske Unions Publikationskontor, Luxembourg, 2024, </w:t>
      </w:r>
      <w:r>
        <w:fldChar w:fldCharType="begin"/>
      </w:r>
      <w:r w:rsidRPr="00664EF0">
        <w:rPr>
          <w:lang w:val="en-GB"/>
        </w:rPr>
        <w:instrText>HYPERLINK "https://eige.europa.eu/sites/default/files/documents/financial-independence-and-gender-equality.pdf"</w:instrText>
      </w:r>
      <w:r>
        <w:fldChar w:fldCharType="separate"/>
      </w:r>
      <w:r w:rsidRPr="00525034">
        <w:rPr>
          <w:rStyle w:val="Hyperlink"/>
          <w:sz w:val="24"/>
          <w:lang w:val="en-GB"/>
        </w:rPr>
        <w:t>https://eige.europa.eu/sites/default/files/documents/financial-independence-and-gender-equality.pdf</w:t>
      </w:r>
      <w:r>
        <w:fldChar w:fldCharType="end"/>
      </w:r>
      <w:r w:rsidRPr="00525034">
        <w:rPr>
          <w:sz w:val="24"/>
          <w:lang w:val="en-GB"/>
        </w:rPr>
        <w:t>.</w:t>
      </w:r>
    </w:p>
  </w:footnote>
  <w:footnote w:id="40">
    <w:p w14:paraId="66E56ABF" w14:textId="2E18402A" w:rsidR="00725F53" w:rsidRPr="004D730A" w:rsidRDefault="00725F53" w:rsidP="004D730A">
      <w:pPr>
        <w:pStyle w:val="FootnoteText"/>
        <w:ind w:left="567" w:hanging="567"/>
        <w:rPr>
          <w:sz w:val="24"/>
          <w:lang w:val="da-DK"/>
        </w:rPr>
      </w:pPr>
      <w:r w:rsidRPr="004D730A">
        <w:rPr>
          <w:rStyle w:val="FootnoteReference"/>
          <w:bCs/>
          <w:iCs/>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Det Europæiske Institut for Ligestilling mellem Mænd og Kvinder, "Gender-based violence survey", </w:t>
      </w:r>
      <w:r>
        <w:fldChar w:fldCharType="begin"/>
      </w:r>
      <w:r w:rsidRPr="00664EF0">
        <w:rPr>
          <w:lang w:val="da-DK"/>
        </w:rPr>
        <w:instrText>HYPERLINK "https://eige.europa.eu/newsroom/eu-gender-based-violence-survey?language_content_entity=en"</w:instrText>
      </w:r>
      <w:r>
        <w:fldChar w:fldCharType="separate"/>
      </w:r>
      <w:r w:rsidRPr="004D730A">
        <w:rPr>
          <w:rStyle w:val="Hyperlink"/>
          <w:sz w:val="24"/>
          <w:lang w:val="da-DK"/>
        </w:rPr>
        <w:t>https://eige.europa.eu/newsroom/eu-gender-based-violence-survey?language_content_entity=en</w:t>
      </w:r>
      <w:r>
        <w:fldChar w:fldCharType="end"/>
      </w:r>
      <w:r w:rsidRPr="004D730A">
        <w:rPr>
          <w:sz w:val="24"/>
          <w:lang w:val="da-DK"/>
        </w:rPr>
        <w:t>.</w:t>
      </w:r>
    </w:p>
  </w:footnote>
  <w:footnote w:id="41">
    <w:p w14:paraId="0A3D1E98" w14:textId="1C639495"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Det Europæiske Handicapforum, </w:t>
      </w:r>
      <w:r w:rsidRPr="00525034">
        <w:rPr>
          <w:i/>
          <w:sz w:val="24"/>
          <w:lang w:val="en-GB"/>
        </w:rPr>
        <w:t>EDF 7th Human Rights Report. The Right to work: The employment situation of persons with disabilities in Europe</w:t>
      </w:r>
      <w:r w:rsidRPr="00525034">
        <w:rPr>
          <w:sz w:val="24"/>
          <w:lang w:val="en-GB"/>
        </w:rPr>
        <w:t xml:space="preserve">, 2023, </w:t>
      </w:r>
      <w:r>
        <w:fldChar w:fldCharType="begin"/>
      </w:r>
      <w:r w:rsidRPr="00664EF0">
        <w:rPr>
          <w:lang w:val="en-GB"/>
        </w:rPr>
        <w:instrText>HYPERLINK "https://www.edf-feph.org/publications/human-rights-report-2023-the-right-to-work/"</w:instrText>
      </w:r>
      <w:r>
        <w:fldChar w:fldCharType="separate"/>
      </w:r>
      <w:r w:rsidRPr="00525034">
        <w:rPr>
          <w:rStyle w:val="Hyperlink"/>
          <w:sz w:val="24"/>
          <w:lang w:val="en-GB"/>
        </w:rPr>
        <w:t>https://www.edf-feph.org/publications/human-rights-report-2023-the-right-to-work/</w:t>
      </w:r>
      <w:r>
        <w:fldChar w:fldCharType="end"/>
      </w:r>
      <w:r w:rsidRPr="00525034">
        <w:rPr>
          <w:sz w:val="24"/>
          <w:lang w:val="en-GB"/>
        </w:rPr>
        <w:t>.</w:t>
      </w:r>
    </w:p>
  </w:footnote>
  <w:footnote w:id="42">
    <w:p w14:paraId="65CB74B3" w14:textId="658B7D45"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Den Europæiske Unions Agentur for Grundlæggende Rettigheder, </w:t>
      </w:r>
      <w:r w:rsidRPr="00525034">
        <w:rPr>
          <w:i/>
          <w:sz w:val="24"/>
          <w:lang w:val="en-GB"/>
        </w:rPr>
        <w:t>Roma Survey – Data in focus: Discrimination against and living conditions of Roma women in 11 Member States</w:t>
      </w:r>
      <w:r w:rsidRPr="00525034">
        <w:rPr>
          <w:sz w:val="24"/>
          <w:lang w:val="en-GB"/>
        </w:rPr>
        <w:t xml:space="preserve">, 2014, </w:t>
      </w:r>
      <w:r>
        <w:fldChar w:fldCharType="begin"/>
      </w:r>
      <w:r w:rsidRPr="00664EF0">
        <w:rPr>
          <w:lang w:val="en-GB"/>
        </w:rPr>
        <w:instrText>HYPERLINK "https://fra.europa.eu/sites/default/files/fra_uploads/fra-2014-roma-survey-dif-women-2_en.pdf"</w:instrText>
      </w:r>
      <w:r>
        <w:fldChar w:fldCharType="separate"/>
      </w:r>
      <w:r w:rsidRPr="00525034">
        <w:rPr>
          <w:rStyle w:val="Hyperlink"/>
          <w:sz w:val="24"/>
          <w:lang w:val="en-GB"/>
        </w:rPr>
        <w:t>https://fra.europa.eu/sites/default/files/fra_uploads/fra-2014-roma-survey-dif-women-2_en.pdf</w:t>
      </w:r>
      <w:r>
        <w:fldChar w:fldCharType="end"/>
      </w:r>
      <w:r w:rsidRPr="00525034">
        <w:rPr>
          <w:sz w:val="24"/>
          <w:lang w:val="en-GB"/>
        </w:rPr>
        <w:t>.</w:t>
      </w:r>
    </w:p>
  </w:footnote>
  <w:footnote w:id="43">
    <w:p w14:paraId="4948DBCE" w14:textId="5FFF831E"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Den Europæiske Unions Agentur for Grundlæggende Rettigheder, </w:t>
      </w:r>
      <w:r w:rsidRPr="004D730A">
        <w:rPr>
          <w:i/>
          <w:sz w:val="24"/>
          <w:lang w:val="da-DK"/>
        </w:rPr>
        <w:t>Roma in 10 European Countries: Main results</w:t>
      </w:r>
      <w:r w:rsidRPr="004D730A">
        <w:rPr>
          <w:sz w:val="24"/>
          <w:lang w:val="da-DK"/>
        </w:rPr>
        <w:t xml:space="preserve">, 2021, </w:t>
      </w:r>
      <w:r>
        <w:fldChar w:fldCharType="begin"/>
      </w:r>
      <w:r w:rsidRPr="00664EF0">
        <w:rPr>
          <w:lang w:val="da-DK"/>
        </w:rPr>
        <w:instrText>HYPERLINK "https://fra.europa.eu/sites/default/files/fra_uploads/fra-2022-roma-survey-2021-main-results2_en.pdf"</w:instrText>
      </w:r>
      <w:r>
        <w:fldChar w:fldCharType="separate"/>
      </w:r>
      <w:r w:rsidRPr="004D730A">
        <w:rPr>
          <w:rStyle w:val="Hyperlink"/>
          <w:sz w:val="24"/>
          <w:lang w:val="da-DK"/>
        </w:rPr>
        <w:t>https://fra.europa.eu/sites/default/files/fra_uploads/fra-2022-roma-survey-2021-main-results2_en.pdf</w:t>
      </w:r>
      <w:r>
        <w:fldChar w:fldCharType="end"/>
      </w:r>
      <w:r w:rsidRPr="004D730A">
        <w:rPr>
          <w:sz w:val="24"/>
          <w:lang w:val="da-DK"/>
        </w:rPr>
        <w:t xml:space="preserve">. </w:t>
      </w:r>
    </w:p>
  </w:footnote>
  <w:footnote w:id="44">
    <w:p w14:paraId="0B255371" w14:textId="490AFB95" w:rsidR="00725F53" w:rsidRPr="004D730A" w:rsidRDefault="00725F53" w:rsidP="004D730A">
      <w:pPr>
        <w:pStyle w:val="FootnoteText"/>
        <w:ind w:left="567" w:hanging="567"/>
        <w:rPr>
          <w:bCs/>
          <w:i/>
          <w:sz w:val="24"/>
          <w:vertAlign w:val="superscript"/>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Den Europæiske Unions Agentur for Grundlæggende Rettigheder, </w:t>
      </w:r>
      <w:r w:rsidRPr="004D730A">
        <w:rPr>
          <w:i/>
          <w:sz w:val="24"/>
          <w:lang w:val="da-DK"/>
        </w:rPr>
        <w:t xml:space="preserve">Den Europæiske Unions anden undersøgelse af mindretal </w:t>
      </w:r>
    </w:p>
    <w:p w14:paraId="31FED537" w14:textId="45626AC1" w:rsidR="00725F53" w:rsidRPr="004D730A" w:rsidRDefault="004D730A" w:rsidP="004D730A">
      <w:pPr>
        <w:pStyle w:val="FootnoteText"/>
        <w:ind w:left="567" w:hanging="567"/>
        <w:rPr>
          <w:sz w:val="24"/>
          <w:lang w:val="da-DK"/>
        </w:rPr>
      </w:pPr>
      <w:r w:rsidRPr="004D730A">
        <w:rPr>
          <w:i/>
          <w:sz w:val="24"/>
          <w:lang w:val="da-DK"/>
        </w:rPr>
        <w:t xml:space="preserve"> </w:t>
      </w:r>
      <w:r w:rsidRPr="004D730A">
        <w:rPr>
          <w:i/>
          <w:sz w:val="24"/>
          <w:lang w:val="da-DK"/>
        </w:rPr>
        <w:tab/>
      </w:r>
      <w:r w:rsidR="00725F53" w:rsidRPr="004D730A">
        <w:rPr>
          <w:i/>
          <w:sz w:val="24"/>
          <w:lang w:val="da-DK"/>
        </w:rPr>
        <w:t>og forskelsbehandling: Romaer – udvalgte resultater</w:t>
      </w:r>
      <w:r w:rsidR="00725F53" w:rsidRPr="004D730A">
        <w:rPr>
          <w:sz w:val="24"/>
          <w:lang w:val="da-DK"/>
        </w:rPr>
        <w:t xml:space="preserve">, 2016, </w:t>
      </w:r>
      <w:r w:rsidR="00725F53">
        <w:fldChar w:fldCharType="begin"/>
      </w:r>
      <w:r w:rsidR="00725F53" w:rsidRPr="00664EF0">
        <w:rPr>
          <w:lang w:val="da-DK"/>
        </w:rPr>
        <w:instrText>HYPERLINK "https://fra.europa.eu/sites/default/files/fra_uploads/fra-2016-eu-minorities-survey-roma-selected-findings_da.pdf"</w:instrText>
      </w:r>
      <w:r w:rsidR="00725F53">
        <w:fldChar w:fldCharType="separate"/>
      </w:r>
      <w:r w:rsidR="00725F53" w:rsidRPr="004D730A">
        <w:rPr>
          <w:rStyle w:val="Hyperlink"/>
          <w:sz w:val="24"/>
          <w:lang w:val="da-DK"/>
        </w:rPr>
        <w:t>https://fra.europa.eu/sites/default/files/fra_uploads/fra-2016-eu-minorities-survey-roma-selected-findings_da.pdf</w:t>
      </w:r>
      <w:r w:rsidR="00725F53">
        <w:fldChar w:fldCharType="end"/>
      </w:r>
      <w:r w:rsidR="00725F53" w:rsidRPr="004D730A">
        <w:rPr>
          <w:sz w:val="24"/>
          <w:lang w:val="da-DK"/>
        </w:rPr>
        <w:t xml:space="preserve">. </w:t>
      </w:r>
    </w:p>
  </w:footnote>
  <w:footnote w:id="45">
    <w:p w14:paraId="18467D8B" w14:textId="6656BF79"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Ayllón, S., Holmarsdottir, H. og Lado, S., </w:t>
      </w:r>
      <w:r w:rsidRPr="00525034">
        <w:rPr>
          <w:i/>
          <w:sz w:val="24"/>
          <w:lang w:val="en-GB"/>
        </w:rPr>
        <w:t>Digitally Deprived Children in Europe</w:t>
      </w:r>
      <w:r w:rsidRPr="00525034">
        <w:rPr>
          <w:sz w:val="24"/>
          <w:lang w:val="en-GB"/>
        </w:rPr>
        <w:t xml:space="preserve">, Child Indicators Research, vol. 16, s. 1315-1339, 2023, </w:t>
      </w:r>
      <w:r>
        <w:fldChar w:fldCharType="begin"/>
      </w:r>
      <w:r w:rsidRPr="00664EF0">
        <w:rPr>
          <w:lang w:val="en-GB"/>
        </w:rPr>
        <w:instrText>HYPERLINK "https://doi.org/10.1007/s12187-022-10006-w"</w:instrText>
      </w:r>
      <w:r>
        <w:fldChar w:fldCharType="separate"/>
      </w:r>
      <w:r w:rsidRPr="00525034">
        <w:rPr>
          <w:rStyle w:val="Hyperlink"/>
          <w:sz w:val="24"/>
          <w:lang w:val="en-GB"/>
        </w:rPr>
        <w:t>https://doi.org/10.1007/s12187-022-10006-w</w:t>
      </w:r>
      <w:r>
        <w:fldChar w:fldCharType="end"/>
      </w:r>
      <w:r w:rsidRPr="00525034">
        <w:rPr>
          <w:sz w:val="24"/>
          <w:lang w:val="en-GB"/>
        </w:rPr>
        <w:t>.</w:t>
      </w:r>
    </w:p>
  </w:footnote>
  <w:footnote w:id="46">
    <w:p w14:paraId="634AF9D0" w14:textId="77A7A8EE"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Bertoni, E., Cosgrove, J. og Cachia, R., </w:t>
      </w:r>
      <w:r w:rsidRPr="00525034">
        <w:rPr>
          <w:i/>
          <w:sz w:val="24"/>
          <w:lang w:val="en-GB"/>
        </w:rPr>
        <w:t>Digital skills gaps - a closer look at the Digital Skills Index</w:t>
      </w:r>
      <w:r w:rsidRPr="00525034">
        <w:rPr>
          <w:sz w:val="24"/>
          <w:lang w:val="en-GB"/>
        </w:rPr>
        <w:t xml:space="preserve"> (DSI 2.0), Europa-Kommissionen, Ispra, 2024, JRC140617, </w:t>
      </w:r>
      <w:r>
        <w:fldChar w:fldCharType="begin"/>
      </w:r>
      <w:r w:rsidRPr="00664EF0">
        <w:rPr>
          <w:lang w:val="en-GB"/>
        </w:rPr>
        <w:instrText>HYPERLINK "https://publications.jrc.ec.europa.eu/repository/handle/JRC140617"</w:instrText>
      </w:r>
      <w:r>
        <w:fldChar w:fldCharType="separate"/>
      </w:r>
      <w:r w:rsidRPr="00525034">
        <w:rPr>
          <w:rStyle w:val="Hyperlink"/>
          <w:sz w:val="24"/>
          <w:lang w:val="en-GB"/>
        </w:rPr>
        <w:t>https://publications.jrc.ec.europa.eu/repository/handle/JRC140617</w:t>
      </w:r>
      <w:r>
        <w:fldChar w:fldCharType="end"/>
      </w:r>
      <w:r w:rsidRPr="00525034">
        <w:rPr>
          <w:sz w:val="24"/>
          <w:lang w:val="en-GB"/>
        </w:rPr>
        <w:t xml:space="preserve">. </w:t>
      </w:r>
    </w:p>
  </w:footnote>
  <w:footnote w:id="47">
    <w:p w14:paraId="4E5E82DE" w14:textId="4506092A"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den sociale resultattavle, </w:t>
      </w:r>
      <w:r>
        <w:fldChar w:fldCharType="begin"/>
      </w:r>
      <w:r w:rsidRPr="00664EF0">
        <w:rPr>
          <w:lang w:val="en-GB"/>
        </w:rPr>
        <w:instrText>HYPERLINK "https://ec.europa.eu/eurostat/cache/dashboard/social-scoreboard"</w:instrText>
      </w:r>
      <w:r>
        <w:fldChar w:fldCharType="separate"/>
      </w:r>
      <w:r w:rsidRPr="00525034">
        <w:rPr>
          <w:rStyle w:val="Hyperlink"/>
          <w:sz w:val="24"/>
          <w:lang w:val="en-GB"/>
        </w:rPr>
        <w:t>https://ec.europa.eu/eurostat/cache/dashboard/social-scoreboard</w:t>
      </w:r>
      <w:r>
        <w:fldChar w:fldCharType="end"/>
      </w:r>
      <w:r w:rsidRPr="00525034">
        <w:rPr>
          <w:sz w:val="24"/>
          <w:lang w:val="en-GB"/>
        </w:rPr>
        <w:t>.</w:t>
      </w:r>
    </w:p>
  </w:footnote>
  <w:footnote w:id="48">
    <w:p w14:paraId="1ACF647B" w14:textId="230533DD"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Europa-Kommissionen, "Employment and Social Developments in Europe" (ESDE), 2023, Europa-Kommissionen, tilgået den 9. december 2025, </w:t>
      </w:r>
      <w:r>
        <w:fldChar w:fldCharType="begin"/>
      </w:r>
      <w:r w:rsidRPr="00664EF0">
        <w:rPr>
          <w:lang w:val="en-GB"/>
        </w:rPr>
        <w:instrText>HYPERLINK "https://op.europa.eu/webpub/empl/esde-2023/"</w:instrText>
      </w:r>
      <w:r>
        <w:fldChar w:fldCharType="separate"/>
      </w:r>
      <w:r w:rsidRPr="00525034">
        <w:rPr>
          <w:rStyle w:val="Hyperlink"/>
          <w:sz w:val="24"/>
          <w:lang w:val="en-GB"/>
        </w:rPr>
        <w:t>https://op.europa.eu/webpub/empl/esde-2023/</w:t>
      </w:r>
      <w:r>
        <w:fldChar w:fldCharType="end"/>
      </w:r>
      <w:r w:rsidRPr="00525034">
        <w:rPr>
          <w:sz w:val="24"/>
          <w:lang w:val="en-GB"/>
        </w:rPr>
        <w:t>.</w:t>
      </w:r>
    </w:p>
  </w:footnote>
  <w:footnote w:id="49">
    <w:p w14:paraId="214E7064" w14:textId="2D5FA22F"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Kommissionen: Generaldirektoratet for Beskæftigelse, Sociale Anliggender, Arbejdsmarkedsforhold og Inklusion og Udvalget for Social Beskyttelse (SPC), </w:t>
      </w:r>
      <w:r w:rsidRPr="004D730A">
        <w:rPr>
          <w:i/>
          <w:sz w:val="24"/>
          <w:lang w:val="da-DK"/>
        </w:rPr>
        <w:t>The 2024 pension adequacy report – Current and future income adequacy in old age in the EU</w:t>
      </w:r>
      <w:r w:rsidRPr="004D730A">
        <w:rPr>
          <w:sz w:val="24"/>
          <w:lang w:val="da-DK"/>
        </w:rPr>
        <w:t xml:space="preserve">, bind I, Den Europæiske Unions Publikationskontor, 2024, </w:t>
      </w:r>
      <w:r>
        <w:fldChar w:fldCharType="begin"/>
      </w:r>
      <w:r w:rsidRPr="00664EF0">
        <w:rPr>
          <w:lang w:val="da-DK"/>
        </w:rPr>
        <w:instrText>HYPERLINK "https://data.europa.eu/doi/10.2767/909323"</w:instrText>
      </w:r>
      <w:r>
        <w:fldChar w:fldCharType="separate"/>
      </w:r>
      <w:r w:rsidRPr="004D730A">
        <w:rPr>
          <w:rStyle w:val="Hyperlink"/>
          <w:sz w:val="24"/>
          <w:lang w:val="da-DK"/>
        </w:rPr>
        <w:t>https://data.europa.eu/doi/10.2767/909323</w:t>
      </w:r>
      <w:r>
        <w:fldChar w:fldCharType="end"/>
      </w:r>
      <w:r w:rsidRPr="004D730A">
        <w:rPr>
          <w:sz w:val="24"/>
          <w:lang w:val="da-DK"/>
        </w:rPr>
        <w:t>.</w:t>
      </w:r>
    </w:p>
  </w:footnote>
  <w:footnote w:id="50">
    <w:p w14:paraId="593A7E86" w14:textId="78F5A219"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Verdensbanken, "People using safely managed drinking water services (% of population) – European Union", tilgået den 9. december 2025, </w:t>
      </w:r>
      <w:r>
        <w:fldChar w:fldCharType="begin"/>
      </w:r>
      <w:r w:rsidRPr="00664EF0">
        <w:rPr>
          <w:lang w:val="en-GB"/>
        </w:rPr>
        <w:instrText>HYPERLINK "https://data.worldbank.org/indicator/SH.H2O.SMDW.ZS?locations=EU"</w:instrText>
      </w:r>
      <w:r>
        <w:fldChar w:fldCharType="separate"/>
      </w:r>
      <w:r w:rsidRPr="00525034">
        <w:rPr>
          <w:rStyle w:val="Hyperlink"/>
          <w:sz w:val="24"/>
          <w:lang w:val="en-GB"/>
        </w:rPr>
        <w:t>https://data.worldbank.org/indicator/SH.H2O.SMDW.ZS?locations=EU</w:t>
      </w:r>
      <w:r>
        <w:fldChar w:fldCharType="end"/>
      </w:r>
      <w:r w:rsidRPr="00525034">
        <w:rPr>
          <w:sz w:val="24"/>
          <w:lang w:val="en-GB"/>
        </w:rPr>
        <w:t>.</w:t>
      </w:r>
    </w:p>
  </w:footnote>
  <w:footnote w:id="51">
    <w:p w14:paraId="3414BE7C" w14:textId="1A2BAC38"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Verdensbanken, "People using at least basic drinking water services (% of population) – European Union", tilgået den 9. december 2025, </w:t>
      </w:r>
      <w:r>
        <w:fldChar w:fldCharType="begin"/>
      </w:r>
      <w:r w:rsidRPr="00664EF0">
        <w:rPr>
          <w:lang w:val="en-GB"/>
        </w:rPr>
        <w:instrText>HYPERLINK "https://data.worldbank.org/indicator/SH.H2O.BASW.ZS?locations=EU"</w:instrText>
      </w:r>
      <w:r>
        <w:fldChar w:fldCharType="separate"/>
      </w:r>
      <w:r w:rsidRPr="00525034">
        <w:rPr>
          <w:rStyle w:val="Hyperlink"/>
          <w:sz w:val="24"/>
          <w:lang w:val="en-GB"/>
        </w:rPr>
        <w:t>https://data.worldbank.org/indicator/SH.H2O.BASW.ZS?locations=EU</w:t>
      </w:r>
      <w:r>
        <w:fldChar w:fldCharType="end"/>
      </w:r>
      <w:r w:rsidRPr="00525034">
        <w:rPr>
          <w:sz w:val="24"/>
          <w:lang w:val="en-GB"/>
        </w:rPr>
        <w:t>.</w:t>
      </w:r>
    </w:p>
  </w:footnote>
  <w:footnote w:id="52">
    <w:p w14:paraId="1ADC72CA" w14:textId="34D00213"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Eurostat, Befolkningsandel, som bor i husstande uden bad, brusebad eller skylletoilet efter fattigdomsstatus, Eurostat data browser, 28. oktober 2025, tilgået den 9. december 2025, </w:t>
      </w:r>
      <w:r>
        <w:fldChar w:fldCharType="begin"/>
      </w:r>
      <w:r w:rsidRPr="00664EF0">
        <w:rPr>
          <w:lang w:val="en-GB"/>
        </w:rPr>
        <w:instrText>HYPERLINK "https://ec.europa.eu/eurostat/databrowser/view/sdg_06_10/default/table?lang=da"</w:instrText>
      </w:r>
      <w:r>
        <w:fldChar w:fldCharType="separate"/>
      </w:r>
      <w:r w:rsidRPr="00525034">
        <w:rPr>
          <w:rStyle w:val="Hyperlink"/>
          <w:sz w:val="24"/>
          <w:lang w:val="en-GB"/>
        </w:rPr>
        <w:t>https://ec.europa.eu/eurostat/databrowser/view/sdg_06_10/default/table?lang=da</w:t>
      </w:r>
      <w:r>
        <w:fldChar w:fldCharType="end"/>
      </w:r>
      <w:r w:rsidRPr="00525034">
        <w:rPr>
          <w:sz w:val="24"/>
          <w:lang w:val="en-GB"/>
        </w:rPr>
        <w:t>.</w:t>
      </w:r>
    </w:p>
  </w:footnote>
  <w:footnote w:id="53">
    <w:p w14:paraId="162C7DC3" w14:textId="46ECF68C"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Den Europæiske Føderation af Nationale Sammenslutninger, der arbejder med de hjemløse, </w:t>
      </w:r>
      <w:r w:rsidRPr="004D730A">
        <w:rPr>
          <w:i/>
          <w:sz w:val="24"/>
          <w:lang w:val="da-DK"/>
        </w:rPr>
        <w:t>9th overview of housing exclusion in Europe 2024</w:t>
      </w:r>
      <w:r w:rsidRPr="004D730A">
        <w:rPr>
          <w:sz w:val="24"/>
          <w:lang w:val="da-DK"/>
        </w:rPr>
        <w:t xml:space="preserve">, </w:t>
      </w:r>
      <w:r>
        <w:fldChar w:fldCharType="begin"/>
      </w:r>
      <w:r w:rsidRPr="00664EF0">
        <w:rPr>
          <w:lang w:val="da-DK"/>
        </w:rPr>
        <w:instrText>HYPERLINK "https://www.feantsa.org/resources/9th-overview-of-housing-exclusion-in-europe-2024"</w:instrText>
      </w:r>
      <w:r>
        <w:fldChar w:fldCharType="separate"/>
      </w:r>
      <w:r w:rsidRPr="004D730A">
        <w:rPr>
          <w:rStyle w:val="Hyperlink"/>
          <w:sz w:val="24"/>
          <w:lang w:val="da-DK"/>
        </w:rPr>
        <w:t>https://www.feantsa.org/resources/9th-overview-of-housing-exclusion-in-europe-2024</w:t>
      </w:r>
      <w:r>
        <w:fldChar w:fldCharType="end"/>
      </w:r>
      <w:r w:rsidRPr="004D730A">
        <w:rPr>
          <w:sz w:val="24"/>
          <w:lang w:val="da-DK"/>
        </w:rPr>
        <w:t>.</w:t>
      </w:r>
    </w:p>
  </w:footnote>
  <w:footnote w:id="54">
    <w:p w14:paraId="43E1552A" w14:textId="260DE04A"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Den Europæiske Unions Agentur for Grundlæggende Rettigheder, </w:t>
      </w:r>
      <w:r w:rsidRPr="004D730A">
        <w:rPr>
          <w:i/>
          <w:sz w:val="24"/>
          <w:lang w:val="da-DK"/>
        </w:rPr>
        <w:t>Housing conditions of Roma and Travellers in the European Union – Comparative report</w:t>
      </w:r>
      <w:r w:rsidRPr="004D730A">
        <w:rPr>
          <w:sz w:val="24"/>
          <w:lang w:val="da-DK"/>
        </w:rPr>
        <w:t xml:space="preserve">, 2009, </w:t>
      </w:r>
      <w:r>
        <w:fldChar w:fldCharType="begin"/>
      </w:r>
      <w:r w:rsidRPr="00664EF0">
        <w:rPr>
          <w:lang w:val="da-DK"/>
        </w:rPr>
        <w:instrText>HYPERLINK "https://fra.europa.eu/da/publication/2011/housing-conditions-roma-and-travellers-european-union-comparative-report"</w:instrText>
      </w:r>
      <w:r>
        <w:fldChar w:fldCharType="separate"/>
      </w:r>
      <w:r w:rsidRPr="004D730A">
        <w:rPr>
          <w:rStyle w:val="Hyperlink"/>
          <w:sz w:val="24"/>
          <w:lang w:val="da-DK"/>
        </w:rPr>
        <w:t>https://fra.europa.eu/da/publication/2011/housing-conditions-roma-and-travellers-european-union-comparative-report</w:t>
      </w:r>
      <w:r>
        <w:fldChar w:fldCharType="end"/>
      </w:r>
      <w:r w:rsidRPr="004D730A">
        <w:rPr>
          <w:sz w:val="24"/>
          <w:lang w:val="da-DK"/>
        </w:rPr>
        <w:t>.</w:t>
      </w:r>
    </w:p>
  </w:footnote>
  <w:footnote w:id="55">
    <w:p w14:paraId="368D165B" w14:textId="3D6F7585"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 xml:space="preserve">UNICEF, </w:t>
      </w:r>
      <w:r w:rsidRPr="00525034">
        <w:rPr>
          <w:i/>
          <w:sz w:val="24"/>
          <w:lang w:val="en-GB"/>
        </w:rPr>
        <w:t>Policy brief: Keeping families together in Europe</w:t>
      </w:r>
      <w:r w:rsidRPr="00525034">
        <w:rPr>
          <w:sz w:val="24"/>
          <w:lang w:val="en-GB"/>
        </w:rPr>
        <w:t xml:space="preserve">, 2024, </w:t>
      </w:r>
      <w:r>
        <w:fldChar w:fldCharType="begin"/>
      </w:r>
      <w:r w:rsidRPr="00664EF0">
        <w:rPr>
          <w:lang w:val="en-GB"/>
        </w:rPr>
        <w:instrText>HYPERLINK "https://www.unicef.org/eca/media/36541/file/Keeping%20families%20together%20in%20Europe.pdf"</w:instrText>
      </w:r>
      <w:r>
        <w:fldChar w:fldCharType="separate"/>
      </w:r>
      <w:r w:rsidRPr="00525034">
        <w:rPr>
          <w:rStyle w:val="Hyperlink"/>
          <w:sz w:val="24"/>
          <w:lang w:val="en-GB"/>
        </w:rPr>
        <w:t>https://www.unicef.org/eca/media/36541/file/Keeping%20families%20together%20in%20Europe.pdf</w:t>
      </w:r>
      <w:r>
        <w:fldChar w:fldCharType="end"/>
      </w:r>
      <w:r w:rsidRPr="00525034">
        <w:rPr>
          <w:sz w:val="24"/>
          <w:lang w:val="en-GB"/>
        </w:rPr>
        <w:t>.</w:t>
      </w:r>
    </w:p>
  </w:footnote>
  <w:footnote w:id="56">
    <w:p w14:paraId="5D9F82B0" w14:textId="253BCD72"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fldChar w:fldCharType="begin"/>
      </w:r>
      <w:r w:rsidRPr="00664EF0">
        <w:rPr>
          <w:lang w:val="da-DK"/>
        </w:rPr>
        <w:instrText>HYPERLINK "https://ec.europa.eu/eurostat/cache/dashboard/social-scoreboard/"</w:instrText>
      </w:r>
      <w:r>
        <w:fldChar w:fldCharType="separate"/>
      </w:r>
      <w:r w:rsidRPr="004D730A">
        <w:rPr>
          <w:sz w:val="24"/>
          <w:lang w:val="da-DK"/>
        </w:rPr>
        <w:t xml:space="preserve">Eurostat, den sociale resultattavle, </w:t>
      </w:r>
      <w:hyperlink r:id="rId9" w:history="1">
        <w:r w:rsidRPr="004D730A">
          <w:rPr>
            <w:rStyle w:val="Hyperlink"/>
            <w:sz w:val="24"/>
            <w:lang w:val="da-DK"/>
          </w:rPr>
          <w:t>https://ec.europa.eu/eurostat/cache/dashboard/social-scoreboard</w:t>
        </w:r>
      </w:hyperlink>
      <w:r>
        <w:fldChar w:fldCharType="end"/>
      </w:r>
      <w:r w:rsidRPr="004D730A">
        <w:rPr>
          <w:sz w:val="24"/>
          <w:lang w:val="da-DK"/>
        </w:rPr>
        <w:t>.</w:t>
      </w:r>
    </w:p>
  </w:footnote>
  <w:footnote w:id="57">
    <w:p w14:paraId="4B658DC7" w14:textId="3922754A"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EUT C 398 af 22.12.2012, s. 1.</w:t>
      </w:r>
    </w:p>
  </w:footnote>
  <w:footnote w:id="58">
    <w:p w14:paraId="11FCDE18" w14:textId="3EF23E90"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Europa-Parlamentets beslutning af 6. juli 2022 om EU-handlingsplanen for den sociale økonomi (EUT C 47</w:t>
      </w:r>
      <w:r w:rsidR="00B43708">
        <w:rPr>
          <w:sz w:val="24"/>
          <w:lang w:val="da-DK"/>
        </w:rPr>
        <w:t xml:space="preserve"> af</w:t>
      </w:r>
      <w:r w:rsidRPr="004D730A">
        <w:rPr>
          <w:sz w:val="24"/>
          <w:lang w:val="da-DK"/>
        </w:rPr>
        <w:t xml:space="preserve"> 7.2.2023, s. 171).</w:t>
      </w:r>
    </w:p>
  </w:footnote>
  <w:footnote w:id="59">
    <w:p w14:paraId="4B11ACD9" w14:textId="6E47AA22"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 xml:space="preserve">Eurofound, </w:t>
      </w:r>
      <w:r w:rsidRPr="004D730A">
        <w:rPr>
          <w:i/>
          <w:sz w:val="24"/>
          <w:lang w:val="da-DK"/>
        </w:rPr>
        <w:t>Paths towards independent living and social inclusion in Europe</w:t>
      </w:r>
      <w:r w:rsidRPr="004D730A">
        <w:rPr>
          <w:sz w:val="24"/>
          <w:lang w:val="da-DK"/>
        </w:rPr>
        <w:t>, Den Europæiske Unions Publikationskontor, Luxembourg.</w:t>
      </w:r>
    </w:p>
  </w:footnote>
  <w:footnote w:id="60">
    <w:p w14:paraId="4AC42D39" w14:textId="5537D12C" w:rsidR="00E2668B" w:rsidRPr="00CE2801" w:rsidRDefault="00E2668B" w:rsidP="00CE2801">
      <w:pPr>
        <w:pStyle w:val="FootnoteText"/>
        <w:ind w:left="567" w:hanging="567"/>
        <w:rPr>
          <w:sz w:val="24"/>
          <w:szCs w:val="24"/>
          <w:lang w:val="da-DK"/>
        </w:rPr>
      </w:pPr>
      <w:r w:rsidRPr="00CE2801">
        <w:rPr>
          <w:rStyle w:val="FootnoteReference"/>
          <w:sz w:val="24"/>
          <w:szCs w:val="24"/>
        </w:rPr>
        <w:footnoteRef/>
      </w:r>
      <w:r w:rsidRPr="00CE2801">
        <w:rPr>
          <w:sz w:val="24"/>
          <w:szCs w:val="24"/>
          <w:lang w:val="da-DK"/>
        </w:rPr>
        <w:t xml:space="preserve"> </w:t>
      </w:r>
      <w:r w:rsidRPr="00CE2801">
        <w:rPr>
          <w:sz w:val="24"/>
          <w:szCs w:val="24"/>
          <w:lang w:val="da-DK"/>
        </w:rPr>
        <w:tab/>
        <w:t xml:space="preserve">Udvalget for Social Beskyttelse, "Update of the monitoring framework for the European Child Guarantee (Autumn 2025)" (Ajourføring af overvågningsrammen for den europæiske børnegaranti (efteråret 2025)), den 4. februar 2026, </w:t>
      </w:r>
      <w:r>
        <w:fldChar w:fldCharType="begin"/>
      </w:r>
      <w:r w:rsidRPr="00664EF0">
        <w:rPr>
          <w:lang w:val="da-DK"/>
        </w:rPr>
        <w:instrText>HYPERLINK "https://webgate.ec.europa.eu/circabc-ewpp/ui/group/bab664d7-1188-47b2-9fa6-869902320ba2/library/d7064b47-8a07-47b6-8d9f-0dc08849f2b7/details"</w:instrText>
      </w:r>
      <w:r>
        <w:fldChar w:fldCharType="separate"/>
      </w:r>
      <w:r w:rsidRPr="00CE2801">
        <w:rPr>
          <w:rStyle w:val="Hyperlink"/>
          <w:sz w:val="24"/>
          <w:szCs w:val="24"/>
          <w:lang w:val="da-DK"/>
        </w:rPr>
        <w:t>https://webgate.ec.europa.eu/circabc-ewpp/ui/group/bab664d7-1188-47b2-9fa6-869902320ba2/library/d7064b47-8a07-47b6-8d9f-0dc08849f2b7/details</w:t>
      </w:r>
      <w:r>
        <w:fldChar w:fldCharType="end"/>
      </w:r>
      <w:r w:rsidRPr="00CE2801">
        <w:rPr>
          <w:sz w:val="24"/>
          <w:szCs w:val="24"/>
          <w:lang w:val="da-DK"/>
        </w:rPr>
        <w:t xml:space="preserve">. </w:t>
      </w:r>
    </w:p>
  </w:footnote>
  <w:footnote w:id="61">
    <w:p w14:paraId="0020D235" w14:textId="75D1A255" w:rsidR="00725F53" w:rsidRPr="00525034" w:rsidRDefault="00725F53" w:rsidP="004D730A">
      <w:pPr>
        <w:pStyle w:val="FootnoteText"/>
        <w:ind w:left="567" w:hanging="567"/>
        <w:rPr>
          <w:sz w:val="24"/>
          <w:lang w:val="en-GB"/>
        </w:rPr>
      </w:pPr>
      <w:r w:rsidRPr="004D730A">
        <w:rPr>
          <w:rStyle w:val="FootnoteReference"/>
          <w:sz w:val="24"/>
          <w:lang w:val="da-DK"/>
        </w:rPr>
        <w:footnoteRef/>
      </w:r>
      <w:r w:rsidR="004D730A" w:rsidRPr="00525034">
        <w:rPr>
          <w:sz w:val="24"/>
          <w:lang w:val="en-GB"/>
        </w:rPr>
        <w:t xml:space="preserve"> </w:t>
      </w:r>
      <w:r w:rsidR="004D730A" w:rsidRPr="00525034">
        <w:rPr>
          <w:sz w:val="24"/>
          <w:lang w:val="en-GB"/>
        </w:rPr>
        <w:tab/>
      </w:r>
      <w:r w:rsidRPr="00525034">
        <w:rPr>
          <w:sz w:val="24"/>
          <w:lang w:val="en-GB"/>
        </w:rPr>
        <w:t>Europa-Kommissionen, "Update of the EU framework for monitoring the implementation of the European Child Guarantee", 2. juni 2025.</w:t>
      </w:r>
    </w:p>
  </w:footnote>
  <w:footnote w:id="62">
    <w:p w14:paraId="062CF8C6" w14:textId="1CD9D01C"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Kommissionens meddelelse af 28. september 2022 med titlen "Bedre vurdering af den fordelingsmæssige virkning af medlemsstaternes politikker" (COM(2022)0494).</w:t>
      </w:r>
    </w:p>
  </w:footnote>
  <w:footnote w:id="63">
    <w:p w14:paraId="06507C48" w14:textId="6A592E63" w:rsidR="00725F53" w:rsidRPr="004D730A" w:rsidRDefault="00725F53" w:rsidP="004D730A">
      <w:pPr>
        <w:pStyle w:val="FootnoteText"/>
        <w:ind w:left="567" w:hanging="567"/>
        <w:rPr>
          <w:sz w:val="24"/>
          <w:lang w:val="da-DK"/>
        </w:rPr>
      </w:pPr>
      <w:r w:rsidRPr="004D730A">
        <w:rPr>
          <w:rStyle w:val="FootnoteReference"/>
          <w:sz w:val="24"/>
          <w:lang w:val="da-DK"/>
        </w:rPr>
        <w:footnoteRef/>
      </w:r>
      <w:r w:rsidR="004D730A" w:rsidRPr="004D730A">
        <w:rPr>
          <w:sz w:val="24"/>
          <w:lang w:val="da-DK"/>
        </w:rPr>
        <w:t xml:space="preserve"> </w:t>
      </w:r>
      <w:r w:rsidR="004D730A" w:rsidRPr="004D730A">
        <w:rPr>
          <w:sz w:val="24"/>
          <w:lang w:val="da-DK"/>
        </w:rPr>
        <w:tab/>
      </w:r>
      <w:r w:rsidRPr="004D730A">
        <w:rPr>
          <w:sz w:val="24"/>
          <w:lang w:val="da-DK"/>
        </w:rPr>
        <w:t>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w:t>
      </w:r>
      <w:r w:rsidR="00664EF0">
        <w:rPr>
          <w:sz w:val="24"/>
          <w:lang w:val="da-DK"/>
        </w:rPr>
        <w:t xml:space="preserve"> </w:t>
      </w:r>
      <w:r w:rsidR="00664EF0">
        <w:rPr>
          <w:sz w:val="24"/>
          <w:lang w:val="da-DK"/>
        </w:rPr>
        <w:t>af</w:t>
      </w:r>
      <w:r w:rsidRPr="004D730A">
        <w:rPr>
          <w:sz w:val="24"/>
          <w:lang w:val="da-DK"/>
        </w:rPr>
        <w:t xml:space="preserve"> 30.6.2021</w:t>
      </w:r>
      <w:r w:rsidR="00664EF0">
        <w:rPr>
          <w:sz w:val="24"/>
          <w:lang w:val="da-DK"/>
        </w:rPr>
        <w:t>,</w:t>
      </w:r>
      <w:r w:rsidRPr="004D730A">
        <w:rPr>
          <w:sz w:val="24"/>
          <w:lang w:val="da-DK"/>
        </w:rPr>
        <w:t xml:space="preserve"> s. 159, ELI: </w:t>
      </w:r>
      <w:hyperlink r:id="rId10" w:tooltip="Giver adgang til dette dokument via dets ELI-URI." w:history="1">
        <w:r w:rsidRPr="004D730A">
          <w:rPr>
            <w:rStyle w:val="Hyperlink"/>
            <w:sz w:val="24"/>
            <w:lang w:val="da-DK"/>
          </w:rPr>
          <w:t>http://data.europa.eu/eli/reg/2021/1060/oj</w:t>
        </w:r>
      </w:hyperlink>
      <w:r w:rsidRPr="004D730A">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973363">
    <w:abstractNumId w:val="9"/>
  </w:num>
  <w:num w:numId="2" w16cid:durableId="74937592">
    <w:abstractNumId w:val="9"/>
  </w:num>
  <w:num w:numId="3" w16cid:durableId="977956084">
    <w:abstractNumId w:val="7"/>
  </w:num>
  <w:num w:numId="4" w16cid:durableId="1087188332">
    <w:abstractNumId w:val="7"/>
  </w:num>
  <w:num w:numId="5" w16cid:durableId="1255940747">
    <w:abstractNumId w:val="6"/>
  </w:num>
  <w:num w:numId="6" w16cid:durableId="205990920">
    <w:abstractNumId w:val="6"/>
  </w:num>
  <w:num w:numId="7" w16cid:durableId="2005890673">
    <w:abstractNumId w:val="5"/>
  </w:num>
  <w:num w:numId="8" w16cid:durableId="179243233">
    <w:abstractNumId w:val="5"/>
  </w:num>
  <w:num w:numId="9" w16cid:durableId="1384138043">
    <w:abstractNumId w:val="4"/>
  </w:num>
  <w:num w:numId="10" w16cid:durableId="394478553">
    <w:abstractNumId w:val="4"/>
  </w:num>
  <w:num w:numId="11" w16cid:durableId="1054623772">
    <w:abstractNumId w:val="8"/>
  </w:num>
  <w:num w:numId="12" w16cid:durableId="2127506462">
    <w:abstractNumId w:val="8"/>
  </w:num>
  <w:num w:numId="13" w16cid:durableId="1060832147">
    <w:abstractNumId w:val="3"/>
  </w:num>
  <w:num w:numId="14" w16cid:durableId="472404916">
    <w:abstractNumId w:val="3"/>
  </w:num>
  <w:num w:numId="15" w16cid:durableId="1412191554">
    <w:abstractNumId w:val="2"/>
  </w:num>
  <w:num w:numId="16" w16cid:durableId="154995238">
    <w:abstractNumId w:val="2"/>
  </w:num>
  <w:num w:numId="17" w16cid:durableId="1654093211">
    <w:abstractNumId w:val="1"/>
  </w:num>
  <w:num w:numId="18" w16cid:durableId="660740129">
    <w:abstractNumId w:val="1"/>
  </w:num>
  <w:num w:numId="19" w16cid:durableId="59642651">
    <w:abstractNumId w:val="0"/>
  </w:num>
  <w:num w:numId="20" w16cid:durableId="536893309">
    <w:abstractNumId w:val="0"/>
  </w:num>
  <w:num w:numId="21" w16cid:durableId="1185435959">
    <w:abstractNumId w:val="9"/>
  </w:num>
  <w:num w:numId="22" w16cid:durableId="431433667">
    <w:abstractNumId w:val="7"/>
  </w:num>
  <w:num w:numId="23" w16cid:durableId="1132404423">
    <w:abstractNumId w:val="6"/>
  </w:num>
  <w:num w:numId="24" w16cid:durableId="257838368">
    <w:abstractNumId w:val="5"/>
  </w:num>
  <w:num w:numId="25" w16cid:durableId="465973945">
    <w:abstractNumId w:val="4"/>
  </w:num>
  <w:num w:numId="26" w16cid:durableId="523515035">
    <w:abstractNumId w:val="8"/>
  </w:num>
  <w:num w:numId="27" w16cid:durableId="1007172906">
    <w:abstractNumId w:val="3"/>
  </w:num>
  <w:num w:numId="28" w16cid:durableId="238712853">
    <w:abstractNumId w:val="2"/>
  </w:num>
  <w:num w:numId="29" w16cid:durableId="518588663">
    <w:abstractNumId w:val="1"/>
  </w:num>
  <w:num w:numId="30" w16cid:durableId="598566640">
    <w:abstractNumId w:val="0"/>
  </w:num>
  <w:num w:numId="31" w16cid:durableId="1103067509">
    <w:abstractNumId w:val="9"/>
  </w:num>
  <w:num w:numId="32" w16cid:durableId="61997064">
    <w:abstractNumId w:val="7"/>
  </w:num>
  <w:num w:numId="33" w16cid:durableId="1302031360">
    <w:abstractNumId w:val="6"/>
  </w:num>
  <w:num w:numId="34" w16cid:durableId="122699835">
    <w:abstractNumId w:val="5"/>
  </w:num>
  <w:num w:numId="35" w16cid:durableId="206379700">
    <w:abstractNumId w:val="4"/>
  </w:num>
  <w:num w:numId="36" w16cid:durableId="1714961924">
    <w:abstractNumId w:val="8"/>
  </w:num>
  <w:num w:numId="37" w16cid:durableId="565721941">
    <w:abstractNumId w:val="3"/>
  </w:num>
  <w:num w:numId="38" w16cid:durableId="752047362">
    <w:abstractNumId w:val="2"/>
  </w:num>
  <w:num w:numId="39" w16cid:durableId="684405238">
    <w:abstractNumId w:val="1"/>
  </w:num>
  <w:num w:numId="40" w16cid:durableId="331300255">
    <w:abstractNumId w:val="0"/>
  </w:num>
  <w:num w:numId="41" w16cid:durableId="1305281834">
    <w:abstractNumId w:val="10"/>
  </w:num>
  <w:num w:numId="42" w16cid:durableId="807555840">
    <w:abstractNumId w:val="10"/>
  </w:num>
  <w:num w:numId="43" w16cid:durableId="1465272179">
    <w:abstractNumId w:val="10"/>
  </w:num>
  <w:num w:numId="44" w16cid:durableId="23528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DA"/>
    <w:docVar w:name="dvnumam" w:val="82"/>
    <w:docVar w:name="dvpe" w:val="774.256"/>
    <w:docVar w:name="dvrapporteur" w:val="Ordfører: "/>
    <w:docVar w:name="dvtitre" w:val="Europa-Parlamentets beslutning af xx.xx 2026 om udvikling af en ny EU-strategi for bekæmpelse af fattigdom(2025/2095(INI))"/>
  </w:docVars>
  <w:rsids>
    <w:rsidRoot w:val="000008D7"/>
    <w:rsid w:val="000008D7"/>
    <w:rsid w:val="00002272"/>
    <w:rsid w:val="00064002"/>
    <w:rsid w:val="000677B9"/>
    <w:rsid w:val="000831BA"/>
    <w:rsid w:val="000A42CC"/>
    <w:rsid w:val="000E7DD9"/>
    <w:rsid w:val="0010095E"/>
    <w:rsid w:val="00102905"/>
    <w:rsid w:val="0012025D"/>
    <w:rsid w:val="00125B37"/>
    <w:rsid w:val="00150EB4"/>
    <w:rsid w:val="00187494"/>
    <w:rsid w:val="001F32AE"/>
    <w:rsid w:val="00266E30"/>
    <w:rsid w:val="002767FF"/>
    <w:rsid w:val="002B18FE"/>
    <w:rsid w:val="002B5493"/>
    <w:rsid w:val="002D3C51"/>
    <w:rsid w:val="00343214"/>
    <w:rsid w:val="00361C00"/>
    <w:rsid w:val="00395FA1"/>
    <w:rsid w:val="003E15D4"/>
    <w:rsid w:val="00411CCE"/>
    <w:rsid w:val="0041666E"/>
    <w:rsid w:val="00421060"/>
    <w:rsid w:val="00471C19"/>
    <w:rsid w:val="004867E3"/>
    <w:rsid w:val="00494A28"/>
    <w:rsid w:val="004C0004"/>
    <w:rsid w:val="004C5D52"/>
    <w:rsid w:val="004D730A"/>
    <w:rsid w:val="0050519A"/>
    <w:rsid w:val="005072A1"/>
    <w:rsid w:val="00514517"/>
    <w:rsid w:val="00516FE9"/>
    <w:rsid w:val="00525034"/>
    <w:rsid w:val="00543372"/>
    <w:rsid w:val="00545827"/>
    <w:rsid w:val="00560270"/>
    <w:rsid w:val="005C2568"/>
    <w:rsid w:val="005F1B17"/>
    <w:rsid w:val="006037C0"/>
    <w:rsid w:val="006631B6"/>
    <w:rsid w:val="00664EF0"/>
    <w:rsid w:val="00680577"/>
    <w:rsid w:val="006E7B3F"/>
    <w:rsid w:val="006F4666"/>
    <w:rsid w:val="006F74FA"/>
    <w:rsid w:val="00725F53"/>
    <w:rsid w:val="00731ADD"/>
    <w:rsid w:val="00734777"/>
    <w:rsid w:val="00747932"/>
    <w:rsid w:val="00751A4A"/>
    <w:rsid w:val="00756632"/>
    <w:rsid w:val="00762C74"/>
    <w:rsid w:val="00786EC0"/>
    <w:rsid w:val="007D1690"/>
    <w:rsid w:val="007E22AD"/>
    <w:rsid w:val="00817416"/>
    <w:rsid w:val="00840C85"/>
    <w:rsid w:val="00842779"/>
    <w:rsid w:val="00865F67"/>
    <w:rsid w:val="00881A7B"/>
    <w:rsid w:val="008840E5"/>
    <w:rsid w:val="00887B3E"/>
    <w:rsid w:val="008C2AC6"/>
    <w:rsid w:val="00930C23"/>
    <w:rsid w:val="0093193B"/>
    <w:rsid w:val="00946B57"/>
    <w:rsid w:val="009509D8"/>
    <w:rsid w:val="00950B64"/>
    <w:rsid w:val="00981893"/>
    <w:rsid w:val="00991F7E"/>
    <w:rsid w:val="009D5730"/>
    <w:rsid w:val="00A1687D"/>
    <w:rsid w:val="00A43E52"/>
    <w:rsid w:val="00A4678D"/>
    <w:rsid w:val="00A778C7"/>
    <w:rsid w:val="00AB441E"/>
    <w:rsid w:val="00AB6293"/>
    <w:rsid w:val="00AE0928"/>
    <w:rsid w:val="00AF3B82"/>
    <w:rsid w:val="00B12E95"/>
    <w:rsid w:val="00B22876"/>
    <w:rsid w:val="00B2333F"/>
    <w:rsid w:val="00B43708"/>
    <w:rsid w:val="00B558F0"/>
    <w:rsid w:val="00BD48FE"/>
    <w:rsid w:val="00BD7BD8"/>
    <w:rsid w:val="00BE6ADC"/>
    <w:rsid w:val="00C05BFE"/>
    <w:rsid w:val="00C23CD4"/>
    <w:rsid w:val="00C61C0C"/>
    <w:rsid w:val="00C941CB"/>
    <w:rsid w:val="00CB4FED"/>
    <w:rsid w:val="00CC2357"/>
    <w:rsid w:val="00CE2801"/>
    <w:rsid w:val="00CE7BC8"/>
    <w:rsid w:val="00CF071A"/>
    <w:rsid w:val="00CF5FAF"/>
    <w:rsid w:val="00D058B8"/>
    <w:rsid w:val="00D56C11"/>
    <w:rsid w:val="00D834A0"/>
    <w:rsid w:val="00D872DF"/>
    <w:rsid w:val="00D91E21"/>
    <w:rsid w:val="00DA7FCD"/>
    <w:rsid w:val="00E2668B"/>
    <w:rsid w:val="00E365E1"/>
    <w:rsid w:val="00E820A4"/>
    <w:rsid w:val="00EB006A"/>
    <w:rsid w:val="00EB4772"/>
    <w:rsid w:val="00ED169E"/>
    <w:rsid w:val="00ED4235"/>
    <w:rsid w:val="00EF0664"/>
    <w:rsid w:val="00F04346"/>
    <w:rsid w:val="00F075DC"/>
    <w:rsid w:val="00F149E9"/>
    <w:rsid w:val="00F5134D"/>
    <w:rsid w:val="00F53764"/>
    <w:rsid w:val="00F74202"/>
    <w:rsid w:val="00F87713"/>
    <w:rsid w:val="00FB15FE"/>
    <w:rsid w:val="00FB4360"/>
    <w:rsid w:val="00FD0C70"/>
    <w:rsid w:val="00FE22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DB983"/>
  <w15:chartTrackingRefBased/>
  <w15:docId w15:val="{2B013770-5D25-4A15-8E43-9EE14009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25F53"/>
    <w:pPr>
      <w:spacing w:after="240"/>
      <w:ind w:left="567" w:hanging="567"/>
    </w:pPr>
  </w:style>
  <w:style w:type="paragraph" w:customStyle="1" w:styleId="EPComma">
    <w:name w:val="EPComma"/>
    <w:basedOn w:val="Normal"/>
    <w:rsid w:val="00725F53"/>
    <w:pPr>
      <w:spacing w:before="480" w:after="240"/>
    </w:pPr>
  </w:style>
  <w:style w:type="character" w:customStyle="1" w:styleId="doceo-font-family-base">
    <w:name w:val="doceo-font-family-base"/>
    <w:basedOn w:val="DefaultParagraphFont"/>
    <w:qFormat/>
    <w:rsid w:val="00725F53"/>
  </w:style>
  <w:style w:type="character" w:styleId="Hyperlink">
    <w:name w:val="Hyperlink"/>
    <w:basedOn w:val="DefaultParagraphFont"/>
    <w:rsid w:val="00725F53"/>
    <w:rPr>
      <w:color w:val="0563C1" w:themeColor="hyperlink"/>
      <w:u w:val="single"/>
    </w:rPr>
  </w:style>
  <w:style w:type="paragraph" w:styleId="Revision">
    <w:name w:val="Revision"/>
    <w:hidden/>
    <w:uiPriority w:val="99"/>
    <w:semiHidden/>
    <w:rsid w:val="00FB15FE"/>
    <w:rPr>
      <w:sz w:val="24"/>
      <w:lang w:val="da-DK"/>
    </w:rPr>
  </w:style>
  <w:style w:type="character" w:styleId="CommentReference">
    <w:name w:val="annotation reference"/>
    <w:basedOn w:val="DefaultParagraphFont"/>
    <w:rsid w:val="00CB4FED"/>
    <w:rPr>
      <w:sz w:val="16"/>
      <w:szCs w:val="16"/>
    </w:rPr>
  </w:style>
  <w:style w:type="paragraph" w:styleId="CommentText">
    <w:name w:val="annotation text"/>
    <w:basedOn w:val="Normal"/>
    <w:link w:val="CommentTextChar"/>
    <w:rsid w:val="00CB4FED"/>
    <w:rPr>
      <w:sz w:val="20"/>
    </w:rPr>
  </w:style>
  <w:style w:type="character" w:customStyle="1" w:styleId="CommentTextChar">
    <w:name w:val="Comment Text Char"/>
    <w:basedOn w:val="DefaultParagraphFont"/>
    <w:link w:val="CommentText"/>
    <w:rsid w:val="00CB4FED"/>
    <w:rPr>
      <w:lang w:val="da-DK"/>
    </w:rPr>
  </w:style>
  <w:style w:type="paragraph" w:styleId="CommentSubject">
    <w:name w:val="annotation subject"/>
    <w:basedOn w:val="CommentText"/>
    <w:next w:val="CommentText"/>
    <w:link w:val="CommentSubjectChar"/>
    <w:rsid w:val="00CB4FED"/>
    <w:rPr>
      <w:b/>
      <w:bCs/>
    </w:rPr>
  </w:style>
  <w:style w:type="character" w:customStyle="1" w:styleId="CommentSubjectChar">
    <w:name w:val="Comment Subject Char"/>
    <w:basedOn w:val="CommentTextChar"/>
    <w:link w:val="CommentSubject"/>
    <w:rsid w:val="00CB4FE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5" Type="http://schemas.openxmlformats.org/officeDocument/2006/relationships/hyperlink" Target="http://data.europa.eu/eli/dir/2023/970/oj" TargetMode="External"/><Relationship Id="rId10" Type="http://schemas.openxmlformats.org/officeDocument/2006/relationships/hyperlink" Target="http://data.europa.eu/eli/reg/2021/1060/oj" TargetMode="External"/><Relationship Id="rId4" Type="http://schemas.openxmlformats.org/officeDocument/2006/relationships/hyperlink" Target="http://data.europa.eu/eli/dir/2022/2041/oj" TargetMode="External"/><Relationship Id="rId9" Type="http://schemas.openxmlformats.org/officeDocument/2006/relationships/hyperlink" Target="https://ec.europa.eu/eurostat/cache/dashboard/social-score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11997</Words>
  <Characters>72995</Characters>
  <Application>Microsoft Office Word</Application>
  <DocSecurity>0</DocSecurity>
  <Lines>608</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3</cp:revision>
  <cp:lastPrinted>2004-11-19T15:42:00Z</cp:lastPrinted>
  <dcterms:created xsi:type="dcterms:W3CDTF">2026-03-16T07:04:00Z</dcterms:created>
  <dcterms:modified xsi:type="dcterms:W3CDTF">2026-04-30T15:22:00Z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A10-0260/2025</vt:lpwstr>
  </property>
  <property fmtid="{D5CDD505-2E9C-101B-9397-08002B2CF9AE}" pid="4" name="&lt;Type&gt;">
    <vt:lpwstr>RR</vt:lpwstr>
  </property>
</Properties>
</file>