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W w:w="9072" w:type="dxa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6804"/>
        <w:gridCol w:w="2268"/>
      </w:tblGrid>
      <w:tr w:rsidR="00751A4A" w:rsidRPr="00F94329" w14:paraId="718AC1EF" w14:textId="77777777" w:rsidTr="0010095E">
        <w:trPr>
          <w:trHeight w:hRule="exact" w:val="1418"/>
        </w:trPr>
        <w:tc>
          <w:tcPr>
            <w:tcW w:w="6804" w:type="dxa"/>
            <w:shd w:val="clear" w:color="auto" w:fill="auto"/>
            <w:vAlign w:val="center"/>
          </w:tcPr>
          <w:p w14:paraId="1A1F7F4D" w14:textId="77777777" w:rsidR="00751A4A" w:rsidRPr="00F94329" w:rsidRDefault="00F92A59" w:rsidP="0010095E">
            <w:pPr>
              <w:pStyle w:val="EPName"/>
            </w:pPr>
            <w:r w:rsidRPr="00F94329">
              <w:t>Európsky parlament</w:t>
            </w:r>
          </w:p>
          <w:p w14:paraId="456364B8" w14:textId="77777777" w:rsidR="00751A4A" w:rsidRPr="00F94329" w:rsidRDefault="005F1B17" w:rsidP="005F1B17">
            <w:pPr>
              <w:pStyle w:val="EPTerm"/>
              <w:rPr>
                <w:rStyle w:val="HideTWBExt"/>
                <w:noProof w:val="0"/>
                <w:vanish w:val="0"/>
                <w:color w:val="auto"/>
              </w:rPr>
            </w:pPr>
            <w:r w:rsidRPr="00F94329">
              <w:t>2024</w:t>
            </w:r>
            <w:r w:rsidR="00817416" w:rsidRPr="00F94329">
              <w:t>-202</w:t>
            </w:r>
            <w:r w:rsidRPr="00F94329">
              <w:t>9</w:t>
            </w:r>
          </w:p>
        </w:tc>
        <w:tc>
          <w:tcPr>
            <w:tcW w:w="2268" w:type="dxa"/>
            <w:shd w:val="clear" w:color="auto" w:fill="auto"/>
          </w:tcPr>
          <w:p w14:paraId="111BC615" w14:textId="77777777" w:rsidR="00751A4A" w:rsidRPr="00F94329" w:rsidRDefault="00187494" w:rsidP="0010095E">
            <w:pPr>
              <w:pStyle w:val="EPLogo"/>
            </w:pPr>
            <w:r w:rsidRPr="00F94329">
              <w:rPr>
                <w:noProof/>
                <w:lang w:eastAsia="ja-JP"/>
              </w:rPr>
              <w:drawing>
                <wp:inline distT="0" distB="0" distL="0" distR="0" wp14:anchorId="3BF823B7" wp14:editId="397F032A">
                  <wp:extent cx="1158875" cy="652145"/>
                  <wp:effectExtent l="0" t="0" r="0" b="0"/>
                  <wp:docPr id="1" name="Picture 1" descr="EP logo RGB_Mut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EP logo RGB_Mute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8875" cy="65214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733ED167" w14:textId="77777777" w:rsidR="00D058B8" w:rsidRPr="00F94329" w:rsidRDefault="00D058B8" w:rsidP="004C5D52">
      <w:pPr>
        <w:pStyle w:val="LineTop"/>
      </w:pPr>
    </w:p>
    <w:p w14:paraId="4BF445B1" w14:textId="77777777" w:rsidR="00680577" w:rsidRPr="00F94329" w:rsidRDefault="00F92A59" w:rsidP="00680577">
      <w:pPr>
        <w:pStyle w:val="EPBodyTA1"/>
      </w:pPr>
      <w:r w:rsidRPr="00F94329">
        <w:t>PRIJATÉ TEXTY</w:t>
      </w:r>
    </w:p>
    <w:p w14:paraId="75227914" w14:textId="77777777" w:rsidR="00D058B8" w:rsidRPr="00F94329" w:rsidRDefault="00D058B8" w:rsidP="00D058B8">
      <w:pPr>
        <w:pStyle w:val="LineBottom"/>
      </w:pPr>
    </w:p>
    <w:p w14:paraId="468BF60B" w14:textId="16012C70" w:rsidR="00F92A59" w:rsidRPr="00F94329" w:rsidRDefault="00F92A59" w:rsidP="00F92A59">
      <w:pPr>
        <w:pStyle w:val="ATHeading1"/>
      </w:pPr>
      <w:bookmarkStart w:id="0" w:name="TANumber"/>
      <w:r w:rsidRPr="00F94329">
        <w:t>P10_TA(2026)00</w:t>
      </w:r>
      <w:r w:rsidR="004F04AD" w:rsidRPr="00F94329">
        <w:t>49</w:t>
      </w:r>
      <w:bookmarkEnd w:id="0"/>
    </w:p>
    <w:p w14:paraId="026ACE8E" w14:textId="77777777" w:rsidR="00F92A59" w:rsidRPr="00F94329" w:rsidRDefault="00F92A59" w:rsidP="00F92A59">
      <w:pPr>
        <w:pStyle w:val="ATHeading2"/>
      </w:pPr>
      <w:bookmarkStart w:id="1" w:name="title"/>
      <w:r w:rsidRPr="00F94329">
        <w:t>Vypracovanie novej stratégie EÚ v oblasti boja proti chudobe</w:t>
      </w:r>
      <w:bookmarkEnd w:id="1"/>
    </w:p>
    <w:p w14:paraId="5682C6CC" w14:textId="77777777" w:rsidR="00F92A59" w:rsidRPr="00F94329" w:rsidRDefault="00F92A59" w:rsidP="00F92A59">
      <w:pPr>
        <w:rPr>
          <w:i/>
          <w:vanish/>
        </w:rPr>
      </w:pPr>
      <w:r w:rsidRPr="00F94329">
        <w:rPr>
          <w:i/>
        </w:rPr>
        <w:fldChar w:fldCharType="begin"/>
      </w:r>
      <w:r w:rsidRPr="00F94329">
        <w:rPr>
          <w:i/>
        </w:rPr>
        <w:instrText xml:space="preserve"> TC"(</w:instrText>
      </w:r>
      <w:bookmarkStart w:id="2" w:name="DocNumber"/>
      <w:r w:rsidRPr="00F94329">
        <w:rPr>
          <w:i/>
        </w:rPr>
        <w:instrText>A10-0260/2025</w:instrText>
      </w:r>
      <w:bookmarkEnd w:id="2"/>
      <w:r w:rsidRPr="00F94329">
        <w:rPr>
          <w:i/>
        </w:rPr>
        <w:instrText xml:space="preserve"> - Spravodajca: </w:instrText>
      </w:r>
      <w:proofErr w:type="spellStart"/>
      <w:r w:rsidRPr="00F94329">
        <w:rPr>
          <w:i/>
        </w:rPr>
        <w:instrText>João</w:instrText>
      </w:r>
      <w:proofErr w:type="spellEnd"/>
      <w:r w:rsidRPr="00F94329">
        <w:rPr>
          <w:i/>
        </w:rPr>
        <w:instrText xml:space="preserve"> </w:instrText>
      </w:r>
      <w:proofErr w:type="spellStart"/>
      <w:r w:rsidRPr="00F94329">
        <w:rPr>
          <w:i/>
        </w:rPr>
        <w:instrText>Oliveira</w:instrText>
      </w:r>
      <w:proofErr w:type="spellEnd"/>
      <w:r w:rsidRPr="00F94329">
        <w:rPr>
          <w:i/>
        </w:rPr>
        <w:instrText xml:space="preserve">)"\l3 \n&gt; \* MERGEFORMAT </w:instrText>
      </w:r>
      <w:r w:rsidRPr="00F94329">
        <w:rPr>
          <w:i/>
        </w:rPr>
        <w:fldChar w:fldCharType="end"/>
      </w:r>
    </w:p>
    <w:p w14:paraId="72115634" w14:textId="77777777" w:rsidR="00F92A59" w:rsidRPr="00F94329" w:rsidRDefault="00F92A59" w:rsidP="00F92A59">
      <w:pPr>
        <w:rPr>
          <w:vanish/>
        </w:rPr>
      </w:pPr>
      <w:bookmarkStart w:id="3" w:name="Commission"/>
      <w:r w:rsidRPr="00F94329">
        <w:rPr>
          <w:vanish/>
        </w:rPr>
        <w:t>Výbor pre zamestnanosť a sociálne veci</w:t>
      </w:r>
      <w:bookmarkEnd w:id="3"/>
    </w:p>
    <w:p w14:paraId="1E24EE6C" w14:textId="77777777" w:rsidR="00F92A59" w:rsidRPr="00F94329" w:rsidRDefault="00F92A59" w:rsidP="00F92A59">
      <w:pPr>
        <w:rPr>
          <w:vanish/>
        </w:rPr>
      </w:pPr>
      <w:bookmarkStart w:id="4" w:name="PE"/>
      <w:r w:rsidRPr="00F94329">
        <w:rPr>
          <w:vanish/>
        </w:rPr>
        <w:t>PE774.256</w:t>
      </w:r>
      <w:bookmarkEnd w:id="4"/>
    </w:p>
    <w:p w14:paraId="09DB5D82" w14:textId="1E1D41BE" w:rsidR="00F92A59" w:rsidRPr="00F94329" w:rsidRDefault="00F92A59" w:rsidP="00F92A59">
      <w:pPr>
        <w:pStyle w:val="ATHeading3"/>
      </w:pPr>
      <w:bookmarkStart w:id="5" w:name="Sujet"/>
      <w:r w:rsidRPr="00F94329">
        <w:t xml:space="preserve">Uznesenie Európskeho parlamentu z </w:t>
      </w:r>
      <w:r w:rsidR="007E3F23" w:rsidRPr="00F94329">
        <w:t>12</w:t>
      </w:r>
      <w:r w:rsidRPr="00F94329">
        <w:t xml:space="preserve">. </w:t>
      </w:r>
      <w:r w:rsidR="007E3F23" w:rsidRPr="00F94329">
        <w:t xml:space="preserve">februára </w:t>
      </w:r>
      <w:r w:rsidRPr="00F94329">
        <w:t>2026 o vypracovaní novej stratégie EÚ v oblasti boja proti chudobe</w:t>
      </w:r>
      <w:bookmarkEnd w:id="5"/>
      <w:r w:rsidRPr="00F94329">
        <w:t xml:space="preserve"> </w:t>
      </w:r>
      <w:bookmarkStart w:id="6" w:name="References"/>
      <w:r w:rsidRPr="00F94329">
        <w:t>(2025/2095(INI))</w:t>
      </w:r>
      <w:bookmarkEnd w:id="6"/>
    </w:p>
    <w:p w14:paraId="2A49F7F3" w14:textId="77777777" w:rsidR="00EF79E1" w:rsidRPr="00F94329" w:rsidRDefault="00EF79E1" w:rsidP="00EF79E1">
      <w:pPr>
        <w:pStyle w:val="EPComma"/>
        <w:rPr>
          <w:szCs w:val="24"/>
        </w:rPr>
      </w:pPr>
      <w:r w:rsidRPr="00F94329">
        <w:rPr>
          <w:i/>
        </w:rPr>
        <w:t>Európsky parlament,</w:t>
      </w:r>
    </w:p>
    <w:p w14:paraId="72BA0196" w14:textId="77777777" w:rsidR="00EF79E1" w:rsidRPr="00F94329" w:rsidRDefault="00EF79E1" w:rsidP="00EF79E1">
      <w:pPr>
        <w:pStyle w:val="NormalHanging12a"/>
        <w:rPr>
          <w:b/>
          <w:i/>
        </w:rPr>
      </w:pPr>
      <w:r w:rsidRPr="00F94329">
        <w:rPr>
          <w:b/>
          <w:i/>
        </w:rPr>
        <w:t>–</w:t>
      </w:r>
      <w:r w:rsidRPr="00F94329">
        <w:rPr>
          <w:b/>
          <w:i/>
        </w:rPr>
        <w:tab/>
      </w:r>
      <w:r w:rsidRPr="00F94329">
        <w:t>so zreteľom na článok 2 a článok 3 ods. 3 Zmluvy o Európskej únii,</w:t>
      </w:r>
    </w:p>
    <w:p w14:paraId="64DBCF4D" w14:textId="77777777" w:rsidR="00EF79E1" w:rsidRPr="00F94329" w:rsidRDefault="00EF79E1" w:rsidP="00EF79E1">
      <w:pPr>
        <w:pStyle w:val="NormalHanging12a"/>
        <w:rPr>
          <w:bCs/>
          <w:iCs/>
        </w:rPr>
      </w:pPr>
      <w:r w:rsidRPr="00F94329">
        <w:rPr>
          <w:b/>
          <w:i/>
        </w:rPr>
        <w:t>–</w:t>
      </w:r>
      <w:r w:rsidRPr="00F94329">
        <w:rPr>
          <w:b/>
          <w:i/>
        </w:rPr>
        <w:tab/>
      </w:r>
      <w:r w:rsidRPr="00F94329">
        <w:t>so zreteľom na články 145 až 161 Zmluvy o fungovaní Európskej únie,</w:t>
      </w:r>
    </w:p>
    <w:p w14:paraId="5FACA7E5" w14:textId="77777777" w:rsidR="00EF79E1" w:rsidRPr="00F94329" w:rsidRDefault="00EF79E1" w:rsidP="00EF79E1">
      <w:pPr>
        <w:pStyle w:val="NormalHanging12a"/>
        <w:rPr>
          <w:szCs w:val="24"/>
        </w:rPr>
      </w:pPr>
      <w:r w:rsidRPr="00F94329">
        <w:rPr>
          <w:rStyle w:val="doceo-font-family-base"/>
          <w:shd w:val="clear" w:color="auto" w:fill="FFFFFF"/>
        </w:rPr>
        <w:t>–</w:t>
      </w:r>
      <w:r w:rsidRPr="00F94329">
        <w:rPr>
          <w:rStyle w:val="doceo-font-family-base"/>
          <w:shd w:val="clear" w:color="auto" w:fill="FFFFFF"/>
        </w:rPr>
        <w:tab/>
      </w:r>
      <w:r w:rsidRPr="00F94329">
        <w:t>so zreteľom na Chartu základných práv Európskej únie,</w:t>
      </w:r>
    </w:p>
    <w:p w14:paraId="7DB1DDBF" w14:textId="77777777" w:rsidR="00EF79E1" w:rsidRPr="00F94329" w:rsidRDefault="00EF79E1" w:rsidP="00EF79E1">
      <w:pPr>
        <w:pStyle w:val="NormalHanging12a"/>
      </w:pPr>
      <w:r w:rsidRPr="00F94329">
        <w:t>–</w:t>
      </w:r>
      <w:r w:rsidRPr="00F94329">
        <w:tab/>
        <w:t>so zreteľom na Európsky pilier sociálnych práv a jeho akčný plán s jeho cieľmi do roku 2030 a sociálny prehľad EÚ a jeho hlavné a sekundárne ukazovatele,</w:t>
      </w:r>
    </w:p>
    <w:p w14:paraId="2B94D542" w14:textId="77777777" w:rsidR="00EF79E1" w:rsidRPr="00F94329" w:rsidRDefault="00EF79E1" w:rsidP="00EF79E1">
      <w:pPr>
        <w:pStyle w:val="NormalHanging12a"/>
        <w:rPr>
          <w:szCs w:val="24"/>
        </w:rPr>
      </w:pPr>
      <w:r w:rsidRPr="00F94329">
        <w:t>–</w:t>
      </w:r>
      <w:r w:rsidRPr="00F94329">
        <w:tab/>
        <w:t xml:space="preserve">so zreteľom na Portské vyhlásenie z 8. mája 2021, obnovené záväzky prijaté na sociálnom fóre v Porte v roku 2023 a vyhlásenie z La </w:t>
      </w:r>
      <w:proofErr w:type="spellStart"/>
      <w:r w:rsidRPr="00F94329">
        <w:t>Hulpe</w:t>
      </w:r>
      <w:proofErr w:type="spellEnd"/>
      <w:r w:rsidRPr="00F94329">
        <w:t xml:space="preserve"> zo 16. apríla 2024,</w:t>
      </w:r>
    </w:p>
    <w:p w14:paraId="07C61BF9" w14:textId="77777777" w:rsidR="00EF79E1" w:rsidRPr="00F94329" w:rsidRDefault="00EF79E1" w:rsidP="00EF79E1">
      <w:pPr>
        <w:pStyle w:val="NormalHanging12a"/>
        <w:rPr>
          <w:szCs w:val="24"/>
        </w:rPr>
      </w:pPr>
      <w:r w:rsidRPr="00F94329">
        <w:t>–</w:t>
      </w:r>
      <w:r w:rsidRPr="00F94329">
        <w:tab/>
        <w:t>so zreteľom na ciele udržateľného rozvoja stanovené v Agende 2030 pre udržateľný rozvoj OSN, ktorá bola prijatá v septembri 2015 v New Yorku,</w:t>
      </w:r>
    </w:p>
    <w:p w14:paraId="562BCE83" w14:textId="77777777" w:rsidR="00EF79E1" w:rsidRPr="00F94329" w:rsidRDefault="00EF79E1" w:rsidP="00EF79E1">
      <w:pPr>
        <w:pStyle w:val="NormalHanging12a"/>
        <w:rPr>
          <w:b/>
          <w:i/>
        </w:rPr>
      </w:pPr>
      <w:r w:rsidRPr="00F94329">
        <w:rPr>
          <w:b/>
          <w:i/>
        </w:rPr>
        <w:t>–</w:t>
      </w:r>
      <w:r w:rsidRPr="00F94329">
        <w:rPr>
          <w:b/>
          <w:i/>
        </w:rPr>
        <w:tab/>
      </w:r>
      <w:r w:rsidRPr="00F94329">
        <w:t xml:space="preserve">so zreteľom na správu s názvom </w:t>
      </w:r>
      <w:proofErr w:type="spellStart"/>
      <w:r w:rsidRPr="00F94329">
        <w:rPr>
          <w:i/>
          <w:iCs/>
        </w:rPr>
        <w:t>Sustainable</w:t>
      </w:r>
      <w:proofErr w:type="spellEnd"/>
      <w:r w:rsidRPr="00F94329">
        <w:rPr>
          <w:i/>
          <w:iCs/>
        </w:rPr>
        <w:t xml:space="preserve"> </w:t>
      </w:r>
      <w:proofErr w:type="spellStart"/>
      <w:r w:rsidRPr="00F94329">
        <w:rPr>
          <w:i/>
          <w:iCs/>
        </w:rPr>
        <w:t>Development</w:t>
      </w:r>
      <w:proofErr w:type="spellEnd"/>
      <w:r w:rsidRPr="00F94329">
        <w:rPr>
          <w:i/>
          <w:iCs/>
        </w:rPr>
        <w:t xml:space="preserve"> Report 2025</w:t>
      </w:r>
      <w:r w:rsidRPr="00F94329">
        <w:t xml:space="preserve"> (Správa o udržateľnom rozvoji 2025)</w:t>
      </w:r>
      <w:r w:rsidRPr="00F94329">
        <w:rPr>
          <w:rStyle w:val="FootnoteReference"/>
          <w:bCs/>
          <w:iCs/>
        </w:rPr>
        <w:footnoteReference w:id="1"/>
      </w:r>
      <w:r w:rsidRPr="00F94329">
        <w:t>, ktorá bola uverejnená 24. júna 2025,</w:t>
      </w:r>
    </w:p>
    <w:p w14:paraId="699E5420" w14:textId="77777777" w:rsidR="00EF79E1" w:rsidRPr="00F94329" w:rsidRDefault="00EF79E1" w:rsidP="00EF79E1">
      <w:pPr>
        <w:pStyle w:val="NormalHanging12a"/>
        <w:rPr>
          <w:bCs/>
          <w:iCs/>
        </w:rPr>
      </w:pPr>
      <w:r w:rsidRPr="00F94329">
        <w:rPr>
          <w:b/>
          <w:i/>
        </w:rPr>
        <w:t>–</w:t>
      </w:r>
      <w:r w:rsidRPr="00F94329">
        <w:rPr>
          <w:b/>
          <w:i/>
        </w:rPr>
        <w:tab/>
      </w:r>
      <w:r w:rsidRPr="00F94329">
        <w:t>so zreteľom na Dohovor OSN o odstránení všetkých foriem diskriminácie žien prijatý v roku 1979,</w:t>
      </w:r>
    </w:p>
    <w:p w14:paraId="7A0E35F9" w14:textId="77777777" w:rsidR="00EF79E1" w:rsidRPr="00F94329" w:rsidRDefault="00EF79E1" w:rsidP="00EF79E1">
      <w:pPr>
        <w:pStyle w:val="NormalHanging12a"/>
        <w:rPr>
          <w:b/>
          <w:i/>
        </w:rPr>
      </w:pPr>
      <w:r w:rsidRPr="00F94329">
        <w:rPr>
          <w:b/>
          <w:i/>
        </w:rPr>
        <w:t>–</w:t>
      </w:r>
      <w:r w:rsidRPr="00F94329">
        <w:rPr>
          <w:b/>
          <w:i/>
        </w:rPr>
        <w:tab/>
      </w:r>
      <w:r w:rsidRPr="00F94329">
        <w:t>so zreteľom na Dohovor Rady Európy o predchádzaní násiliu na ženách a domácemu násiliu a o boji proti nemu (Istanbulský dohovor) prijatý 11. mája 2011,</w:t>
      </w:r>
    </w:p>
    <w:p w14:paraId="0E39964F" w14:textId="77777777" w:rsidR="00EF79E1" w:rsidRPr="00F94329" w:rsidRDefault="00EF79E1" w:rsidP="00EF79E1">
      <w:pPr>
        <w:pStyle w:val="NormalHanging12a"/>
        <w:rPr>
          <w:szCs w:val="24"/>
        </w:rPr>
      </w:pPr>
      <w:r w:rsidRPr="00F94329">
        <w:t>–</w:t>
      </w:r>
      <w:r w:rsidRPr="00F94329">
        <w:tab/>
        <w:t xml:space="preserve">so zreteľom na Medzinárodný pakt OSN o hospodárskych, sociálnych a kultúrnych </w:t>
      </w:r>
      <w:r w:rsidRPr="00F94329">
        <w:lastRenderedPageBreak/>
        <w:t>právach prijatý 16. decembra 1966 v New Yorku,</w:t>
      </w:r>
    </w:p>
    <w:p w14:paraId="52480A1F" w14:textId="77777777" w:rsidR="00EF79E1" w:rsidRPr="00F94329" w:rsidRDefault="00EF79E1" w:rsidP="00EF79E1">
      <w:pPr>
        <w:pStyle w:val="NormalHanging12a"/>
      </w:pPr>
      <w:r w:rsidRPr="00F94329">
        <w:t>–</w:t>
      </w:r>
      <w:r w:rsidRPr="00F94329">
        <w:tab/>
        <w:t>so zreteľom na Dohovor OSN o právach dieťaťa prijatý 20. novembra 1989 v New Yorku a všeobecné komentáre Výboru OSN pre práva dieťaťa,</w:t>
      </w:r>
    </w:p>
    <w:p w14:paraId="30B934A9" w14:textId="77777777" w:rsidR="00EF79E1" w:rsidRPr="00F94329" w:rsidRDefault="00EF79E1" w:rsidP="00EF79E1">
      <w:pPr>
        <w:pStyle w:val="NormalHanging12a"/>
        <w:rPr>
          <w:szCs w:val="24"/>
        </w:rPr>
      </w:pPr>
      <w:r w:rsidRPr="00F94329">
        <w:t>–</w:t>
      </w:r>
      <w:r w:rsidRPr="00F94329">
        <w:tab/>
        <w:t>so zreteľom na Dohovor OSN o právach osôb so zdravotným postihnutím prijatý 12. decembra 2006 v New Yorku,</w:t>
      </w:r>
    </w:p>
    <w:p w14:paraId="4C25F25D" w14:textId="77777777" w:rsidR="00EF79E1" w:rsidRPr="00F94329" w:rsidRDefault="00EF79E1" w:rsidP="00EF79E1">
      <w:pPr>
        <w:pStyle w:val="NormalHanging12a"/>
        <w:rPr>
          <w:szCs w:val="24"/>
        </w:rPr>
      </w:pPr>
      <w:r w:rsidRPr="00F94329">
        <w:t>–</w:t>
      </w:r>
      <w:r w:rsidRPr="00F94329">
        <w:tab/>
        <w:t>so zreteľom na rezolúciu Valného zhromaždenia OSN o právach dieťaťa z 18. decembra 2019,</w:t>
      </w:r>
    </w:p>
    <w:p w14:paraId="66CFB1C0" w14:textId="77777777" w:rsidR="00EF79E1" w:rsidRPr="00F94329" w:rsidRDefault="00EF79E1" w:rsidP="00EF79E1">
      <w:pPr>
        <w:pStyle w:val="NormalHanging12a"/>
        <w:rPr>
          <w:b/>
          <w:i/>
        </w:rPr>
      </w:pPr>
      <w:r w:rsidRPr="00F94329">
        <w:rPr>
          <w:b/>
          <w:i/>
        </w:rPr>
        <w:t>–</w:t>
      </w:r>
      <w:r w:rsidRPr="00F94329">
        <w:rPr>
          <w:b/>
          <w:i/>
        </w:rPr>
        <w:tab/>
      </w:r>
      <w:r w:rsidRPr="00F94329">
        <w:t>so zreteľom na dohovory Medzinárodnej organizácie práce vrátane Dohovoru č. 102 o minimálnej norme sociálneho zabezpečenia, Dohovoru č. 111 o diskriminácii v zamestnaní a povolaní a Dohovoru č. 189 o dôstojných pracovných podmienkach pre pracovníkov v domácnosti,</w:t>
      </w:r>
    </w:p>
    <w:p w14:paraId="48E2F608" w14:textId="77777777" w:rsidR="00EF79E1" w:rsidRPr="00F94329" w:rsidRDefault="00EF79E1" w:rsidP="00EF79E1">
      <w:pPr>
        <w:pStyle w:val="NormalHanging12a"/>
        <w:rPr>
          <w:szCs w:val="24"/>
        </w:rPr>
      </w:pPr>
      <w:r w:rsidRPr="00F94329">
        <w:t>–</w:t>
      </w:r>
      <w:r w:rsidRPr="00F94329">
        <w:tab/>
        <w:t>so zreteľom na Európsku sociálnu chartu prijatú v roku 1961 v Turíne,</w:t>
      </w:r>
    </w:p>
    <w:p w14:paraId="46055E3B" w14:textId="77777777" w:rsidR="00EF79E1" w:rsidRPr="00F94329" w:rsidRDefault="00EF79E1" w:rsidP="00EF79E1">
      <w:pPr>
        <w:pStyle w:val="NormalHanging12a"/>
        <w:rPr>
          <w:bCs/>
          <w:iCs/>
        </w:rPr>
      </w:pPr>
      <w:r w:rsidRPr="00F94329">
        <w:rPr>
          <w:b/>
          <w:i/>
        </w:rPr>
        <w:t>–</w:t>
      </w:r>
      <w:r w:rsidRPr="00F94329">
        <w:rPr>
          <w:b/>
          <w:i/>
        </w:rPr>
        <w:tab/>
      </w:r>
      <w:r w:rsidRPr="00F94329">
        <w:t>so zreteľom na smernicu Rady 2000/43/ES z 29. júna 2000, ktorou sa zavádza zásada rovnakého zaobchádzania s osobami bez ohľadu na rasový alebo etnický pôvod</w:t>
      </w:r>
      <w:r w:rsidRPr="00F94329">
        <w:rPr>
          <w:rStyle w:val="FootnoteReference"/>
          <w:bCs/>
          <w:iCs/>
        </w:rPr>
        <w:footnoteReference w:id="2"/>
      </w:r>
      <w:r w:rsidRPr="00F94329">
        <w:t>,</w:t>
      </w:r>
    </w:p>
    <w:p w14:paraId="56FCE8A8" w14:textId="77777777" w:rsidR="00EF79E1" w:rsidRPr="00F94329" w:rsidRDefault="00EF79E1" w:rsidP="00EF79E1">
      <w:pPr>
        <w:pStyle w:val="NormalHanging12a"/>
        <w:rPr>
          <w:b/>
          <w:i/>
        </w:rPr>
      </w:pPr>
      <w:r w:rsidRPr="00F94329">
        <w:rPr>
          <w:b/>
          <w:i/>
        </w:rPr>
        <w:t>–</w:t>
      </w:r>
      <w:r w:rsidRPr="00F94329">
        <w:rPr>
          <w:b/>
          <w:i/>
        </w:rPr>
        <w:tab/>
      </w:r>
      <w:r w:rsidRPr="00F94329">
        <w:t>so zreteľom na smernicu Rady 2000/78/ES z 27. novembra 2000, ktorá ustanovuje všeobecný rámec pre rovnaké zaobchádzanie v zamestnaní a povolaní</w:t>
      </w:r>
      <w:r w:rsidRPr="00F94329">
        <w:rPr>
          <w:rStyle w:val="FootnoteReference"/>
          <w:bCs/>
          <w:iCs/>
        </w:rPr>
        <w:footnoteReference w:id="3"/>
      </w:r>
      <w:r w:rsidRPr="00F94329">
        <w:t>,</w:t>
      </w:r>
    </w:p>
    <w:p w14:paraId="3F764C19" w14:textId="77777777" w:rsidR="00EF79E1" w:rsidRPr="00F94329" w:rsidRDefault="00EF79E1" w:rsidP="00EF79E1">
      <w:pPr>
        <w:pStyle w:val="NormalHanging12a"/>
        <w:rPr>
          <w:szCs w:val="24"/>
        </w:rPr>
      </w:pPr>
      <w:r w:rsidRPr="00F94329">
        <w:t>–</w:t>
      </w:r>
      <w:r w:rsidRPr="00F94329">
        <w:tab/>
        <w:t>so zreteľom na smernicu Európskeho parlamentu a Rady (EÚ) 2019/1158 z 20. júna 2019 o rovnováhe medzi pracovným a súkromným životom rodičov a osôb s opatrovateľskými povinnosťami, ktorou sa zrušuje smernica Rady 2010/18/EÚ</w:t>
      </w:r>
      <w:r w:rsidRPr="00F94329">
        <w:rPr>
          <w:rStyle w:val="FootnoteReference"/>
        </w:rPr>
        <w:footnoteReference w:id="4"/>
      </w:r>
      <w:r w:rsidRPr="00F94329">
        <w:t>,</w:t>
      </w:r>
    </w:p>
    <w:p w14:paraId="38523778" w14:textId="77777777" w:rsidR="00EF79E1" w:rsidRPr="00F94329" w:rsidRDefault="00EF79E1" w:rsidP="00EF79E1">
      <w:pPr>
        <w:pStyle w:val="NormalHanging12a"/>
        <w:rPr>
          <w:b/>
          <w:i/>
        </w:rPr>
      </w:pPr>
      <w:r w:rsidRPr="00F94329">
        <w:rPr>
          <w:b/>
          <w:i/>
        </w:rPr>
        <w:t>–</w:t>
      </w:r>
      <w:r w:rsidRPr="00F94329">
        <w:rPr>
          <w:b/>
          <w:i/>
        </w:rPr>
        <w:tab/>
      </w:r>
      <w:r w:rsidRPr="00F94329">
        <w:t>so zreteľom na smernicu Európskeho parlamentu a Rady (EÚ) 2022/2041 z 19. októbra 2022 o primeraných minimálnych mzdách v Európskej únii</w:t>
      </w:r>
      <w:r w:rsidRPr="00F94329">
        <w:rPr>
          <w:rStyle w:val="FootnoteReference"/>
          <w:bCs/>
          <w:iCs/>
        </w:rPr>
        <w:footnoteReference w:id="5"/>
      </w:r>
      <w:r w:rsidRPr="00F94329">
        <w:t>,</w:t>
      </w:r>
    </w:p>
    <w:p w14:paraId="4526CF02" w14:textId="77777777" w:rsidR="00EF79E1" w:rsidRPr="00F94329" w:rsidRDefault="00EF79E1" w:rsidP="00EF79E1">
      <w:pPr>
        <w:pStyle w:val="NormalHanging12a"/>
        <w:rPr>
          <w:b/>
          <w:i/>
        </w:rPr>
      </w:pPr>
      <w:r w:rsidRPr="00F94329">
        <w:rPr>
          <w:b/>
          <w:i/>
        </w:rPr>
        <w:t>–</w:t>
      </w:r>
      <w:r w:rsidRPr="00F94329">
        <w:rPr>
          <w:b/>
          <w:i/>
        </w:rPr>
        <w:tab/>
      </w:r>
      <w:r w:rsidRPr="00F94329">
        <w:t>so zreteľom na smernicu Európskeho parlamentu a Rady (EÚ) 2023/970 z 10. mája 2023, ktorou sa posilňuje uplatňovanie zásady rovnakej odmeny pre mužov a ženy za rovnakú prácu alebo prácu rovnakej hodnoty prostredníctvom transparentnosti odmeňovania a mechanizmov presadzovania</w:t>
      </w:r>
      <w:r w:rsidRPr="00F94329">
        <w:rPr>
          <w:rStyle w:val="FootnoteReference"/>
          <w:bCs/>
          <w:iCs/>
        </w:rPr>
        <w:footnoteReference w:id="6"/>
      </w:r>
      <w:r w:rsidRPr="00F94329">
        <w:t>,</w:t>
      </w:r>
    </w:p>
    <w:p w14:paraId="7CE06673" w14:textId="77777777" w:rsidR="00EF79E1" w:rsidRPr="00F94329" w:rsidRDefault="00EF79E1" w:rsidP="00EF79E1">
      <w:pPr>
        <w:pStyle w:val="NormalHanging12a"/>
        <w:rPr>
          <w:b/>
          <w:i/>
        </w:rPr>
      </w:pPr>
      <w:r w:rsidRPr="00F94329">
        <w:rPr>
          <w:b/>
          <w:i/>
        </w:rPr>
        <w:t>–</w:t>
      </w:r>
      <w:r w:rsidRPr="00F94329">
        <w:rPr>
          <w:b/>
          <w:i/>
        </w:rPr>
        <w:tab/>
      </w:r>
      <w:r w:rsidRPr="00F94329">
        <w:t>so zreteľom na nariadenie Európskeho parlamentu a Rady (EÚ) 2023/955 z 10. mája 2023, ktorým sa zriaďuje Sociálno-klimatický fond a mení nariadenie (EÚ) 2021/1060</w:t>
      </w:r>
      <w:r w:rsidRPr="00F94329">
        <w:rPr>
          <w:rStyle w:val="FootnoteReference"/>
          <w:bCs/>
          <w:iCs/>
        </w:rPr>
        <w:footnoteReference w:id="7"/>
      </w:r>
      <w:r w:rsidRPr="00F94329">
        <w:t>,</w:t>
      </w:r>
    </w:p>
    <w:p w14:paraId="47C74B1A" w14:textId="77777777" w:rsidR="00EF79E1" w:rsidRPr="00F94329" w:rsidRDefault="00EF79E1" w:rsidP="00EF79E1">
      <w:pPr>
        <w:pStyle w:val="NormalHanging12a"/>
        <w:rPr>
          <w:b/>
          <w:i/>
        </w:rPr>
      </w:pPr>
      <w:r w:rsidRPr="00F94329">
        <w:rPr>
          <w:b/>
          <w:i/>
        </w:rPr>
        <w:t>–</w:t>
      </w:r>
      <w:r w:rsidRPr="00F94329">
        <w:rPr>
          <w:b/>
          <w:i/>
        </w:rPr>
        <w:tab/>
      </w:r>
      <w:r w:rsidRPr="00F94329">
        <w:t>so zreteľom na smernicu Európskeho parlamentu a Rady (EÚ) 2024/1385 zo 14. mája 2024 o boji proti násiliu na ženách a domácemu násiliu</w:t>
      </w:r>
      <w:r w:rsidRPr="00F94329">
        <w:rPr>
          <w:rStyle w:val="FootnoteReference"/>
          <w:bCs/>
          <w:iCs/>
        </w:rPr>
        <w:footnoteReference w:id="8"/>
      </w:r>
      <w:r w:rsidRPr="00F94329">
        <w:t>,</w:t>
      </w:r>
    </w:p>
    <w:p w14:paraId="43991211" w14:textId="77777777" w:rsidR="00EF79E1" w:rsidRPr="00F94329" w:rsidRDefault="00EF79E1" w:rsidP="00EF79E1">
      <w:pPr>
        <w:pStyle w:val="NormalHanging12a"/>
        <w:rPr>
          <w:bCs/>
          <w:iCs/>
        </w:rPr>
      </w:pPr>
      <w:r w:rsidRPr="00F94329">
        <w:rPr>
          <w:b/>
          <w:i/>
        </w:rPr>
        <w:t>–</w:t>
      </w:r>
      <w:r w:rsidRPr="00F94329">
        <w:rPr>
          <w:b/>
          <w:i/>
        </w:rPr>
        <w:tab/>
      </w:r>
      <w:r w:rsidRPr="00F94329">
        <w:t xml:space="preserve">so zreteľom na oznámenie Komisie zo 7. marca 2025 s názvom Plán pre práva žien </w:t>
      </w:r>
      <w:r w:rsidRPr="00F94329">
        <w:lastRenderedPageBreak/>
        <w:t>(COM(2025)0097),</w:t>
      </w:r>
    </w:p>
    <w:p w14:paraId="6256E60C" w14:textId="77777777" w:rsidR="00EF79E1" w:rsidRPr="00F94329" w:rsidRDefault="00EF79E1" w:rsidP="00EF79E1">
      <w:pPr>
        <w:pStyle w:val="NormalHanging12a"/>
        <w:rPr>
          <w:bCs/>
          <w:iCs/>
        </w:rPr>
      </w:pPr>
      <w:r w:rsidRPr="00F94329">
        <w:rPr>
          <w:b/>
          <w:i/>
        </w:rPr>
        <w:t>–</w:t>
      </w:r>
      <w:r w:rsidRPr="00F94329">
        <w:rPr>
          <w:b/>
          <w:i/>
        </w:rPr>
        <w:tab/>
      </w:r>
      <w:r w:rsidRPr="00F94329">
        <w:t>so zreteľom na svoje uznesenie z 30. januára 2020 o rozdieloch v odmeňovaní žien a mužov</w:t>
      </w:r>
      <w:r w:rsidRPr="00F94329">
        <w:rPr>
          <w:rStyle w:val="FootnoteReference"/>
          <w:bCs/>
          <w:iCs/>
        </w:rPr>
        <w:footnoteReference w:id="9"/>
      </w:r>
      <w:r w:rsidRPr="00F94329">
        <w:t>,</w:t>
      </w:r>
    </w:p>
    <w:p w14:paraId="3AC44C53" w14:textId="77777777" w:rsidR="00EF79E1" w:rsidRPr="00F94329" w:rsidRDefault="00EF79E1" w:rsidP="00EF79E1">
      <w:pPr>
        <w:pStyle w:val="NormalHanging12a"/>
        <w:rPr>
          <w:szCs w:val="24"/>
        </w:rPr>
      </w:pPr>
      <w:r w:rsidRPr="00F94329">
        <w:t>–</w:t>
      </w:r>
      <w:r w:rsidRPr="00F94329">
        <w:tab/>
        <w:t>so zreteľom na svoje uznesenie z 21. januára 2021 o prístupe k dôstojnému a cenovo dostupnému bývaniu pre všetkých</w:t>
      </w:r>
      <w:r w:rsidRPr="00F94329">
        <w:rPr>
          <w:rStyle w:val="FootnoteReference"/>
        </w:rPr>
        <w:footnoteReference w:id="10"/>
      </w:r>
      <w:r w:rsidRPr="00F94329">
        <w:t>,</w:t>
      </w:r>
    </w:p>
    <w:p w14:paraId="17B0F08F" w14:textId="77777777" w:rsidR="00EF79E1" w:rsidRPr="00F94329" w:rsidRDefault="00EF79E1" w:rsidP="00EF79E1">
      <w:pPr>
        <w:pStyle w:val="NormalHanging12a"/>
        <w:rPr>
          <w:szCs w:val="24"/>
        </w:rPr>
      </w:pPr>
      <w:r w:rsidRPr="00F94329">
        <w:t>–</w:t>
      </w:r>
      <w:r w:rsidRPr="00F94329">
        <w:tab/>
        <w:t>so zreteľom na svoje uznesenie z 10. februára 2021 o znižovaní nerovností s osobitným zameraním na chudobu pracujúcich</w:t>
      </w:r>
      <w:r w:rsidRPr="00F94329">
        <w:rPr>
          <w:rStyle w:val="FootnoteReference"/>
        </w:rPr>
        <w:footnoteReference w:id="11"/>
      </w:r>
      <w:r w:rsidRPr="00F94329">
        <w:t>,</w:t>
      </w:r>
    </w:p>
    <w:p w14:paraId="7A0960B5" w14:textId="77777777" w:rsidR="00EF79E1" w:rsidRPr="00F94329" w:rsidRDefault="00EF79E1" w:rsidP="00EF79E1">
      <w:pPr>
        <w:pStyle w:val="NormalHanging12a"/>
        <w:rPr>
          <w:bCs/>
          <w:iCs/>
        </w:rPr>
      </w:pPr>
      <w:r w:rsidRPr="00F94329">
        <w:rPr>
          <w:b/>
          <w:i/>
        </w:rPr>
        <w:t>–</w:t>
      </w:r>
      <w:r w:rsidRPr="00F94329">
        <w:rPr>
          <w:b/>
          <w:i/>
        </w:rPr>
        <w:tab/>
      </w:r>
      <w:r w:rsidRPr="00F94329">
        <w:t>so zreteľom na svoje uznesenie z 11. marca 2021 o právach detí vzhľadom na stratégiu EÚ v oblasti práv dieťaťa</w:t>
      </w:r>
      <w:r w:rsidRPr="00F94329">
        <w:rPr>
          <w:rStyle w:val="FootnoteReference"/>
          <w:bCs/>
          <w:iCs/>
        </w:rPr>
        <w:footnoteReference w:id="12"/>
      </w:r>
      <w:r w:rsidRPr="00F94329">
        <w:t>,</w:t>
      </w:r>
    </w:p>
    <w:p w14:paraId="54CFF9E3" w14:textId="77777777" w:rsidR="00EF79E1" w:rsidRPr="00F94329" w:rsidRDefault="00EF79E1" w:rsidP="00EF79E1">
      <w:pPr>
        <w:pStyle w:val="NormalHanging12a"/>
        <w:rPr>
          <w:szCs w:val="24"/>
        </w:rPr>
      </w:pPr>
      <w:r w:rsidRPr="00F94329">
        <w:t>–</w:t>
      </w:r>
      <w:r w:rsidRPr="00F94329">
        <w:tab/>
        <w:t>so zreteľom na svoje uznesenie z 29. apríla 2021 o Európskej záruke pre deti</w:t>
      </w:r>
      <w:r w:rsidRPr="00F94329">
        <w:rPr>
          <w:rStyle w:val="FootnoteReference"/>
        </w:rPr>
        <w:footnoteReference w:id="13"/>
      </w:r>
      <w:r w:rsidRPr="00F94329">
        <w:t>,</w:t>
      </w:r>
    </w:p>
    <w:p w14:paraId="49B2564D" w14:textId="77777777" w:rsidR="00EF79E1" w:rsidRPr="00F94329" w:rsidRDefault="00EF79E1" w:rsidP="00EF79E1">
      <w:pPr>
        <w:pStyle w:val="NormalHanging12a"/>
        <w:rPr>
          <w:bCs/>
          <w:iCs/>
        </w:rPr>
      </w:pPr>
      <w:r w:rsidRPr="00F94329">
        <w:rPr>
          <w:b/>
          <w:i/>
        </w:rPr>
        <w:t>–</w:t>
      </w:r>
      <w:r w:rsidRPr="00F94329">
        <w:rPr>
          <w:b/>
          <w:i/>
        </w:rPr>
        <w:tab/>
      </w:r>
      <w:r w:rsidRPr="00F94329">
        <w:t>so zreteľom na svoje uznesenie z 5. júla 2022 o chudobe žien v Európe</w:t>
      </w:r>
      <w:r w:rsidRPr="00F94329">
        <w:rPr>
          <w:rStyle w:val="FootnoteReference"/>
          <w:bCs/>
          <w:iCs/>
        </w:rPr>
        <w:footnoteReference w:id="14"/>
      </w:r>
      <w:r w:rsidRPr="00F94329">
        <w:t>,</w:t>
      </w:r>
    </w:p>
    <w:p w14:paraId="59A5A3D5" w14:textId="77777777" w:rsidR="00EF79E1" w:rsidRPr="00F94329" w:rsidRDefault="00EF79E1" w:rsidP="00EF79E1">
      <w:pPr>
        <w:pStyle w:val="NormalHanging12a"/>
        <w:rPr>
          <w:b/>
          <w:i/>
        </w:rPr>
      </w:pPr>
      <w:r w:rsidRPr="00F94329">
        <w:rPr>
          <w:b/>
          <w:i/>
        </w:rPr>
        <w:t>–</w:t>
      </w:r>
      <w:r w:rsidRPr="00F94329">
        <w:rPr>
          <w:b/>
          <w:i/>
        </w:rPr>
        <w:tab/>
      </w:r>
      <w:r w:rsidRPr="00F94329">
        <w:t>so zreteľom na svoje uznesenie z 5. októbra 2022 o situácii Rómov žijúcich v osadách v EÚ</w:t>
      </w:r>
      <w:r w:rsidRPr="00F94329">
        <w:rPr>
          <w:rStyle w:val="FootnoteReference"/>
          <w:bCs/>
          <w:iCs/>
        </w:rPr>
        <w:footnoteReference w:id="15"/>
      </w:r>
      <w:r w:rsidRPr="00F94329">
        <w:t>,</w:t>
      </w:r>
    </w:p>
    <w:p w14:paraId="428B16BE" w14:textId="77777777" w:rsidR="00EF79E1" w:rsidRPr="00F94329" w:rsidRDefault="00EF79E1" w:rsidP="00EF79E1">
      <w:pPr>
        <w:pStyle w:val="NormalHanging12a"/>
        <w:rPr>
          <w:b/>
          <w:i/>
        </w:rPr>
      </w:pPr>
      <w:r w:rsidRPr="00F94329">
        <w:rPr>
          <w:b/>
          <w:i/>
        </w:rPr>
        <w:t>–</w:t>
      </w:r>
      <w:r w:rsidRPr="00F94329">
        <w:rPr>
          <w:b/>
          <w:i/>
        </w:rPr>
        <w:tab/>
      </w:r>
      <w:r w:rsidRPr="00F94329">
        <w:t>so zreteľom na svoje uznesenie z 15. marca 2023 o primeranom minimálnom príjme zaručujúcom aktívne začleňovanie</w:t>
      </w:r>
      <w:r w:rsidRPr="00F94329">
        <w:rPr>
          <w:rStyle w:val="FootnoteReference"/>
          <w:bCs/>
          <w:iCs/>
        </w:rPr>
        <w:footnoteReference w:id="16"/>
      </w:r>
      <w:r w:rsidRPr="00F94329">
        <w:t>,</w:t>
      </w:r>
    </w:p>
    <w:p w14:paraId="6CF4543B" w14:textId="77777777" w:rsidR="00EF79E1" w:rsidRPr="00F94329" w:rsidRDefault="00EF79E1" w:rsidP="00EF79E1">
      <w:pPr>
        <w:pStyle w:val="NormalHanging12a"/>
        <w:rPr>
          <w:b/>
          <w:i/>
        </w:rPr>
      </w:pPr>
      <w:r w:rsidRPr="00F94329">
        <w:rPr>
          <w:b/>
          <w:i/>
        </w:rPr>
        <w:t>–</w:t>
      </w:r>
      <w:r w:rsidRPr="00F94329">
        <w:rPr>
          <w:b/>
          <w:i/>
        </w:rPr>
        <w:tab/>
      </w:r>
      <w:r w:rsidRPr="00F94329">
        <w:t>so zreteľom na svoje uznesenie z 9. mája 2023 o vykonávaní školského programu pre ovocie, zeleninu, mlieko a mliečne výrobky podľa nariadenia o spoločnej organizácii trhov</w:t>
      </w:r>
      <w:r w:rsidRPr="00F94329">
        <w:rPr>
          <w:rStyle w:val="FootnoteReference"/>
          <w:bCs/>
          <w:iCs/>
        </w:rPr>
        <w:footnoteReference w:id="17"/>
      </w:r>
      <w:r w:rsidRPr="00F94329">
        <w:t>,</w:t>
      </w:r>
    </w:p>
    <w:p w14:paraId="74505A22" w14:textId="77777777" w:rsidR="00EF79E1" w:rsidRPr="00F94329" w:rsidRDefault="00EF79E1" w:rsidP="00EF79E1">
      <w:pPr>
        <w:pStyle w:val="NormalHanging12a"/>
        <w:rPr>
          <w:szCs w:val="24"/>
        </w:rPr>
      </w:pPr>
      <w:r w:rsidRPr="00F94329">
        <w:t>–</w:t>
      </w:r>
      <w:r w:rsidRPr="00F94329">
        <w:tab/>
        <w:t>so zreteľom na svoje uznesenie z 21. novembra 2023 o znižovaní nerovností a podpore sociálneho začlenenia detí a ich rodín v čase krízy</w:t>
      </w:r>
      <w:r w:rsidRPr="00F94329">
        <w:rPr>
          <w:rStyle w:val="FootnoteReference"/>
        </w:rPr>
        <w:footnoteReference w:id="18"/>
      </w:r>
      <w:r w:rsidRPr="00F94329">
        <w:t>,</w:t>
      </w:r>
    </w:p>
    <w:p w14:paraId="499ED08C" w14:textId="77777777" w:rsidR="00EF79E1" w:rsidRPr="00F94329" w:rsidRDefault="00EF79E1" w:rsidP="00EF79E1">
      <w:pPr>
        <w:pStyle w:val="NormalHanging12a"/>
        <w:rPr>
          <w:b/>
          <w:i/>
        </w:rPr>
      </w:pPr>
      <w:r w:rsidRPr="00F94329">
        <w:rPr>
          <w:b/>
          <w:i/>
        </w:rPr>
        <w:t>–</w:t>
      </w:r>
      <w:r w:rsidRPr="00F94329">
        <w:rPr>
          <w:b/>
          <w:i/>
        </w:rPr>
        <w:tab/>
      </w:r>
      <w:r w:rsidRPr="00F94329">
        <w:t>so zreteľom na svoje uznesenie z 21. novembra 2023 s názvom Deti na prvom mieste – posilnenie záruky pre deti dva roky po jej prijatí</w:t>
      </w:r>
      <w:r w:rsidRPr="00F94329">
        <w:rPr>
          <w:rStyle w:val="FootnoteReference"/>
          <w:bCs/>
          <w:iCs/>
        </w:rPr>
        <w:footnoteReference w:id="19"/>
      </w:r>
      <w:r w:rsidRPr="00F94329">
        <w:t>,</w:t>
      </w:r>
    </w:p>
    <w:p w14:paraId="6CB370FC" w14:textId="77777777" w:rsidR="00EF79E1" w:rsidRPr="00F94329" w:rsidRDefault="00EF79E1" w:rsidP="00EF79E1">
      <w:pPr>
        <w:pStyle w:val="NormalHanging12a"/>
        <w:rPr>
          <w:b/>
          <w:i/>
        </w:rPr>
      </w:pPr>
      <w:r w:rsidRPr="00F94329">
        <w:rPr>
          <w:b/>
          <w:i/>
        </w:rPr>
        <w:t>–</w:t>
      </w:r>
      <w:r w:rsidRPr="00F94329">
        <w:rPr>
          <w:b/>
          <w:i/>
        </w:rPr>
        <w:tab/>
      </w:r>
      <w:r w:rsidRPr="00F94329">
        <w:t>so zreteľom na svoje uznesenie z 23. novembra 2023 o tvorbe pracovných miest: spravodlivá transformácia a spoločensky prospešné investovanie</w:t>
      </w:r>
      <w:r w:rsidRPr="00F94329">
        <w:rPr>
          <w:rStyle w:val="FootnoteReference"/>
          <w:bCs/>
          <w:iCs/>
        </w:rPr>
        <w:footnoteReference w:id="20"/>
      </w:r>
      <w:r w:rsidRPr="00F94329">
        <w:t>,</w:t>
      </w:r>
    </w:p>
    <w:p w14:paraId="3B02637E" w14:textId="77777777" w:rsidR="00EF79E1" w:rsidRPr="00F94329" w:rsidRDefault="00EF79E1" w:rsidP="00EF79E1">
      <w:pPr>
        <w:pStyle w:val="NormalHanging12a"/>
        <w:rPr>
          <w:b/>
          <w:i/>
        </w:rPr>
      </w:pPr>
      <w:r w:rsidRPr="00F94329">
        <w:rPr>
          <w:b/>
          <w:i/>
        </w:rPr>
        <w:t>–</w:t>
      </w:r>
      <w:r w:rsidRPr="00F94329">
        <w:rPr>
          <w:b/>
          <w:i/>
        </w:rPr>
        <w:tab/>
      </w:r>
      <w:r w:rsidRPr="00F94329">
        <w:t xml:space="preserve">so zreteľom na odporúčanie Rady z 22. mája 2019 týkajúce sa vysokokvalitných </w:t>
      </w:r>
      <w:r w:rsidRPr="00F94329">
        <w:lastRenderedPageBreak/>
        <w:t>systémov vzdelávania a starostlivosti v ranom detstve</w:t>
      </w:r>
      <w:r w:rsidRPr="00F94329">
        <w:rPr>
          <w:rStyle w:val="FootnoteReference"/>
          <w:bCs/>
          <w:iCs/>
        </w:rPr>
        <w:footnoteReference w:id="21"/>
      </w:r>
      <w:r w:rsidRPr="00F94329">
        <w:t>,</w:t>
      </w:r>
    </w:p>
    <w:p w14:paraId="65AF9AA2" w14:textId="77777777" w:rsidR="00EF79E1" w:rsidRPr="00F94329" w:rsidRDefault="00EF79E1" w:rsidP="00EF79E1">
      <w:pPr>
        <w:pStyle w:val="NormalHanging12a"/>
        <w:rPr>
          <w:b/>
          <w:i/>
        </w:rPr>
      </w:pPr>
      <w:r w:rsidRPr="00F94329">
        <w:rPr>
          <w:b/>
          <w:i/>
        </w:rPr>
        <w:t>–</w:t>
      </w:r>
      <w:r w:rsidRPr="00F94329">
        <w:rPr>
          <w:b/>
          <w:i/>
        </w:rPr>
        <w:tab/>
      </w:r>
      <w:r w:rsidRPr="00F94329">
        <w:t>so zreteľom na odporúčanie Komisie 2013/112/EÚ z 20. februára 2013 s názvom Investovať do detí: východisko z bludného kruhu znevýhodnenia</w:t>
      </w:r>
      <w:r w:rsidRPr="00F94329">
        <w:rPr>
          <w:rStyle w:val="FootnoteReference"/>
        </w:rPr>
        <w:footnoteReference w:id="22"/>
      </w:r>
      <w:r w:rsidRPr="00F94329">
        <w:t>,</w:t>
      </w:r>
    </w:p>
    <w:p w14:paraId="1CCC2C18" w14:textId="77777777" w:rsidR="00EF79E1" w:rsidRPr="00F94329" w:rsidRDefault="00EF79E1" w:rsidP="00EF79E1">
      <w:pPr>
        <w:pStyle w:val="NormalHanging12a"/>
        <w:rPr>
          <w:szCs w:val="24"/>
        </w:rPr>
      </w:pPr>
      <w:r w:rsidRPr="00F94329">
        <w:t>–</w:t>
      </w:r>
      <w:r w:rsidRPr="00F94329">
        <w:tab/>
        <w:t>so zreteľom na oznámenie Komisie z 24. marca 2021 s názvom Stratégia EÚ v oblasti práv dieťaťa (COM(2021)0142),</w:t>
      </w:r>
    </w:p>
    <w:p w14:paraId="5FC45621" w14:textId="77777777" w:rsidR="00EF79E1" w:rsidRPr="00F94329" w:rsidRDefault="00EF79E1" w:rsidP="00EF79E1">
      <w:pPr>
        <w:pStyle w:val="NormalHanging12a"/>
        <w:rPr>
          <w:b/>
          <w:i/>
        </w:rPr>
      </w:pPr>
      <w:r w:rsidRPr="00F94329">
        <w:rPr>
          <w:b/>
          <w:i/>
        </w:rPr>
        <w:t>–</w:t>
      </w:r>
      <w:r w:rsidRPr="00F94329">
        <w:rPr>
          <w:b/>
          <w:i/>
        </w:rPr>
        <w:tab/>
      </w:r>
      <w:r w:rsidRPr="00F94329">
        <w:t>so zreteľom na odporúčanie Komisie (EÚ) 2024/1238 z 23. apríla 2024 o rozvoji a posilňovaní integrovaných systémov ochrany detí v najlepšom záujme dieťaťa</w:t>
      </w:r>
      <w:r w:rsidRPr="00F94329">
        <w:rPr>
          <w:rStyle w:val="FootnoteReference"/>
          <w:bCs/>
          <w:iCs/>
        </w:rPr>
        <w:footnoteReference w:id="23"/>
      </w:r>
      <w:r w:rsidRPr="00F94329">
        <w:t>,</w:t>
      </w:r>
    </w:p>
    <w:p w14:paraId="0A291FC9" w14:textId="77777777" w:rsidR="00EF79E1" w:rsidRPr="00F94329" w:rsidRDefault="00EF79E1" w:rsidP="00EF79E1">
      <w:pPr>
        <w:pStyle w:val="NormalHanging12a"/>
        <w:rPr>
          <w:szCs w:val="24"/>
        </w:rPr>
      </w:pPr>
      <w:r w:rsidRPr="00F94329">
        <w:t>–</w:t>
      </w:r>
      <w:r w:rsidRPr="00F94329">
        <w:tab/>
        <w:t>so zreteľom na odporúčanie Rady (EÚ) 2021/1004 zo 14. júna 2021, ktorým sa zriaďuje Európska záruka pre deti</w:t>
      </w:r>
      <w:r w:rsidRPr="00F94329">
        <w:rPr>
          <w:rStyle w:val="FootnoteReference"/>
        </w:rPr>
        <w:footnoteReference w:id="24"/>
      </w:r>
      <w:r w:rsidRPr="00F94329">
        <w:t>,</w:t>
      </w:r>
    </w:p>
    <w:p w14:paraId="66B515CB" w14:textId="2C071EA4" w:rsidR="00EF79E1" w:rsidRPr="00F94329" w:rsidRDefault="00EF79E1" w:rsidP="00EF79E1">
      <w:pPr>
        <w:pStyle w:val="NormalHanging12a"/>
        <w:rPr>
          <w:szCs w:val="24"/>
        </w:rPr>
      </w:pPr>
      <w:r w:rsidRPr="00F94329">
        <w:t>–</w:t>
      </w:r>
      <w:r w:rsidRPr="00F94329">
        <w:tab/>
        <w:t xml:space="preserve">so zreteľom na oznámenie Komisie zo 7. júna 2023 o komplexnom prístupe k duševnému zdraviu </w:t>
      </w:r>
      <w:r w:rsidR="007E3F23" w:rsidRPr="00F94329">
        <w:t>(</w:t>
      </w:r>
      <w:r w:rsidRPr="00F94329">
        <w:t>COM(2023)0298),</w:t>
      </w:r>
    </w:p>
    <w:p w14:paraId="4C11FA4A" w14:textId="77777777" w:rsidR="00EF79E1" w:rsidRPr="00F94329" w:rsidRDefault="00EF79E1" w:rsidP="00EF79E1">
      <w:pPr>
        <w:pStyle w:val="NormalHanging12a"/>
        <w:rPr>
          <w:szCs w:val="24"/>
        </w:rPr>
      </w:pPr>
      <w:r w:rsidRPr="00F94329">
        <w:t>–</w:t>
      </w:r>
      <w:r w:rsidRPr="00F94329">
        <w:tab/>
        <w:t>so zreteľom na oznámenie Komisie z 5. marca 2020 s názvom Únia rovnosti: stratégia pre rodovú rovnosť na roky 2020 – 2025 (COM(2020)0152),</w:t>
      </w:r>
    </w:p>
    <w:p w14:paraId="68BBD826" w14:textId="77777777" w:rsidR="00EF79E1" w:rsidRPr="00F94329" w:rsidRDefault="00EF79E1" w:rsidP="00EF79E1">
      <w:pPr>
        <w:pStyle w:val="NormalHanging12a"/>
        <w:rPr>
          <w:b/>
          <w:i/>
        </w:rPr>
      </w:pPr>
      <w:r w:rsidRPr="00F94329">
        <w:rPr>
          <w:b/>
          <w:i/>
        </w:rPr>
        <w:t>–</w:t>
      </w:r>
      <w:r w:rsidRPr="00F94329">
        <w:rPr>
          <w:b/>
          <w:i/>
        </w:rPr>
        <w:tab/>
      </w:r>
      <w:r w:rsidRPr="00F94329">
        <w:t>so zreteľom na oznámenie Komisie z 18. septembra 2020 s názvom Únia rovnosti: akčný plán EÚ proti rasizmu na roky 2020 – 2025 (COM(2020)0565),</w:t>
      </w:r>
    </w:p>
    <w:p w14:paraId="09601FE5" w14:textId="77777777" w:rsidR="00EF79E1" w:rsidRPr="00F94329" w:rsidRDefault="00EF79E1" w:rsidP="00EF79E1">
      <w:pPr>
        <w:pStyle w:val="NormalHanging12a"/>
        <w:rPr>
          <w:b/>
          <w:i/>
        </w:rPr>
      </w:pPr>
      <w:r w:rsidRPr="00F94329">
        <w:rPr>
          <w:b/>
          <w:i/>
        </w:rPr>
        <w:t>–</w:t>
      </w:r>
      <w:r w:rsidRPr="00F94329">
        <w:rPr>
          <w:b/>
          <w:i/>
        </w:rPr>
        <w:tab/>
      </w:r>
      <w:r w:rsidRPr="00F94329">
        <w:t>so zreteľom na oznámenie Komisie z 12. novembra 2020 s názvom Únia rovnosti: stratégia pre rovnosť LGBTIQ osôb na roky 2020 – 2025 (COM(2020)0698),</w:t>
      </w:r>
    </w:p>
    <w:p w14:paraId="47B451DB" w14:textId="77777777" w:rsidR="00EF79E1" w:rsidRPr="00F94329" w:rsidRDefault="00EF79E1" w:rsidP="00EF79E1">
      <w:pPr>
        <w:pStyle w:val="NormalHanging12a"/>
        <w:rPr>
          <w:szCs w:val="24"/>
        </w:rPr>
      </w:pPr>
      <w:r w:rsidRPr="00F94329">
        <w:t>–</w:t>
      </w:r>
      <w:r w:rsidRPr="00F94329">
        <w:tab/>
        <w:t>so zreteľom na oznámenie Komisie zo 7. októbra 2020 s názvom Únia rovnosti: strategický rámec EÚ pre rovnosť, začleňovanie a účasť Rómov (COM(2020)0620),</w:t>
      </w:r>
    </w:p>
    <w:p w14:paraId="6BB52B34" w14:textId="77777777" w:rsidR="00EF79E1" w:rsidRPr="00F94329" w:rsidRDefault="00EF79E1" w:rsidP="00EF79E1">
      <w:pPr>
        <w:pStyle w:val="NormalHanging12a"/>
        <w:rPr>
          <w:b/>
          <w:i/>
        </w:rPr>
      </w:pPr>
      <w:r w:rsidRPr="00F94329">
        <w:rPr>
          <w:b/>
          <w:i/>
        </w:rPr>
        <w:t>–</w:t>
      </w:r>
      <w:r w:rsidRPr="00F94329">
        <w:rPr>
          <w:b/>
          <w:i/>
        </w:rPr>
        <w:tab/>
      </w:r>
      <w:r w:rsidRPr="00F94329">
        <w:t>so zreteľom na odporúčanie Rady z 12. marca 2021 o rovnosti, začleňovaní a účasti Rómov</w:t>
      </w:r>
      <w:r w:rsidRPr="00F94329">
        <w:rPr>
          <w:rStyle w:val="FootnoteReference"/>
          <w:bCs/>
          <w:iCs/>
        </w:rPr>
        <w:footnoteReference w:id="25"/>
      </w:r>
      <w:r w:rsidRPr="00F94329">
        <w:t>,</w:t>
      </w:r>
    </w:p>
    <w:p w14:paraId="20475245" w14:textId="77777777" w:rsidR="00EF79E1" w:rsidRPr="00F94329" w:rsidRDefault="00EF79E1" w:rsidP="00EF79E1">
      <w:pPr>
        <w:pStyle w:val="NormalHanging12a"/>
        <w:rPr>
          <w:szCs w:val="24"/>
        </w:rPr>
      </w:pPr>
      <w:r w:rsidRPr="00F94329">
        <w:t>–</w:t>
      </w:r>
      <w:r w:rsidRPr="00F94329">
        <w:tab/>
        <w:t>so zreteľom na oznámenie Komisie z 3. marca 2021 s názvom Únia rovnosti: Stratégia v oblasti práv osôb so zdravotným postihnutím na roky 2021 – 2030 (COM(2021)0101),</w:t>
      </w:r>
    </w:p>
    <w:p w14:paraId="6B2BD597" w14:textId="77777777" w:rsidR="00EF79E1" w:rsidRPr="00F94329" w:rsidRDefault="00EF79E1" w:rsidP="00EF79E1">
      <w:pPr>
        <w:pStyle w:val="NormalHanging12a"/>
        <w:rPr>
          <w:b/>
          <w:i/>
        </w:rPr>
      </w:pPr>
      <w:r w:rsidRPr="00F94329">
        <w:rPr>
          <w:b/>
          <w:i/>
        </w:rPr>
        <w:t>–</w:t>
      </w:r>
      <w:r w:rsidRPr="00F94329">
        <w:rPr>
          <w:b/>
          <w:i/>
        </w:rPr>
        <w:tab/>
      </w:r>
      <w:r w:rsidRPr="00F94329">
        <w:t>so zreteľom na oznámenie Komisie z 27. januára 2021 s názvom Zelená kniha o starnutí – Podpora medzigeneračnej solidarity a zodpovednosti (COM(2021)0050),</w:t>
      </w:r>
    </w:p>
    <w:p w14:paraId="0BADE85C" w14:textId="77777777" w:rsidR="00EF79E1" w:rsidRPr="00F94329" w:rsidRDefault="00EF79E1" w:rsidP="00EF79E1">
      <w:pPr>
        <w:pStyle w:val="NormalHanging12a"/>
        <w:rPr>
          <w:b/>
          <w:i/>
        </w:rPr>
      </w:pPr>
      <w:r w:rsidRPr="00F94329">
        <w:rPr>
          <w:b/>
          <w:i/>
        </w:rPr>
        <w:t>–</w:t>
      </w:r>
      <w:r w:rsidRPr="00F94329">
        <w:rPr>
          <w:b/>
          <w:i/>
        </w:rPr>
        <w:tab/>
      </w:r>
      <w:r w:rsidRPr="00F94329">
        <w:t>so zreteľom na oznámenie Komisie z 9. decembra 2021 s názvom Budovanie hospodárstva, ktoré pracuje v prospech ľudí: akčný plán pre sociálne hospodárstvo (COM(2021)0778),</w:t>
      </w:r>
    </w:p>
    <w:p w14:paraId="29B7D77B" w14:textId="77777777" w:rsidR="00EF79E1" w:rsidRPr="00F94329" w:rsidRDefault="00EF79E1" w:rsidP="00EF79E1">
      <w:pPr>
        <w:pStyle w:val="NormalHanging12a"/>
        <w:rPr>
          <w:b/>
          <w:i/>
        </w:rPr>
      </w:pPr>
      <w:r w:rsidRPr="00F94329">
        <w:rPr>
          <w:b/>
          <w:i/>
        </w:rPr>
        <w:t>–</w:t>
      </w:r>
      <w:r w:rsidRPr="00F94329">
        <w:rPr>
          <w:b/>
          <w:i/>
        </w:rPr>
        <w:tab/>
      </w:r>
      <w:r w:rsidRPr="00F94329">
        <w:t>so zreteľom na odporúčanie Rady z 8. novembra 2019 o prístupe k sociálnej ochrane pre pracovníkov a samostatne zárobkovo činné osoby</w:t>
      </w:r>
      <w:r w:rsidRPr="00F94329">
        <w:rPr>
          <w:rStyle w:val="FootnoteReference"/>
          <w:bCs/>
          <w:iCs/>
        </w:rPr>
        <w:footnoteReference w:id="26"/>
      </w:r>
      <w:r w:rsidRPr="00F94329">
        <w:t>,</w:t>
      </w:r>
    </w:p>
    <w:p w14:paraId="0CD25D28" w14:textId="77777777" w:rsidR="00EF79E1" w:rsidRPr="00F94329" w:rsidRDefault="00EF79E1" w:rsidP="00EF79E1">
      <w:pPr>
        <w:pStyle w:val="NormalHanging12a"/>
        <w:rPr>
          <w:b/>
          <w:i/>
        </w:rPr>
      </w:pPr>
      <w:r w:rsidRPr="00F94329">
        <w:rPr>
          <w:b/>
          <w:i/>
        </w:rPr>
        <w:lastRenderedPageBreak/>
        <w:t>–</w:t>
      </w:r>
      <w:r w:rsidRPr="00F94329">
        <w:rPr>
          <w:b/>
          <w:i/>
        </w:rPr>
        <w:tab/>
      </w:r>
      <w:r w:rsidRPr="00F94329">
        <w:t>so zreteľom na správu Komisie z 28. júna 2023 o prístupe k základným službám v EÚ,</w:t>
      </w:r>
    </w:p>
    <w:p w14:paraId="7D4C8857" w14:textId="77777777" w:rsidR="00EF79E1" w:rsidRPr="00F94329" w:rsidRDefault="00EF79E1" w:rsidP="00EF79E1">
      <w:pPr>
        <w:pStyle w:val="NormalHanging12a"/>
        <w:rPr>
          <w:szCs w:val="24"/>
        </w:rPr>
      </w:pPr>
      <w:r w:rsidRPr="00F94329">
        <w:t>–</w:t>
      </w:r>
      <w:r w:rsidRPr="00F94329">
        <w:tab/>
        <w:t>so zreteľom na odporúčanie Rady z 30. januára 2023 o primeranom minimálnom príjme zaručujúcom aktívne začleňovanie</w:t>
      </w:r>
      <w:r w:rsidRPr="00F94329">
        <w:rPr>
          <w:rStyle w:val="FootnoteReference"/>
        </w:rPr>
        <w:footnoteReference w:id="27"/>
      </w:r>
      <w:r w:rsidRPr="00F94329">
        <w:t>,</w:t>
      </w:r>
    </w:p>
    <w:p w14:paraId="7C177660" w14:textId="77777777" w:rsidR="00EF79E1" w:rsidRPr="00F94329" w:rsidRDefault="00EF79E1" w:rsidP="00EF79E1">
      <w:pPr>
        <w:pStyle w:val="NormalHanging12a"/>
        <w:rPr>
          <w:b/>
          <w:i/>
        </w:rPr>
      </w:pPr>
      <w:r w:rsidRPr="00F94329">
        <w:rPr>
          <w:b/>
          <w:i/>
        </w:rPr>
        <w:t>–</w:t>
      </w:r>
      <w:r w:rsidRPr="00F94329">
        <w:rPr>
          <w:b/>
          <w:i/>
        </w:rPr>
        <w:tab/>
      </w:r>
      <w:r w:rsidRPr="00F94329">
        <w:t xml:space="preserve">so zreteľom na európsku platformu na boj proti </w:t>
      </w:r>
      <w:proofErr w:type="spellStart"/>
      <w:r w:rsidRPr="00F94329">
        <w:t>bezdomovectvu</w:t>
      </w:r>
      <w:proofErr w:type="spellEnd"/>
      <w:r w:rsidRPr="00F94329">
        <w:t xml:space="preserve"> spustenú v roku 2021,</w:t>
      </w:r>
    </w:p>
    <w:p w14:paraId="2B253BFC" w14:textId="77777777" w:rsidR="00EF79E1" w:rsidRPr="00F94329" w:rsidRDefault="00EF79E1" w:rsidP="00EF79E1">
      <w:pPr>
        <w:pStyle w:val="NormalHanging12a"/>
        <w:rPr>
          <w:b/>
          <w:i/>
        </w:rPr>
      </w:pPr>
      <w:r w:rsidRPr="00F94329">
        <w:rPr>
          <w:b/>
          <w:i/>
        </w:rPr>
        <w:t>–</w:t>
      </w:r>
      <w:r w:rsidRPr="00F94329">
        <w:rPr>
          <w:b/>
          <w:i/>
        </w:rPr>
        <w:tab/>
      </w:r>
      <w:r w:rsidRPr="00F94329">
        <w:t>so zreteľom na oznámenie Komisie z 30. júna 2021 s názvom Dlhodobá vízia pre vidiecke oblasti EÚ – smerom k zabezpečeniu silnejších, prepojených, odolných a prosperujúcich vidieckych oblastí do roku 2040 (COM(2021)0345) a oznámenie Komisie z 27. marca 2024 s názvom Dlhodobá vízia pre vidiecke oblasti EÚ: hlavné úspechy a ďalší vývoj (COM(2024)0450),</w:t>
      </w:r>
    </w:p>
    <w:p w14:paraId="4E7AF6CE" w14:textId="77777777" w:rsidR="00EF79E1" w:rsidRPr="00F94329" w:rsidRDefault="00EF79E1" w:rsidP="00EF79E1">
      <w:pPr>
        <w:pStyle w:val="NormalHanging12a"/>
        <w:rPr>
          <w:szCs w:val="24"/>
        </w:rPr>
      </w:pPr>
      <w:r w:rsidRPr="00F94329">
        <w:t>–</w:t>
      </w:r>
      <w:r w:rsidRPr="00F94329">
        <w:tab/>
        <w:t>so zreteľom na stanovisko Európskeho výboru regiónov zo 14. októbra 2025 k stratégii EÚ v oblasti boja proti chudobe</w:t>
      </w:r>
      <w:r w:rsidRPr="00F94329">
        <w:rPr>
          <w:rStyle w:val="FootnoteReference"/>
        </w:rPr>
        <w:footnoteReference w:id="28"/>
      </w:r>
      <w:r w:rsidRPr="00F94329">
        <w:t>,</w:t>
      </w:r>
    </w:p>
    <w:p w14:paraId="5E5B28E2" w14:textId="77777777" w:rsidR="00EF79E1" w:rsidRPr="00F94329" w:rsidRDefault="00EF79E1" w:rsidP="00EF79E1">
      <w:pPr>
        <w:pStyle w:val="NormalHanging12a"/>
        <w:rPr>
          <w:szCs w:val="24"/>
        </w:rPr>
      </w:pPr>
      <w:r w:rsidRPr="00F94329">
        <w:t>–</w:t>
      </w:r>
      <w:r w:rsidRPr="00F94329">
        <w:tab/>
        <w:t>so zreteľom na príslušné správy osobitného spravodajcu OSN pre extrémnu chudobu a ľudské práva,</w:t>
      </w:r>
    </w:p>
    <w:p w14:paraId="6A3C3D17" w14:textId="77777777" w:rsidR="00EF79E1" w:rsidRPr="00F94329" w:rsidRDefault="00EF79E1" w:rsidP="00EF79E1">
      <w:pPr>
        <w:pStyle w:val="NormalHanging12a"/>
        <w:rPr>
          <w:szCs w:val="24"/>
        </w:rPr>
      </w:pPr>
      <w:r w:rsidRPr="00F94329">
        <w:t>–</w:t>
      </w:r>
      <w:r w:rsidRPr="00F94329">
        <w:tab/>
        <w:t xml:space="preserve">so zreteľom na pozičný dokument Európskej siete proti chudobe (EAPN) s názvom </w:t>
      </w:r>
      <w:proofErr w:type="spellStart"/>
      <w:r w:rsidRPr="00F94329">
        <w:rPr>
          <w:i/>
          <w:iCs/>
        </w:rPr>
        <w:t>Towards</w:t>
      </w:r>
      <w:proofErr w:type="spellEnd"/>
      <w:r w:rsidRPr="00F94329">
        <w:rPr>
          <w:i/>
          <w:iCs/>
        </w:rPr>
        <w:t xml:space="preserve"> </w:t>
      </w:r>
      <w:proofErr w:type="spellStart"/>
      <w:r w:rsidRPr="00F94329">
        <w:rPr>
          <w:i/>
          <w:iCs/>
        </w:rPr>
        <w:t>the</w:t>
      </w:r>
      <w:proofErr w:type="spellEnd"/>
      <w:r w:rsidRPr="00F94329">
        <w:rPr>
          <w:i/>
          <w:iCs/>
        </w:rPr>
        <w:t xml:space="preserve"> </w:t>
      </w:r>
      <w:proofErr w:type="spellStart"/>
      <w:r w:rsidRPr="00F94329">
        <w:rPr>
          <w:i/>
          <w:iCs/>
        </w:rPr>
        <w:t>eradication</w:t>
      </w:r>
      <w:proofErr w:type="spellEnd"/>
      <w:r w:rsidRPr="00F94329">
        <w:rPr>
          <w:i/>
          <w:iCs/>
        </w:rPr>
        <w:t xml:space="preserve"> of </w:t>
      </w:r>
      <w:proofErr w:type="spellStart"/>
      <w:r w:rsidRPr="00F94329">
        <w:rPr>
          <w:i/>
          <w:iCs/>
        </w:rPr>
        <w:t>poverty</w:t>
      </w:r>
      <w:proofErr w:type="spellEnd"/>
      <w:r w:rsidRPr="00F94329">
        <w:rPr>
          <w:i/>
          <w:iCs/>
        </w:rPr>
        <w:t xml:space="preserve"> – EAPN </w:t>
      </w:r>
      <w:proofErr w:type="spellStart"/>
      <w:r w:rsidRPr="00F94329">
        <w:rPr>
          <w:i/>
          <w:iCs/>
        </w:rPr>
        <w:t>vision</w:t>
      </w:r>
      <w:proofErr w:type="spellEnd"/>
      <w:r w:rsidRPr="00F94329">
        <w:rPr>
          <w:i/>
          <w:iCs/>
        </w:rPr>
        <w:t xml:space="preserve"> and </w:t>
      </w:r>
      <w:proofErr w:type="spellStart"/>
      <w:r w:rsidRPr="00F94329">
        <w:rPr>
          <w:i/>
          <w:iCs/>
        </w:rPr>
        <w:t>recommendations</w:t>
      </w:r>
      <w:proofErr w:type="spellEnd"/>
      <w:r w:rsidRPr="00F94329">
        <w:rPr>
          <w:i/>
          <w:iCs/>
        </w:rPr>
        <w:t xml:space="preserve"> </w:t>
      </w:r>
      <w:proofErr w:type="spellStart"/>
      <w:r w:rsidRPr="00F94329">
        <w:rPr>
          <w:i/>
          <w:iCs/>
        </w:rPr>
        <w:t>for</w:t>
      </w:r>
      <w:proofErr w:type="spellEnd"/>
      <w:r w:rsidRPr="00F94329">
        <w:rPr>
          <w:i/>
          <w:iCs/>
        </w:rPr>
        <w:t xml:space="preserve"> </w:t>
      </w:r>
      <w:proofErr w:type="spellStart"/>
      <w:r w:rsidRPr="00F94329">
        <w:rPr>
          <w:i/>
          <w:iCs/>
        </w:rPr>
        <w:t>the</w:t>
      </w:r>
      <w:proofErr w:type="spellEnd"/>
      <w:r w:rsidRPr="00F94329">
        <w:rPr>
          <w:i/>
          <w:iCs/>
        </w:rPr>
        <w:t xml:space="preserve"> EU </w:t>
      </w:r>
      <w:proofErr w:type="spellStart"/>
      <w:r w:rsidRPr="00F94329">
        <w:rPr>
          <w:i/>
          <w:iCs/>
        </w:rPr>
        <w:t>Anti-Poverty</w:t>
      </w:r>
      <w:proofErr w:type="spellEnd"/>
      <w:r w:rsidRPr="00F94329">
        <w:rPr>
          <w:i/>
          <w:iCs/>
        </w:rPr>
        <w:t xml:space="preserve"> </w:t>
      </w:r>
      <w:proofErr w:type="spellStart"/>
      <w:r w:rsidRPr="00F94329">
        <w:rPr>
          <w:i/>
          <w:iCs/>
        </w:rPr>
        <w:t>Strategy</w:t>
      </w:r>
      <w:proofErr w:type="spellEnd"/>
      <w:r w:rsidRPr="00F94329">
        <w:t xml:space="preserve"> (Smerom k odstráneniu chudoby – vízia a odporúčania EAPN k stratégii EÚ v oblasti boja proti chudobe) uverejnený v roku 2025,</w:t>
      </w:r>
    </w:p>
    <w:p w14:paraId="24009724" w14:textId="77777777" w:rsidR="00EF79E1" w:rsidRPr="00F94329" w:rsidRDefault="00EF79E1" w:rsidP="00EF79E1">
      <w:pPr>
        <w:pStyle w:val="NormalHanging12a"/>
        <w:rPr>
          <w:szCs w:val="24"/>
        </w:rPr>
      </w:pPr>
      <w:r w:rsidRPr="00F94329">
        <w:t>–</w:t>
      </w:r>
      <w:r w:rsidRPr="00F94329">
        <w:tab/>
        <w:t xml:space="preserve">so zreteľom na pozičné dokumenty I a II organizácie </w:t>
      </w:r>
      <w:proofErr w:type="spellStart"/>
      <w:r w:rsidRPr="00F94329">
        <w:t>All</w:t>
      </w:r>
      <w:proofErr w:type="spellEnd"/>
      <w:r w:rsidRPr="00F94329">
        <w:t xml:space="preserve"> </w:t>
      </w:r>
      <w:proofErr w:type="spellStart"/>
      <w:r w:rsidRPr="00F94329">
        <w:t>Together</w:t>
      </w:r>
      <w:proofErr w:type="spellEnd"/>
      <w:r w:rsidRPr="00F94329">
        <w:t xml:space="preserve"> in </w:t>
      </w:r>
      <w:proofErr w:type="spellStart"/>
      <w:r w:rsidRPr="00F94329">
        <w:t>Dignity</w:t>
      </w:r>
      <w:proofErr w:type="spellEnd"/>
      <w:r w:rsidRPr="00F94329">
        <w:t xml:space="preserve"> </w:t>
      </w:r>
      <w:proofErr w:type="spellStart"/>
      <w:r w:rsidRPr="00F94329">
        <w:t>Fourth</w:t>
      </w:r>
      <w:proofErr w:type="spellEnd"/>
      <w:r w:rsidRPr="00F94329">
        <w:t xml:space="preserve"> </w:t>
      </w:r>
      <w:proofErr w:type="spellStart"/>
      <w:r w:rsidRPr="00F94329">
        <w:t>World</w:t>
      </w:r>
      <w:proofErr w:type="spellEnd"/>
      <w:r w:rsidRPr="00F94329">
        <w:t xml:space="preserve"> s názvom </w:t>
      </w:r>
      <w:proofErr w:type="spellStart"/>
      <w:r w:rsidRPr="00F94329">
        <w:rPr>
          <w:i/>
          <w:iCs/>
        </w:rPr>
        <w:t>Paving</w:t>
      </w:r>
      <w:proofErr w:type="spellEnd"/>
      <w:r w:rsidRPr="00F94329">
        <w:rPr>
          <w:i/>
          <w:iCs/>
        </w:rPr>
        <w:t xml:space="preserve"> </w:t>
      </w:r>
      <w:proofErr w:type="spellStart"/>
      <w:r w:rsidRPr="00F94329">
        <w:rPr>
          <w:i/>
          <w:iCs/>
        </w:rPr>
        <w:t>the</w:t>
      </w:r>
      <w:proofErr w:type="spellEnd"/>
      <w:r w:rsidRPr="00F94329">
        <w:rPr>
          <w:i/>
          <w:iCs/>
        </w:rPr>
        <w:t xml:space="preserve"> </w:t>
      </w:r>
      <w:proofErr w:type="spellStart"/>
      <w:r w:rsidRPr="00F94329">
        <w:rPr>
          <w:i/>
          <w:iCs/>
        </w:rPr>
        <w:t>Way</w:t>
      </w:r>
      <w:proofErr w:type="spellEnd"/>
      <w:r w:rsidRPr="00F94329">
        <w:rPr>
          <w:i/>
          <w:iCs/>
        </w:rPr>
        <w:t xml:space="preserve"> </w:t>
      </w:r>
      <w:proofErr w:type="spellStart"/>
      <w:r w:rsidRPr="00F94329">
        <w:rPr>
          <w:i/>
          <w:iCs/>
        </w:rPr>
        <w:t>towards</w:t>
      </w:r>
      <w:proofErr w:type="spellEnd"/>
      <w:r w:rsidRPr="00F94329">
        <w:rPr>
          <w:i/>
          <w:iCs/>
        </w:rPr>
        <w:t xml:space="preserve"> </w:t>
      </w:r>
      <w:proofErr w:type="spellStart"/>
      <w:r w:rsidRPr="00F94329">
        <w:rPr>
          <w:i/>
          <w:iCs/>
        </w:rPr>
        <w:t>an</w:t>
      </w:r>
      <w:proofErr w:type="spellEnd"/>
      <w:r w:rsidRPr="00F94329">
        <w:rPr>
          <w:i/>
          <w:iCs/>
        </w:rPr>
        <w:t xml:space="preserve"> EU </w:t>
      </w:r>
      <w:proofErr w:type="spellStart"/>
      <w:r w:rsidRPr="00F94329">
        <w:rPr>
          <w:i/>
          <w:iCs/>
        </w:rPr>
        <w:t>Anti-Poverty</w:t>
      </w:r>
      <w:proofErr w:type="spellEnd"/>
      <w:r w:rsidRPr="00F94329">
        <w:rPr>
          <w:i/>
          <w:iCs/>
        </w:rPr>
        <w:t xml:space="preserve"> </w:t>
      </w:r>
      <w:proofErr w:type="spellStart"/>
      <w:r w:rsidRPr="00F94329">
        <w:rPr>
          <w:i/>
          <w:iCs/>
        </w:rPr>
        <w:t>Strategy</w:t>
      </w:r>
      <w:proofErr w:type="spellEnd"/>
      <w:r w:rsidRPr="00F94329">
        <w:t xml:space="preserve"> (Vytváranie podmienok pre stratégiu EÚ v oblasti boja proti chudobe) uverejnené v januári a máji 2025,</w:t>
      </w:r>
    </w:p>
    <w:p w14:paraId="45B2F640" w14:textId="77777777" w:rsidR="00EF79E1" w:rsidRPr="00F94329" w:rsidRDefault="00EF79E1" w:rsidP="00EF79E1">
      <w:pPr>
        <w:pStyle w:val="NormalHanging12a"/>
        <w:rPr>
          <w:szCs w:val="24"/>
        </w:rPr>
      </w:pPr>
      <w:r w:rsidRPr="00F94329">
        <w:t>–</w:t>
      </w:r>
      <w:r w:rsidRPr="00F94329">
        <w:tab/>
        <w:t xml:space="preserve">so zreteľom na pozičné dokumenty organizácie </w:t>
      </w:r>
      <w:proofErr w:type="spellStart"/>
      <w:r w:rsidRPr="00F94329">
        <w:t>Social</w:t>
      </w:r>
      <w:proofErr w:type="spellEnd"/>
      <w:r w:rsidRPr="00F94329">
        <w:t xml:space="preserve"> </w:t>
      </w:r>
      <w:proofErr w:type="spellStart"/>
      <w:r w:rsidRPr="00F94329">
        <w:t>Platform</w:t>
      </w:r>
      <w:proofErr w:type="spellEnd"/>
      <w:r w:rsidRPr="00F94329">
        <w:t xml:space="preserve"> z marca 2025 s názvom </w:t>
      </w:r>
      <w:r w:rsidRPr="00F94329">
        <w:rPr>
          <w:i/>
          <w:iCs/>
        </w:rPr>
        <w:t>A post-2027</w:t>
      </w:r>
      <w:r w:rsidRPr="00F94329">
        <w:t xml:space="preserve"> </w:t>
      </w:r>
      <w:proofErr w:type="spellStart"/>
      <w:r w:rsidRPr="00F94329">
        <w:rPr>
          <w:i/>
          <w:iCs/>
        </w:rPr>
        <w:t>Multiannual</w:t>
      </w:r>
      <w:proofErr w:type="spellEnd"/>
      <w:r w:rsidRPr="00F94329">
        <w:rPr>
          <w:i/>
          <w:iCs/>
        </w:rPr>
        <w:t xml:space="preserve"> </w:t>
      </w:r>
      <w:proofErr w:type="spellStart"/>
      <w:r w:rsidRPr="00F94329">
        <w:rPr>
          <w:i/>
          <w:iCs/>
        </w:rPr>
        <w:t>Financial</w:t>
      </w:r>
      <w:proofErr w:type="spellEnd"/>
      <w:r w:rsidRPr="00F94329">
        <w:rPr>
          <w:i/>
          <w:iCs/>
        </w:rPr>
        <w:t xml:space="preserve"> </w:t>
      </w:r>
      <w:proofErr w:type="spellStart"/>
      <w:r w:rsidRPr="00F94329">
        <w:rPr>
          <w:i/>
          <w:iCs/>
        </w:rPr>
        <w:t>Framework</w:t>
      </w:r>
      <w:proofErr w:type="spellEnd"/>
      <w:r w:rsidRPr="00F94329">
        <w:rPr>
          <w:i/>
          <w:iCs/>
        </w:rPr>
        <w:t xml:space="preserve"> </w:t>
      </w:r>
      <w:proofErr w:type="spellStart"/>
      <w:r w:rsidRPr="00F94329">
        <w:rPr>
          <w:i/>
          <w:iCs/>
        </w:rPr>
        <w:t>for</w:t>
      </w:r>
      <w:proofErr w:type="spellEnd"/>
      <w:r w:rsidRPr="00F94329">
        <w:rPr>
          <w:i/>
          <w:iCs/>
        </w:rPr>
        <w:t xml:space="preserve"> </w:t>
      </w:r>
      <w:proofErr w:type="spellStart"/>
      <w:r w:rsidRPr="00F94329">
        <w:rPr>
          <w:i/>
          <w:iCs/>
        </w:rPr>
        <w:t>Social</w:t>
      </w:r>
      <w:proofErr w:type="spellEnd"/>
      <w:r w:rsidRPr="00F94329">
        <w:rPr>
          <w:i/>
          <w:iCs/>
        </w:rPr>
        <w:t xml:space="preserve"> </w:t>
      </w:r>
      <w:proofErr w:type="spellStart"/>
      <w:r w:rsidRPr="00F94329">
        <w:rPr>
          <w:i/>
          <w:iCs/>
        </w:rPr>
        <w:t>Europe</w:t>
      </w:r>
      <w:proofErr w:type="spellEnd"/>
      <w:r w:rsidRPr="00F94329">
        <w:t xml:space="preserve"> (Viacročný finančný rámec na obdobie po roku 2027 pre sociálnu Európu) a z mája 2025 s názvom </w:t>
      </w:r>
      <w:r w:rsidRPr="00F94329">
        <w:rPr>
          <w:i/>
          <w:iCs/>
        </w:rPr>
        <w:t xml:space="preserve">EU </w:t>
      </w:r>
      <w:proofErr w:type="spellStart"/>
      <w:r w:rsidRPr="00F94329">
        <w:rPr>
          <w:i/>
          <w:iCs/>
        </w:rPr>
        <w:t>Anti-Poverty</w:t>
      </w:r>
      <w:proofErr w:type="spellEnd"/>
      <w:r w:rsidRPr="00F94329">
        <w:rPr>
          <w:i/>
          <w:iCs/>
        </w:rPr>
        <w:t xml:space="preserve"> </w:t>
      </w:r>
      <w:proofErr w:type="spellStart"/>
      <w:r w:rsidRPr="00F94329">
        <w:rPr>
          <w:i/>
          <w:iCs/>
        </w:rPr>
        <w:t>Strategy</w:t>
      </w:r>
      <w:proofErr w:type="spellEnd"/>
      <w:r w:rsidRPr="00F94329">
        <w:t xml:space="preserve"> (Stratégia EÚ v oblasti boja proti chudobe),</w:t>
      </w:r>
    </w:p>
    <w:p w14:paraId="7D9DDB99" w14:textId="77777777" w:rsidR="00EF79E1" w:rsidRPr="00F94329" w:rsidRDefault="00EF79E1" w:rsidP="00EF79E1">
      <w:pPr>
        <w:pStyle w:val="NormalHanging12a"/>
        <w:rPr>
          <w:bCs/>
          <w:iCs/>
        </w:rPr>
      </w:pPr>
      <w:r w:rsidRPr="00F94329">
        <w:rPr>
          <w:b/>
          <w:i/>
        </w:rPr>
        <w:t>–</w:t>
      </w:r>
      <w:r w:rsidRPr="00F94329">
        <w:rPr>
          <w:b/>
          <w:i/>
        </w:rPr>
        <w:tab/>
      </w:r>
      <w:r w:rsidRPr="00F94329">
        <w:t xml:space="preserve">so zreteľom na pozičný dokument organizácie </w:t>
      </w:r>
      <w:proofErr w:type="spellStart"/>
      <w:r w:rsidRPr="00F94329">
        <w:t>Make</w:t>
      </w:r>
      <w:proofErr w:type="spellEnd"/>
      <w:r w:rsidRPr="00F94329">
        <w:t xml:space="preserve"> </w:t>
      </w:r>
      <w:proofErr w:type="spellStart"/>
      <w:r w:rsidRPr="00F94329">
        <w:t>Mothers</w:t>
      </w:r>
      <w:proofErr w:type="spellEnd"/>
      <w:r w:rsidRPr="00F94329">
        <w:t xml:space="preserve"> </w:t>
      </w:r>
      <w:proofErr w:type="spellStart"/>
      <w:r w:rsidRPr="00F94329">
        <w:t>Matter</w:t>
      </w:r>
      <w:proofErr w:type="spellEnd"/>
      <w:r w:rsidRPr="00F94329">
        <w:t xml:space="preserve"> s názvom </w:t>
      </w:r>
      <w:proofErr w:type="spellStart"/>
      <w:r w:rsidRPr="00F94329">
        <w:rPr>
          <w:i/>
          <w:iCs/>
        </w:rPr>
        <w:t>Mothers</w:t>
      </w:r>
      <w:proofErr w:type="spellEnd"/>
      <w:r w:rsidRPr="00F94329">
        <w:rPr>
          <w:i/>
          <w:iCs/>
        </w:rPr>
        <w:t xml:space="preserve">’ </w:t>
      </w:r>
      <w:proofErr w:type="spellStart"/>
      <w:r w:rsidRPr="00F94329">
        <w:rPr>
          <w:i/>
          <w:iCs/>
        </w:rPr>
        <w:t>Poverty</w:t>
      </w:r>
      <w:proofErr w:type="spellEnd"/>
      <w:r w:rsidRPr="00F94329">
        <w:rPr>
          <w:i/>
          <w:iCs/>
        </w:rPr>
        <w:t xml:space="preserve"> in </w:t>
      </w:r>
      <w:proofErr w:type="spellStart"/>
      <w:r w:rsidRPr="00F94329">
        <w:rPr>
          <w:i/>
          <w:iCs/>
        </w:rPr>
        <w:t>the</w:t>
      </w:r>
      <w:proofErr w:type="spellEnd"/>
      <w:r w:rsidRPr="00F94329">
        <w:rPr>
          <w:i/>
          <w:iCs/>
        </w:rPr>
        <w:t xml:space="preserve"> EU</w:t>
      </w:r>
      <w:r w:rsidRPr="00F94329">
        <w:t xml:space="preserve"> (Chudoba matiek v EÚ) uverejnený v roku 2025,</w:t>
      </w:r>
    </w:p>
    <w:p w14:paraId="2BFE816E" w14:textId="77777777" w:rsidR="00EF79E1" w:rsidRPr="00F94329" w:rsidRDefault="00EF79E1" w:rsidP="00EF79E1">
      <w:pPr>
        <w:pStyle w:val="NormalHanging12a"/>
        <w:rPr>
          <w:b/>
          <w:i/>
        </w:rPr>
      </w:pPr>
      <w:r w:rsidRPr="00F94329">
        <w:rPr>
          <w:b/>
          <w:i/>
        </w:rPr>
        <w:t>–</w:t>
      </w:r>
      <w:r w:rsidRPr="00F94329">
        <w:rPr>
          <w:b/>
          <w:i/>
        </w:rPr>
        <w:tab/>
      </w:r>
      <w:r w:rsidRPr="00F94329">
        <w:t xml:space="preserve">so zreteľom na štúdiu Komisie z 15. novembra 2024 s názvom </w:t>
      </w:r>
      <w:r w:rsidRPr="00F94329">
        <w:rPr>
          <w:i/>
          <w:iCs/>
        </w:rPr>
        <w:t xml:space="preserve">Transport </w:t>
      </w:r>
      <w:proofErr w:type="spellStart"/>
      <w:r w:rsidRPr="00F94329">
        <w:rPr>
          <w:i/>
          <w:iCs/>
        </w:rPr>
        <w:t>poverty</w:t>
      </w:r>
      <w:proofErr w:type="spellEnd"/>
      <w:r w:rsidRPr="00F94329">
        <w:rPr>
          <w:i/>
          <w:iCs/>
        </w:rPr>
        <w:t>:</w:t>
      </w:r>
      <w:r w:rsidRPr="00F94329">
        <w:t xml:space="preserve"> </w:t>
      </w:r>
      <w:proofErr w:type="spellStart"/>
      <w:r w:rsidRPr="00F94329">
        <w:rPr>
          <w:i/>
          <w:iCs/>
        </w:rPr>
        <w:t>definitions</w:t>
      </w:r>
      <w:proofErr w:type="spellEnd"/>
      <w:r w:rsidRPr="00F94329">
        <w:rPr>
          <w:i/>
          <w:iCs/>
        </w:rPr>
        <w:t xml:space="preserve">, </w:t>
      </w:r>
      <w:proofErr w:type="spellStart"/>
      <w:r w:rsidRPr="00F94329">
        <w:rPr>
          <w:i/>
          <w:iCs/>
        </w:rPr>
        <w:t>indicators</w:t>
      </w:r>
      <w:proofErr w:type="spellEnd"/>
      <w:r w:rsidRPr="00F94329">
        <w:rPr>
          <w:i/>
          <w:iCs/>
        </w:rPr>
        <w:t xml:space="preserve">, </w:t>
      </w:r>
      <w:proofErr w:type="spellStart"/>
      <w:r w:rsidRPr="00F94329">
        <w:rPr>
          <w:i/>
          <w:iCs/>
        </w:rPr>
        <w:t>determinants</w:t>
      </w:r>
      <w:proofErr w:type="spellEnd"/>
      <w:r w:rsidRPr="00F94329">
        <w:rPr>
          <w:i/>
          <w:iCs/>
        </w:rPr>
        <w:t xml:space="preserve">, and </w:t>
      </w:r>
      <w:proofErr w:type="spellStart"/>
      <w:r w:rsidRPr="00F94329">
        <w:rPr>
          <w:i/>
          <w:iCs/>
        </w:rPr>
        <w:t>mitigation</w:t>
      </w:r>
      <w:proofErr w:type="spellEnd"/>
      <w:r w:rsidRPr="00F94329">
        <w:rPr>
          <w:i/>
          <w:iCs/>
        </w:rPr>
        <w:t xml:space="preserve"> </w:t>
      </w:r>
      <w:proofErr w:type="spellStart"/>
      <w:r w:rsidRPr="00F94329">
        <w:rPr>
          <w:i/>
          <w:iCs/>
        </w:rPr>
        <w:t>strategies</w:t>
      </w:r>
      <w:proofErr w:type="spellEnd"/>
      <w:r w:rsidRPr="00F94329">
        <w:t xml:space="preserve"> (Dopravná chudoba: vymedzenia, ukazovatele, determinanty a stratégie zmierňovania),</w:t>
      </w:r>
    </w:p>
    <w:p w14:paraId="5DB834BF" w14:textId="77777777" w:rsidR="00EF79E1" w:rsidRPr="00F94329" w:rsidRDefault="00EF79E1" w:rsidP="00EF79E1">
      <w:pPr>
        <w:pStyle w:val="NormalHanging12a"/>
      </w:pPr>
      <w:r w:rsidRPr="00F94329">
        <w:t>–</w:t>
      </w:r>
      <w:r w:rsidRPr="00F94329">
        <w:tab/>
        <w:t xml:space="preserve">so zreteľom na správu siete </w:t>
      </w:r>
      <w:proofErr w:type="spellStart"/>
      <w:r w:rsidRPr="00F94329">
        <w:t>Eurochild</w:t>
      </w:r>
      <w:proofErr w:type="spellEnd"/>
      <w:r w:rsidRPr="00F94329">
        <w:t xml:space="preserve"> s názvom </w:t>
      </w:r>
      <w:proofErr w:type="spellStart"/>
      <w:r w:rsidRPr="00F94329">
        <w:rPr>
          <w:i/>
          <w:iCs/>
        </w:rPr>
        <w:t>Children’s</w:t>
      </w:r>
      <w:proofErr w:type="spellEnd"/>
      <w:r w:rsidRPr="00F94329">
        <w:rPr>
          <w:i/>
          <w:iCs/>
        </w:rPr>
        <w:t xml:space="preserve"> </w:t>
      </w:r>
      <w:proofErr w:type="spellStart"/>
      <w:r w:rsidRPr="00F94329">
        <w:rPr>
          <w:i/>
          <w:iCs/>
        </w:rPr>
        <w:t>Realities</w:t>
      </w:r>
      <w:proofErr w:type="spellEnd"/>
      <w:r w:rsidRPr="00F94329">
        <w:rPr>
          <w:i/>
          <w:iCs/>
        </w:rPr>
        <w:t xml:space="preserve"> in </w:t>
      </w:r>
      <w:proofErr w:type="spellStart"/>
      <w:r w:rsidRPr="00F94329">
        <w:rPr>
          <w:i/>
          <w:iCs/>
        </w:rPr>
        <w:t>Europe</w:t>
      </w:r>
      <w:proofErr w:type="spellEnd"/>
      <w:r w:rsidRPr="00F94329">
        <w:rPr>
          <w:i/>
          <w:iCs/>
        </w:rPr>
        <w:t>:</w:t>
      </w:r>
      <w:r w:rsidRPr="00F94329">
        <w:t xml:space="preserve"> </w:t>
      </w:r>
      <w:proofErr w:type="spellStart"/>
      <w:r w:rsidRPr="00F94329">
        <w:rPr>
          <w:i/>
          <w:iCs/>
        </w:rPr>
        <w:t>Progress</w:t>
      </w:r>
      <w:proofErr w:type="spellEnd"/>
      <w:r w:rsidRPr="00F94329">
        <w:rPr>
          <w:i/>
          <w:iCs/>
        </w:rPr>
        <w:t xml:space="preserve"> &amp; </w:t>
      </w:r>
      <w:proofErr w:type="spellStart"/>
      <w:r w:rsidRPr="00F94329">
        <w:rPr>
          <w:i/>
          <w:iCs/>
        </w:rPr>
        <w:t>Gaps</w:t>
      </w:r>
      <w:proofErr w:type="spellEnd"/>
      <w:r w:rsidRPr="00F94329">
        <w:rPr>
          <w:i/>
          <w:iCs/>
        </w:rPr>
        <w:t xml:space="preserve"> – </w:t>
      </w:r>
      <w:proofErr w:type="spellStart"/>
      <w:r w:rsidRPr="00F94329">
        <w:rPr>
          <w:i/>
          <w:iCs/>
        </w:rPr>
        <w:t>Eurochild</w:t>
      </w:r>
      <w:proofErr w:type="spellEnd"/>
      <w:r w:rsidRPr="00F94329">
        <w:rPr>
          <w:i/>
          <w:iCs/>
        </w:rPr>
        <w:t xml:space="preserve"> 2024 </w:t>
      </w:r>
      <w:proofErr w:type="spellStart"/>
      <w:r w:rsidRPr="00F94329">
        <w:rPr>
          <w:i/>
          <w:iCs/>
        </w:rPr>
        <w:t>flagship</w:t>
      </w:r>
      <w:proofErr w:type="spellEnd"/>
      <w:r w:rsidRPr="00F94329">
        <w:rPr>
          <w:i/>
          <w:iCs/>
        </w:rPr>
        <w:t xml:space="preserve"> report on </w:t>
      </w:r>
      <w:proofErr w:type="spellStart"/>
      <w:r w:rsidRPr="00F94329">
        <w:rPr>
          <w:i/>
          <w:iCs/>
        </w:rPr>
        <w:t>children</w:t>
      </w:r>
      <w:proofErr w:type="spellEnd"/>
      <w:r w:rsidRPr="00F94329">
        <w:rPr>
          <w:i/>
          <w:iCs/>
        </w:rPr>
        <w:t xml:space="preserve"> in </w:t>
      </w:r>
      <w:proofErr w:type="spellStart"/>
      <w:r w:rsidRPr="00F94329">
        <w:rPr>
          <w:i/>
          <w:iCs/>
        </w:rPr>
        <w:t>need</w:t>
      </w:r>
      <w:proofErr w:type="spellEnd"/>
      <w:r w:rsidRPr="00F94329">
        <w:rPr>
          <w:i/>
          <w:iCs/>
        </w:rPr>
        <w:t xml:space="preserve"> </w:t>
      </w:r>
      <w:proofErr w:type="spellStart"/>
      <w:r w:rsidRPr="00F94329">
        <w:rPr>
          <w:i/>
          <w:iCs/>
        </w:rPr>
        <w:t>across</w:t>
      </w:r>
      <w:proofErr w:type="spellEnd"/>
      <w:r w:rsidRPr="00F94329">
        <w:rPr>
          <w:i/>
          <w:iCs/>
        </w:rPr>
        <w:t xml:space="preserve"> </w:t>
      </w:r>
      <w:proofErr w:type="spellStart"/>
      <w:r w:rsidRPr="00F94329">
        <w:rPr>
          <w:i/>
          <w:iCs/>
        </w:rPr>
        <w:t>Europe</w:t>
      </w:r>
      <w:proofErr w:type="spellEnd"/>
      <w:r w:rsidRPr="00F94329">
        <w:t xml:space="preserve"> (Realita detí v Európe: pokrok a medzery – Hlavná správa siete </w:t>
      </w:r>
      <w:proofErr w:type="spellStart"/>
      <w:r w:rsidRPr="00F94329">
        <w:t>Eurochild</w:t>
      </w:r>
      <w:proofErr w:type="spellEnd"/>
      <w:r w:rsidRPr="00F94329">
        <w:t xml:space="preserve"> o deťoch v núdzi v celej Európe za rok 2024) uverejnenú v roku 2024,</w:t>
      </w:r>
    </w:p>
    <w:p w14:paraId="7ECC70C7" w14:textId="77777777" w:rsidR="00EF79E1" w:rsidRPr="00F94329" w:rsidRDefault="00EF79E1" w:rsidP="00EF79E1">
      <w:pPr>
        <w:pStyle w:val="NormalHanging12a"/>
        <w:rPr>
          <w:szCs w:val="24"/>
        </w:rPr>
      </w:pPr>
      <w:r w:rsidRPr="00F94329">
        <w:t>–</w:t>
      </w:r>
      <w:r w:rsidRPr="00F94329">
        <w:tab/>
        <w:t>so zreteľom na článok 55 rokovacieho poriadku,</w:t>
      </w:r>
    </w:p>
    <w:p w14:paraId="040F89FE" w14:textId="77777777" w:rsidR="00EF79E1" w:rsidRPr="00F94329" w:rsidRDefault="00EF79E1" w:rsidP="00EF79E1">
      <w:pPr>
        <w:pStyle w:val="NormalHanging12a"/>
        <w:rPr>
          <w:szCs w:val="24"/>
        </w:rPr>
      </w:pPr>
      <w:r w:rsidRPr="00F94329">
        <w:lastRenderedPageBreak/>
        <w:t>–</w:t>
      </w:r>
      <w:r w:rsidRPr="00F94329">
        <w:tab/>
        <w:t>so zreteľom na stanovisko Výboru pre práva žien a rodovú rovnosť,</w:t>
      </w:r>
    </w:p>
    <w:p w14:paraId="632D86F3" w14:textId="00B2E2FB" w:rsidR="00EF79E1" w:rsidRPr="00F94329" w:rsidRDefault="00EF79E1" w:rsidP="00EF79E1">
      <w:pPr>
        <w:pStyle w:val="NormalHanging12a"/>
        <w:rPr>
          <w:szCs w:val="24"/>
        </w:rPr>
      </w:pPr>
      <w:r w:rsidRPr="00F94329">
        <w:t>–</w:t>
      </w:r>
      <w:r w:rsidRPr="00F94329">
        <w:tab/>
        <w:t>so zreteľom na správu Výboru pre zamestnanosť a sociálne veci (A10-</w:t>
      </w:r>
      <w:r w:rsidR="007E3F23" w:rsidRPr="00F94329">
        <w:t>0260</w:t>
      </w:r>
      <w:r w:rsidRPr="00F94329">
        <w:t>/2025),</w:t>
      </w:r>
    </w:p>
    <w:p w14:paraId="649F0286" w14:textId="77777777" w:rsidR="00EF79E1" w:rsidRPr="00F94329" w:rsidRDefault="00EF79E1" w:rsidP="00EF79E1">
      <w:pPr>
        <w:spacing w:after="240"/>
        <w:ind w:left="567" w:hanging="567"/>
        <w:rPr>
          <w:rFonts w:eastAsiaTheme="minorHAnsi"/>
          <w:szCs w:val="24"/>
        </w:rPr>
      </w:pPr>
      <w:r w:rsidRPr="00F94329">
        <w:t>A.</w:t>
      </w:r>
      <w:r w:rsidRPr="00F94329">
        <w:tab/>
        <w:t>keďže v roku 2024 bolo v EÚ 93,3 milióna ľudí (21,0 % obyvateľstva) ohrozených chudobou alebo sociálnym vylúčením, čo je len o niečo menej ako v roku 2019; a keďže v roku 2024 bolo 21,9 % obyvateľov EÚ, ktorí žijú v domácnosti s nezaopatrenými deťmi, ohrozených chudobou alebo sociálnym vylúčením</w:t>
      </w:r>
      <w:r w:rsidRPr="00F94329">
        <w:rPr>
          <w:rStyle w:val="FootnoteReference"/>
          <w:bCs/>
          <w:iCs/>
        </w:rPr>
        <w:footnoteReference w:id="29"/>
      </w:r>
      <w:r w:rsidRPr="00F94329">
        <w:t>;</w:t>
      </w:r>
    </w:p>
    <w:p w14:paraId="4330BE3F" w14:textId="77777777" w:rsidR="00EF79E1" w:rsidRPr="00F94329" w:rsidRDefault="00EF79E1" w:rsidP="00EF79E1">
      <w:pPr>
        <w:spacing w:after="240"/>
        <w:ind w:left="567" w:hanging="567"/>
        <w:rPr>
          <w:bCs/>
          <w:iCs/>
        </w:rPr>
      </w:pPr>
      <w:r w:rsidRPr="00F94329">
        <w:t>B.</w:t>
      </w:r>
      <w:r w:rsidRPr="00F94329">
        <w:tab/>
        <w:t>keďže závažná materiálna deprivácia je definovaná ako nedostatok potrebných a žiaducich vecí potrebných na vedenie primeraného života; keďže v roku 2024 zažilo 6,4 % obyvateľov EÚ závažnú materiálnu a sociálnu depriváciu vrátane nedostatočného vykurovania, preplneného bývania a nedostatočnej výživy; keďže v porovnaní s inými skupinami obyvateľstva zasahuje tento jav deti a ženy neprimerane;</w:t>
      </w:r>
    </w:p>
    <w:p w14:paraId="3FFF627C" w14:textId="77777777" w:rsidR="00EF79E1" w:rsidRPr="00F94329" w:rsidRDefault="00EF79E1" w:rsidP="00EF79E1">
      <w:pPr>
        <w:spacing w:after="240"/>
        <w:ind w:left="567" w:hanging="567"/>
        <w:rPr>
          <w:bCs/>
          <w:iCs/>
        </w:rPr>
      </w:pPr>
      <w:r w:rsidRPr="00F94329">
        <w:t>C.</w:t>
      </w:r>
      <w:r w:rsidRPr="00F94329">
        <w:tab/>
        <w:t>keďže EÚ prijala v Akčnom pláne na realizáciu Európskeho piliera sociálnych práv z roku 2021 cieľ znížiť do roku 2030 počet osôb ohrozených chudobou alebo sociálnym vylúčením aspoň o 15 miliónov v porovnaní s údajmi z roku 2019, a to vrátane aspoň 5 miliónov detí; keďže aj keby sa tento cieľ dosiahol, približne 78 miliónov ľudí v EÚ vrátane 15 miliónov detí by v tom čase naďalej bolo ohrozených chudobou a sociálnym vylúčením; keďže členské štáty sa v záujme dosiahnutia tohto hlavného cieľa zaviazali prijať národné ciele a keďže takmer polovica členských štátov vykazuje opačnú tendenciu;</w:t>
      </w:r>
    </w:p>
    <w:p w14:paraId="43720298" w14:textId="10A2B13F" w:rsidR="00EF79E1" w:rsidRPr="00F94329" w:rsidRDefault="00EF79E1" w:rsidP="00EF79E1">
      <w:pPr>
        <w:spacing w:after="240"/>
        <w:ind w:left="567" w:hanging="567"/>
        <w:rPr>
          <w:bCs/>
          <w:iCs/>
        </w:rPr>
      </w:pPr>
      <w:r w:rsidRPr="00F94329">
        <w:t>D.</w:t>
      </w:r>
      <w:r w:rsidRPr="00F94329">
        <w:tab/>
        <w:t>keďže chudoba je porušením ľudskej dôstojnosti, ktoré narúša plné uplatňovanie ľudských práv a odráža nerovnomerné rozdelenie bohatstva; keďže potreba odstrániť chudobu si vyžaduje rovnaký prístup k zamestnaniu a službám a politiky, ktoré zabezpečia nedeliteľný a univerzálny charakter politických, hospodárskych, sociálnych a kultúrnych práv; keďže chudoba je mnohostranný jav, ktorý presahuje rámec materiálnej deprivácie a zahŕňa prekážky v oblasti vzdelávania, zdravotnej starostlivosti, sociálnej a demokratickej účasti a ekonomických príležitostí;</w:t>
      </w:r>
    </w:p>
    <w:p w14:paraId="07DA4901" w14:textId="77777777" w:rsidR="00EF79E1" w:rsidRPr="00F94329" w:rsidRDefault="00EF79E1" w:rsidP="00EF79E1">
      <w:pPr>
        <w:spacing w:after="240"/>
        <w:ind w:left="567" w:hanging="567"/>
        <w:rPr>
          <w:bCs/>
          <w:iCs/>
        </w:rPr>
      </w:pPr>
      <w:r w:rsidRPr="00F94329">
        <w:t>E.</w:t>
      </w:r>
      <w:r w:rsidRPr="00F94329">
        <w:tab/>
        <w:t>keďže bez zmeny prístupu k odstraňovaniu chudoby na úrovni EÚ nebude možné zvrátiť tento trend a zabezpečiť, aby mal každý jednotlivec rovnaké príležitosti zapojiť sa do spoločnosti; keďže odstránenie chudoby si vyžaduje koordinovaný a celostný prístup a integrované politiky, ktoré pôsobia spoločne s cieľom dosiahnuť sociálnu súdržnosť a zabrániť zhoršovaniu nerovností; keďže takáto komplexná stratégia si vyžaduje zapojenie členských štátov, miestnych a regionálnych orgánov, sociálnych partnerov a občianskej spoločnosti;</w:t>
      </w:r>
    </w:p>
    <w:p w14:paraId="5C2F5F4A" w14:textId="77777777" w:rsidR="00EF79E1" w:rsidRPr="00F94329" w:rsidRDefault="00EF79E1" w:rsidP="00EF79E1">
      <w:pPr>
        <w:spacing w:after="240"/>
        <w:ind w:left="567" w:hanging="567"/>
        <w:rPr>
          <w:bCs/>
          <w:iCs/>
        </w:rPr>
      </w:pPr>
      <w:r w:rsidRPr="00F94329">
        <w:t>F.</w:t>
      </w:r>
      <w:r w:rsidRPr="00F94329">
        <w:tab/>
        <w:t>keďže rodiny s jedným rodičom, najmä tie, na čele ktorých stoja ženy, čelia zvýšenému riziku chudoby, a to na úrovni 32 % v porovnaní s len 11,2 % u rodín s dvoma rodičmi</w:t>
      </w:r>
      <w:r w:rsidRPr="00F94329">
        <w:rPr>
          <w:rStyle w:val="FootnoteReference"/>
        </w:rPr>
        <w:footnoteReference w:id="30"/>
      </w:r>
      <w:r w:rsidRPr="00F94329">
        <w:t xml:space="preserve">, čo spôsobuje, že členovia rodiny sa častejšie dostávajú do bludného kruhu chudoby, ktorá sa prenáša z generácie na generáciu; keďže systémové faktory, ako sú nedostatočný prístup k službám, nestabilita bývania, neistý príjem a nedostatočné </w:t>
      </w:r>
      <w:r w:rsidRPr="00F94329">
        <w:lastRenderedPageBreak/>
        <w:t>služby prevencie a služby na podporu rodiny, oslabujú schopnosť rodín starať sa o svoje deti v komunitnom prostredí; keďže cielená preventívna podpora a pomoc rodinám vrátane obetí domáceho násilia sú nevyhnutné na posilnenie postavenia a ochranu týchto rodín a prelomenie cyklu chudoby;</w:t>
      </w:r>
    </w:p>
    <w:p w14:paraId="20676F01" w14:textId="77777777" w:rsidR="00EF79E1" w:rsidRPr="00F94329" w:rsidRDefault="00EF79E1" w:rsidP="00EF79E1">
      <w:pPr>
        <w:spacing w:after="240"/>
        <w:ind w:left="567" w:hanging="567"/>
      </w:pPr>
      <w:r w:rsidRPr="00F94329">
        <w:t>G.</w:t>
      </w:r>
      <w:r w:rsidRPr="00F94329">
        <w:tab/>
        <w:t>keďže ukazovatele počtu detí ohrozených chudobou sa zvýšili z 23,6 % v roku 2019 na 24,2 % v roku 2024; keďže pri súčasnej trajektórii sa EÚ nepodarí splniť svoj cieľ znížiť do roku 2030 počet detí žijúcich v chudobe aspoň o 5 miliónov; keďže u detí pochádzajúcich z etnických menšín alebo migračného prostredia, detí so zdravotným postihnutím a rómskych detí možno pozorovať výrazné rozdiely; keďže zdroje EÚ a vnútroštátne zdroje, ktoré sa v súčasnosti využívajú, nestačia na riešenie problému chudoby detí v EÚ;</w:t>
      </w:r>
    </w:p>
    <w:p w14:paraId="3B1A3A07" w14:textId="77777777" w:rsidR="00EF79E1" w:rsidRPr="00F94329" w:rsidRDefault="00EF79E1" w:rsidP="00EF79E1">
      <w:pPr>
        <w:spacing w:after="240"/>
        <w:ind w:left="567" w:hanging="567"/>
      </w:pPr>
      <w:r w:rsidRPr="00F94329">
        <w:t>H.</w:t>
      </w:r>
      <w:r w:rsidRPr="00F94329">
        <w:tab/>
        <w:t>keďže chudoba detí často pramení z chudoby rodín a absencia komplexnej reakcie znamená, že chudoba sa predlžuje počas celého života (v detstve, v práci a na dôchodku); keďže na prekonanie medzigeneračného znevýhodnenia sa treba zamerať na celú rodinu, ktorá zažíva chudobu, t. j. na rodičov aj deti; keďže investovanie do detí a mládeže, a najmä vzdelávania a starostlivosti v ranom detstve vrátane rozvoja gramotnosti a matematickej gramotnosti, ako aj podpory rodiny, slúži ako preventívne opatrenie proti chudobe a vytvára značné dlhodobé sociálne prínosy, a preto by sa nemalo vnímať len ako sociálny výdavok, ale aj ako investícia do budúcnosti;</w:t>
      </w:r>
    </w:p>
    <w:p w14:paraId="7830EF03" w14:textId="77777777" w:rsidR="00EF79E1" w:rsidRPr="00F94329" w:rsidRDefault="00EF79E1" w:rsidP="00EF79E1">
      <w:pPr>
        <w:spacing w:after="240"/>
        <w:ind w:left="567" w:hanging="567"/>
      </w:pPr>
      <w:r w:rsidRPr="00F94329">
        <w:t>I.</w:t>
      </w:r>
      <w:r w:rsidRPr="00F94329">
        <w:tab/>
        <w:t>keďže Rada 14. júna 2021 prijala odporúčanie týkajúce sa Európskej záruky pre deti, ktorá predstavuje veľkú príležitosť na zníženie nerovností a podporu sociálneho začlenenia detí a preukazuje záväzok k integrovanej politike zameranej na prelomenie bludného kruhu chudoby a zabezpečenie toho, aby deti v núdzi mali prístup ku kľúčovým službám, napríklad bezplatným službám vzdelávania a starostlivosti v ranom detstve, bezplatnému vzdelávaniu (vrátane školských činností a aspoň jedného zdravého jedla za školský deň), bezplatnej zdravotnej starostlivosti, zdravej výžive a primeranému bývaniu; keďže napriek tomu, že 5 % finančných prostriedkov z Európskeho sociálneho fondu plus (ESF+) je vyčlenených osobitne na zníženie chudoby detí, miera rizika chudoby alebo sociálneho vylúčenia medzi deťmi sa v niektorých členských štátoch zvýšila, čo poukazuje na potrebu ambicióznejšieho a účinnejšieho využívania finančných prostriedkov;</w:t>
      </w:r>
    </w:p>
    <w:p w14:paraId="084E4971" w14:textId="77777777" w:rsidR="00EF79E1" w:rsidRPr="00F94329" w:rsidRDefault="00EF79E1" w:rsidP="00EF79E1">
      <w:pPr>
        <w:spacing w:after="240"/>
        <w:ind w:left="567" w:hanging="567"/>
        <w:rPr>
          <w:bCs/>
          <w:iCs/>
        </w:rPr>
      </w:pPr>
      <w:r w:rsidRPr="00F94329">
        <w:t>J.</w:t>
      </w:r>
      <w:r w:rsidRPr="00F94329">
        <w:tab/>
        <w:t>keďže prístup ku kvalitným službám vzdelávania a starostlivosti v ranom detstve má zásadný význam pre zdravý vývoj malých detí a zabezpečenie rovnakých vzdelávacích príležitostí pre deti zo znevýhodneného prostredia, deti so zdravotným postihnutím a deti so špeciálnymi vzdelávacími potrebami, čím kladie základy na prelomenie cyklu chudoby, podporu sociálneho začlenenia a dosiahnutie vysokej sociálnej návratnosti v budúcnosti; keďže podľa Komisie musí EÚ investovať dodatočné prostriedky vo výške viac ako 11 miliárd EUR ročne, aby splnila barcelonské ciele, a zabezpečiť, aby sa do roku 2030 aspoň 45 % detí vo veku do troch rokov a aspoň 96 % detí vo veku od troch rokov do veku začatia povinnej školskej dochádzky zúčastňovalo na vzdelávaní a starostlivosti v ranom detstve</w:t>
      </w:r>
      <w:r w:rsidRPr="00F94329">
        <w:rPr>
          <w:rStyle w:val="FootnoteReference"/>
          <w:bCs/>
          <w:iCs/>
        </w:rPr>
        <w:footnoteReference w:id="31"/>
      </w:r>
      <w:r w:rsidRPr="00F94329">
        <w:t>;</w:t>
      </w:r>
    </w:p>
    <w:p w14:paraId="3E643790" w14:textId="77777777" w:rsidR="00EF79E1" w:rsidRPr="00F94329" w:rsidRDefault="00EF79E1" w:rsidP="00EF79E1">
      <w:pPr>
        <w:spacing w:after="240"/>
        <w:ind w:left="567" w:hanging="567"/>
        <w:rPr>
          <w:bCs/>
          <w:iCs/>
        </w:rPr>
      </w:pPr>
      <w:r w:rsidRPr="00F94329">
        <w:t>K.</w:t>
      </w:r>
      <w:r w:rsidRPr="00F94329">
        <w:tab/>
        <w:t xml:space="preserve">keďže v roku 2022 sa priemerné skóre 15-ročných žiakov v rámci Programu pre </w:t>
      </w:r>
      <w:r w:rsidRPr="00F94329">
        <w:lastRenderedPageBreak/>
        <w:t>medzinárodné hodnotenie žiakov v meraniach základných zručností (čítanie, matematika a prírodné vedy) v porovnaní s posledným hodnotením v roku 2018 znížilo o 10 bodov; keďže medzi znevýhodnenými žiakmi prevládajú slabšie výsledky, čo svedčí o prehlbovaní nerovností vo vzdelávaní; keďže kvalitné vzdelávanie s osobitným dôrazom na posilnenie funkčnej gramotnosti, matematickej gramotnosti a digitálnej kompetencie ako základných zručností je zásadnou pákou v boji proti chudobe, pretože vedie k lepším pracovným príležitostiam, lepším životným podmienkam a má pozitívny vplyv na duševné aj fyzické zdravie; keďže investovanie do kvalitného vzdelávania, najmä pre ľudí z menšinových a zraniteľných skupín, je jedným z najúčinnejších spôsobov, ako udržateľne a štrukturálne znížiť chudobu;</w:t>
      </w:r>
    </w:p>
    <w:p w14:paraId="25B45C0A" w14:textId="77777777" w:rsidR="00EF79E1" w:rsidRPr="00F94329" w:rsidRDefault="00EF79E1" w:rsidP="00EF79E1">
      <w:pPr>
        <w:spacing w:after="240"/>
        <w:ind w:left="567" w:hanging="567"/>
        <w:rPr>
          <w:bCs/>
          <w:iCs/>
        </w:rPr>
      </w:pPr>
      <w:r w:rsidRPr="00F94329">
        <w:t>L.</w:t>
      </w:r>
      <w:r w:rsidRPr="00F94329">
        <w:tab/>
        <w:t>keďže EÚ prijala v Akčnom pláne na realizáciu Európskeho piliera sociálnych práv z roku 2021 cieľ, že do roku 2030 by sa malo každoročne zúčastniť na odbornej príprave aspoň 60 % dospelých; keďže členské štáty sa zaviazali k národným cieľom, aby dosiahli tento hlavný cieľ, a keďže väčšina členských štátov stratila pri plnení týchto národných cieľov pôdu pod nohami; keďže v roku 2022 bola miera účasti dospelých na vzdelávaní na úrovni 39,5 %, čo je stále výrazne pod cieľom EÚ do roku 2030</w:t>
      </w:r>
      <w:r w:rsidRPr="00F94329">
        <w:rPr>
          <w:rStyle w:val="FootnoteReference"/>
          <w:bCs/>
          <w:iCs/>
        </w:rPr>
        <w:footnoteReference w:id="32"/>
      </w:r>
      <w:r w:rsidRPr="00F94329">
        <w:t>; keďže je potrebné ďalšie značné úsilie na zabezpečenie poskytovania kvalitných politík odbornej prípravy, ktoré podporujú celoživotné vzdelávanie, a prístupu k nim;</w:t>
      </w:r>
    </w:p>
    <w:p w14:paraId="133BC57A" w14:textId="77777777" w:rsidR="00EF79E1" w:rsidRPr="00F94329" w:rsidRDefault="00EF79E1" w:rsidP="00EF79E1">
      <w:pPr>
        <w:spacing w:after="240"/>
        <w:ind w:left="567" w:hanging="567"/>
        <w:rPr>
          <w:bCs/>
          <w:iCs/>
        </w:rPr>
      </w:pPr>
      <w:r w:rsidRPr="00F94329">
        <w:t>M.</w:t>
      </w:r>
      <w:r w:rsidRPr="00F94329">
        <w:tab/>
        <w:t>keďže ženy sú v porovnaní s mužmi postihnuté vyššou mierou chudoby v dôsledku diskriminácie a nerovností, ako sú väčšie ťažkosti v prístupe k zamestnaniu, mzdové rozdiely, nižšia intenzita práce, kratšia profesionálna kariéra, rozdiely v hodnote dôchodkov a sociálnych dávok</w:t>
      </w:r>
      <w:r w:rsidRPr="00F94329">
        <w:rPr>
          <w:rStyle w:val="FootnoteReference"/>
          <w:bCs/>
          <w:iCs/>
        </w:rPr>
        <w:footnoteReference w:id="33"/>
      </w:r>
      <w:r w:rsidRPr="00F94329">
        <w:t>, problematický prístup k špecifickej zdravotnej starostlivosti a nerovnomerné rozdelenie starostlivosti a domácich prác</w:t>
      </w:r>
      <w:r w:rsidRPr="00F94329">
        <w:rPr>
          <w:rStyle w:val="FootnoteReference"/>
          <w:bCs/>
          <w:iCs/>
        </w:rPr>
        <w:footnoteReference w:id="34"/>
      </w:r>
      <w:r w:rsidRPr="00F94329">
        <w:t>; keďže chudobu žien v celej jej rozmanitosti treba chápať ako komplexný a viacrozmerný jav, ktorý zahŕňa nielen sociálne, politické a kultúrne aspekty, ale aj príjmy, bývanie, zdravotnú starostlivosť a prístup k vzdelávaniu a sociálnym službám, a nemožno ju odstrániť len zamestnaním, ale vyžaduje si komplexný a inkluzívny prístup založený na prevencii a zmierňovaní chudoby; keďže v roku 2024 bola miera závažnej materiálnej a sociálnej deprivácie vo všetkých krajinách EÚ okrem dvoch vyššia u žien (6,6 %) ako u mužov (6,2 %)</w:t>
      </w:r>
      <w:r w:rsidRPr="00F94329">
        <w:rPr>
          <w:rStyle w:val="FootnoteReference"/>
          <w:bCs/>
          <w:iCs/>
        </w:rPr>
        <w:footnoteReference w:id="35"/>
      </w:r>
      <w:r w:rsidRPr="00F94329">
        <w:t xml:space="preserve"> a miera rizika chudoby alebo sociálneho vylúčenia bola vyššia u žien (21,9 %) ako u mužov (20 %) vo všetkých krajinách EÚ</w:t>
      </w:r>
      <w:r w:rsidRPr="00F94329">
        <w:rPr>
          <w:rStyle w:val="FootnoteReference"/>
          <w:bCs/>
          <w:iCs/>
        </w:rPr>
        <w:footnoteReference w:id="36"/>
      </w:r>
      <w:r w:rsidRPr="00F94329">
        <w:t xml:space="preserve">; keďže v tom istom roku sa </w:t>
      </w:r>
      <w:r w:rsidRPr="00F94329">
        <w:lastRenderedPageBreak/>
        <w:t>23,7 % žien a 22,7 % mužov v EÚ považovalo za chudobných</w:t>
      </w:r>
      <w:r w:rsidRPr="00F94329">
        <w:rPr>
          <w:rStyle w:val="FootnoteReference"/>
          <w:bCs/>
          <w:iCs/>
        </w:rPr>
        <w:footnoteReference w:id="37"/>
      </w:r>
      <w:r w:rsidRPr="00F94329">
        <w:t xml:space="preserve"> a keďže 21,6 % žien vo veku 65 rokov a viac bolo ohrozených chudobou v porovnaní približne s 16,5 % mužov v rovnakej vekovej skupine</w:t>
      </w:r>
      <w:r w:rsidRPr="00F94329">
        <w:rPr>
          <w:rStyle w:val="FootnoteReference"/>
          <w:bCs/>
          <w:iCs/>
        </w:rPr>
        <w:footnoteReference w:id="38"/>
      </w:r>
      <w:r w:rsidRPr="00F94329">
        <w:t>;</w:t>
      </w:r>
    </w:p>
    <w:p w14:paraId="771384A0" w14:textId="77777777" w:rsidR="00EF79E1" w:rsidRPr="00F94329" w:rsidRDefault="00EF79E1" w:rsidP="00EF79E1">
      <w:pPr>
        <w:spacing w:after="240"/>
        <w:ind w:left="567" w:hanging="567"/>
        <w:rPr>
          <w:bCs/>
          <w:iCs/>
        </w:rPr>
      </w:pPr>
      <w:r w:rsidRPr="00F94329">
        <w:t>N.</w:t>
      </w:r>
      <w:r w:rsidRPr="00F94329">
        <w:tab/>
        <w:t>keďže existuje silná súvislosť medzi chudobou a rodovo motivovaným násilím a keďže chudoba zhoršuje dosah rodovo motivovaného násilia, najmä na marginalizované ženy, ako sú LGBTIQ+ osoby; keďže ženy žijúce v chudobe sú vystavené vyššiemu riziku násilia vrátane násilia medzi partnermi a domáceho násilia, a to v dôsledku faktorov, ako je finančná závislosť, neistota v oblasti bývania a obmedzený prístup k podporným službám</w:t>
      </w:r>
      <w:r w:rsidRPr="00F94329">
        <w:rPr>
          <w:rStyle w:val="FootnoteReference"/>
          <w:bCs/>
          <w:iCs/>
        </w:rPr>
        <w:footnoteReference w:id="39"/>
      </w:r>
      <w:r w:rsidRPr="00F94329">
        <w:t>; keďže v členských štátoch zažilo 30,7 % žien počas svojho života fyzické násilie alebo vyhrážky a/alebo sexuálne násilie zo strany akéhokoľvek páchateľa</w:t>
      </w:r>
      <w:r w:rsidRPr="00F94329">
        <w:rPr>
          <w:rStyle w:val="FootnoteReference"/>
          <w:bCs/>
          <w:iCs/>
        </w:rPr>
        <w:footnoteReference w:id="40"/>
      </w:r>
      <w:r w:rsidRPr="00F94329">
        <w:t>; keďže chudoba vystavuje ženy väčšiemu riziku obchodovania s ľuďmi a sexuálneho vykorisťovania;</w:t>
      </w:r>
    </w:p>
    <w:p w14:paraId="42D3EDE1" w14:textId="20EEEB3E" w:rsidR="00EF79E1" w:rsidRPr="00F94329" w:rsidRDefault="00EF79E1" w:rsidP="00EF79E1">
      <w:pPr>
        <w:spacing w:after="240"/>
        <w:ind w:left="567" w:hanging="567"/>
        <w:rPr>
          <w:bCs/>
          <w:iCs/>
        </w:rPr>
      </w:pPr>
      <w:r w:rsidRPr="00F94329">
        <w:t>O.</w:t>
      </w:r>
      <w:r w:rsidRPr="00F94329">
        <w:tab/>
        <w:t xml:space="preserve">keďže chudoba je tiež príčinou aj dôsledkom prierezovej diskriminácie a neúmerne postihuje jednotlivcov a komunity, konkrétne ženy, rodiny, ľudí z rôznych rasových a etnických skupín, Rómov a </w:t>
      </w:r>
      <w:proofErr w:type="spellStart"/>
      <w:r w:rsidRPr="00F94329">
        <w:t>Travellerov</w:t>
      </w:r>
      <w:proofErr w:type="spellEnd"/>
      <w:r w:rsidRPr="00F94329">
        <w:t xml:space="preserve">, ľudí bez domova, deti v ústavnej starostlivosti, LGBTQIA+ osoby, starších a mladších ľudí, osoby so zdravotným postihnutím, ľudí diskriminovaných na základe náboženstva alebo viery, ľudí trpiacich chronickými chorobami a závislosťami, neformálnych opatrovateľov a osamelých rodičov; keďže okrem prierezu s inými formami porušovania ľudských práv sú tieto skupiny zraniteľnejšie voči sociálnemu vylúčeniu; keďže v súčasných systémoch trhu práce a sociálnej ochrany existujú významné prekážky pre zraniteľné a marginalizované skupiny; keďže riešenie chudoby si preto vyžaduje politiky, ktoré uznávajú tieto prelínajúce sa formy </w:t>
      </w:r>
      <w:proofErr w:type="spellStart"/>
      <w:r w:rsidRPr="00F94329">
        <w:t>marginalizácie</w:t>
      </w:r>
      <w:proofErr w:type="spellEnd"/>
      <w:r w:rsidRPr="00F94329">
        <w:t xml:space="preserve"> a bojujú proti nim, čím zabezpečujú všetkým ľuďom plné a rovnaké uplatňovanie všetkých ľudských práv;</w:t>
      </w:r>
    </w:p>
    <w:p w14:paraId="57599F0A" w14:textId="77777777" w:rsidR="00EF79E1" w:rsidRPr="00F94329" w:rsidRDefault="00EF79E1" w:rsidP="00EF79E1">
      <w:pPr>
        <w:spacing w:after="240"/>
        <w:ind w:left="567" w:hanging="567"/>
        <w:rPr>
          <w:bCs/>
          <w:iCs/>
        </w:rPr>
      </w:pPr>
      <w:r w:rsidRPr="00F94329">
        <w:t>P.</w:t>
      </w:r>
      <w:r w:rsidRPr="00F94329">
        <w:tab/>
        <w:t xml:space="preserve">keďže v roku 2024 bolo v EÚ riziko chudoby alebo sociálneho vylúčenia osôb so zdravotným postihnutím o 61 % vyššie v porovnaní s osobami bez takýchto obmedzení; keďže v EÚ žilo v roku 2023 približne 20,2 % osôb vo veku 16 rokov a viac so zdravotným postihnutím v domácnosti ohrozenej chudobou; keďže v rovnakej vekovej skupine približne 10,5 % osôb so zdravotným postihnutím žilo v domácnosti ohrozenej závažnou materiálnou a sociálnou depriváciou; keďže v EÚ je rozdiel 24 </w:t>
      </w:r>
      <w:r w:rsidRPr="00F94329">
        <w:lastRenderedPageBreak/>
        <w:t>percentuálnych bodov v zamestnanosti medzi ľuďmi so zdravotným postihnutím a bez neho, pričom tento rozdiel je ešte väčší v prípade žien a mladých ľudí so zdravotným postihnutím</w:t>
      </w:r>
      <w:r w:rsidRPr="00F94329">
        <w:rPr>
          <w:rStyle w:val="FootnoteReference"/>
          <w:bCs/>
          <w:iCs/>
        </w:rPr>
        <w:footnoteReference w:id="41"/>
      </w:r>
      <w:r w:rsidRPr="00F94329">
        <w:t>;</w:t>
      </w:r>
    </w:p>
    <w:p w14:paraId="2437155B" w14:textId="77777777" w:rsidR="00EF79E1" w:rsidRPr="00F94329" w:rsidRDefault="00EF79E1" w:rsidP="00EF79E1">
      <w:pPr>
        <w:spacing w:after="240"/>
        <w:ind w:left="567" w:hanging="567"/>
        <w:rPr>
          <w:bCs/>
          <w:iCs/>
        </w:rPr>
      </w:pPr>
      <w:r w:rsidRPr="00F94329">
        <w:t>Q.</w:t>
      </w:r>
      <w:r w:rsidRPr="00F94329">
        <w:tab/>
        <w:t xml:space="preserve">keďže rómske komunity a komunity </w:t>
      </w:r>
      <w:proofErr w:type="spellStart"/>
      <w:r w:rsidRPr="00F94329">
        <w:t>Travellerov</w:t>
      </w:r>
      <w:proofErr w:type="spellEnd"/>
      <w:r w:rsidRPr="00F94329">
        <w:t xml:space="preserve"> naďalej zažívajú jednu z najvyšších úrovní chudoby a sociálneho vylúčenia v EÚ, pričom až 80 % z nich je ohrozených chudobou a 48 % čelí vážnej materiálnej deprivácii, a keďže rómske deti sú voči týmto podmienkam obzvlášť zraniteľné; keďže údaje naznačujú, že rómske ženy čelia väčšiemu znevýhodneniu ako rómski muži a ostatné ženy v základných oblastiach spoločenského života, ako je vzdelávanie, zamestnanosť a zdravie</w:t>
      </w:r>
      <w:r w:rsidRPr="00F94329">
        <w:rPr>
          <w:rStyle w:val="FootnoteReference"/>
          <w:bCs/>
          <w:iCs/>
        </w:rPr>
        <w:footnoteReference w:id="42"/>
      </w:r>
      <w:r w:rsidRPr="00F94329">
        <w:t>;</w:t>
      </w:r>
    </w:p>
    <w:p w14:paraId="703B0BEA" w14:textId="77777777" w:rsidR="00EF79E1" w:rsidRPr="00F94329" w:rsidRDefault="00EF79E1" w:rsidP="00EF79E1">
      <w:pPr>
        <w:spacing w:after="240"/>
        <w:ind w:left="567" w:hanging="567"/>
        <w:rPr>
          <w:bCs/>
          <w:iCs/>
        </w:rPr>
      </w:pPr>
      <w:r w:rsidRPr="00F94329">
        <w:t>R.</w:t>
      </w:r>
      <w:r w:rsidRPr="00F94329">
        <w:tab/>
        <w:t>keďže v roku 2021 25 % Rómov uviedlo, že v predchádzajúcich 12 mesiacoch zažili diskrimináciu v každodenných situáciách vrátane hľadania práce, na pracovisku, v oblasti bývania, zdravotnej starostlivosti a vzdelávania, ako aj segregáciu a sociálno-ekonomické vylúčenie</w:t>
      </w:r>
      <w:r w:rsidRPr="00F94329">
        <w:rPr>
          <w:rStyle w:val="FootnoteReference"/>
          <w:bCs/>
          <w:iCs/>
        </w:rPr>
        <w:footnoteReference w:id="43"/>
      </w:r>
      <w:r w:rsidRPr="00F94329">
        <w:t>, čo viedlo k neprimerane vysokej miere chudoby; keďže 80 % Rómov žije pod hranicou rizika chudoby svojej krajiny</w:t>
      </w:r>
      <w:r w:rsidRPr="00F94329">
        <w:rPr>
          <w:rStyle w:val="FootnoteReference"/>
          <w:bCs/>
          <w:iCs/>
        </w:rPr>
        <w:footnoteReference w:id="44"/>
      </w:r>
      <w:r w:rsidRPr="00F94329">
        <w:t>;</w:t>
      </w:r>
    </w:p>
    <w:p w14:paraId="2444F144" w14:textId="77777777" w:rsidR="00EF79E1" w:rsidRPr="00F94329" w:rsidRDefault="00EF79E1" w:rsidP="00EF79E1">
      <w:pPr>
        <w:spacing w:after="240"/>
        <w:ind w:left="567" w:hanging="567"/>
        <w:rPr>
          <w:bCs/>
          <w:iCs/>
        </w:rPr>
      </w:pPr>
      <w:r w:rsidRPr="00F94329">
        <w:t>S.</w:t>
      </w:r>
      <w:r w:rsidRPr="00F94329">
        <w:tab/>
        <w:t>keďže v EÚ pretrváva digitálne vylúčenie, v dôsledku ktorého jednotlivci a skupiny nemajú plný prístup k informačným a komunikačným technológiám a nemôžu ich využívať, čo im bráni v účasti na hospodárskom, sociálnom a politickom živote spoločnosti; keďže medzi mestskými a vidieckymi oblasťami v celej EÚ naďalej existuje digitálna priepasť, a to viac ako päť percentuálnych bodov; keďže digitálna priepasť potenciálne prehlbuje digitálne vylúčenie tých, ktorí zažívajú chudobu, a je obzvlášť výrazná medzi zraniteľnými skupinami vrátane ľudí s nízkymi príjmami alebo nízkou úrovňou vzdelania, starších ľudí, osôb so zdravotným postihnutím a ľudí žijúcich vo vidieckych alebo izolovaných oblastiach; keďže takmer polovica dospelej populácie nemá základné digitálne zručnosti napriek tomu, že sú požadované vo viac ako 90 % pracovných miest; keďže 5,4 % detí školského veku v Európe trpí digitálnou depriváciou, pričom medzi jednotlivými krajinami boli zaznamenané značné rozdiely v prístupe k digitálnym zdrojom</w:t>
      </w:r>
      <w:r w:rsidRPr="00F94329">
        <w:rPr>
          <w:rStyle w:val="FootnoteReference"/>
        </w:rPr>
        <w:footnoteReference w:id="45"/>
      </w:r>
      <w:r w:rsidRPr="00F94329">
        <w:t xml:space="preserve">; keďže v roku 2023 malo 97,7 % všetkých domácností v EÚ prístup k aspoň jednej technológii pevného širokopásmového pripojenia, zatiaľ čo vo vidieckych oblastiach to bolo len 92,2 %; keďže v roku 2023 sa zistilo, že 32 % </w:t>
      </w:r>
      <w:r w:rsidRPr="00F94329">
        <w:lastRenderedPageBreak/>
        <w:t>Európanov vo veku 16 až 29 rokov má digitálne zručnosti na nižšej ako základnej úrovni, pričom toto číslo sa zvýšilo na 43 % medzi ľuďmi s nízkym dosiahnutým stupňom vzdelania, čo poukazuje na výrazný nedostatok digitálnych zručností v rámci demografickej skupiny mladých ľudí</w:t>
      </w:r>
      <w:r w:rsidRPr="00F94329">
        <w:rPr>
          <w:rStyle w:val="FootnoteReference"/>
        </w:rPr>
        <w:footnoteReference w:id="46"/>
      </w:r>
      <w:r w:rsidRPr="00F94329">
        <w:t>;</w:t>
      </w:r>
    </w:p>
    <w:p w14:paraId="03E88EDB" w14:textId="77777777" w:rsidR="00EF79E1" w:rsidRPr="00F94329" w:rsidRDefault="00EF79E1" w:rsidP="00EF79E1">
      <w:pPr>
        <w:spacing w:after="240"/>
        <w:ind w:left="567" w:hanging="567"/>
      </w:pPr>
      <w:r w:rsidRPr="00F94329">
        <w:t>T.</w:t>
      </w:r>
      <w:r w:rsidRPr="00F94329">
        <w:tab/>
        <w:t>keďže prístup k rýchlemu a spoľahlivému internetu je nevyhnutný pre účasť na vedomostnej a informovanej spoločnosti, ako aj pre prístup k zamestnaniu, vzdelávaniu, verejným službám a zdravotnej starostlivosti; keďže digitalizácia verejných služieb ponúka významné príležitosti, ale vyžaduje si cielené úsilie na zabezpečenie začlenenia zraniteľných skupín;</w:t>
      </w:r>
    </w:p>
    <w:p w14:paraId="0BBD102C" w14:textId="77777777" w:rsidR="00EF79E1" w:rsidRPr="00F94329" w:rsidRDefault="00EF79E1" w:rsidP="00EF79E1">
      <w:pPr>
        <w:spacing w:after="240"/>
        <w:ind w:left="567" w:hanging="567"/>
        <w:rPr>
          <w:bCs/>
          <w:iCs/>
        </w:rPr>
      </w:pPr>
      <w:r w:rsidRPr="00F94329">
        <w:t>U.</w:t>
      </w:r>
      <w:r w:rsidRPr="00F94329">
        <w:tab/>
        <w:t>keďže v EÚ má profesijná situácia osoby veľký vplyv na riziko chudoby alebo sociálneho vylúčenia, ktorému táto osoba čelí; keďže v roku 2024 zažívalo 8,2 % všetkých zamestnaných osôb v EÚ chudobu pracujúcich</w:t>
      </w:r>
      <w:r w:rsidRPr="00F94329">
        <w:rPr>
          <w:rStyle w:val="FootnoteReference"/>
          <w:bCs/>
          <w:iCs/>
        </w:rPr>
        <w:footnoteReference w:id="47"/>
      </w:r>
      <w:r w:rsidRPr="00F94329">
        <w:t xml:space="preserve"> v dôsledku nízkych miezd, neistoty zamestnania a neistých pracovných podmienok; keďže z analýzy údajov za rok 2022 vyplýva, že pracovníci na čiastočný úväzok čelili nepomerne vyššej miere chudoby pracujúcich (13,5 %) v porovnaní s pracovníkmi na plný úväzok (7,1 %)</w:t>
      </w:r>
      <w:r w:rsidRPr="00F94329">
        <w:rPr>
          <w:rStyle w:val="FootnoteReference"/>
          <w:bCs/>
          <w:iCs/>
        </w:rPr>
        <w:footnoteReference w:id="48"/>
      </w:r>
      <w:r w:rsidRPr="00F94329">
        <w:t>; keďže chudoba pracujúcich je naďalej štrukturálnou výzvou, ktorá vytvára značný sociálny a hospodársky tlak na postihnuté domácnosti a je prekážkou, pokiaľ ide o sociálne začlenenie a hospodársku stabilitu; keďže riešenie chudoby pracujúcich je nevyhnutné na podporu spravodlivej zamestnanosti, zníženie nerovností a zabezpečenie udržateľného a inkluzívneho hospodárskeho rozvoja v celej EÚ; keďže kolektívne vyjednávanie, odborové zväzy a sociálny dialóg zohrávajú kľúčovú úlohu pri zlepšovaní pracovných podmienok a podmienok zamestnávania, a tým aj pri zlepšovaní životných podmienok;</w:t>
      </w:r>
    </w:p>
    <w:p w14:paraId="6F222CB1" w14:textId="77777777" w:rsidR="00EF79E1" w:rsidRPr="00F94329" w:rsidRDefault="00EF79E1" w:rsidP="00EF79E1">
      <w:pPr>
        <w:spacing w:after="240"/>
        <w:ind w:left="567" w:hanging="567"/>
      </w:pPr>
      <w:r w:rsidRPr="00F94329">
        <w:t>V.</w:t>
      </w:r>
      <w:r w:rsidRPr="00F94329">
        <w:tab/>
        <w:t>keďže v správe o primeranosti dôchodkov v EÚ za rok 2024 sa zdôrazňuje, že v roku 2022 bolo v EÚ približne 18,5 milióna osôb vo veku nad 65 rokov ohrozených chudobou alebo sociálnym vylúčením</w:t>
      </w:r>
      <w:r w:rsidRPr="00F94329">
        <w:rPr>
          <w:rStyle w:val="FootnoteReference"/>
        </w:rPr>
        <w:footnoteReference w:id="49"/>
      </w:r>
      <w:r w:rsidRPr="00F94329">
        <w:t>; keďže miera rizika chudoby v tejto vekovej skupine bola v roku 2022 na úrovni 14,2 % u mužov a 19,8 % u žien; keďže miera rizika chudoby u osôb vo veku nad 65 rokov sa neustále zvyšuje v dôsledku rastúcej miery chudoby a starnutia obyvateľstva;</w:t>
      </w:r>
    </w:p>
    <w:p w14:paraId="0D1971CC" w14:textId="77777777" w:rsidR="00EF79E1" w:rsidRPr="00F94329" w:rsidRDefault="00EF79E1" w:rsidP="00EF79E1">
      <w:pPr>
        <w:spacing w:after="240"/>
        <w:ind w:left="567" w:hanging="567"/>
      </w:pPr>
      <w:r w:rsidRPr="00F94329">
        <w:t>W.</w:t>
      </w:r>
      <w:r w:rsidRPr="00F94329">
        <w:tab/>
        <w:t xml:space="preserve">keďže kvalitné a cenovo dostupné verejné služby sú nevyhnutné na dosiahnutie vysokej úrovne sociálnej ochrany, sociálnej súdržnosti a sociálneho začlenenia; keďže poskytovanie kvalitných verejných služieb ohrozuje viacero problémov vrátane ťažkostí súvisiacich s kontinuitou služieb, zvýšeným dopytom a nedostatočnými zdrojmi, ktoré čiastočne zhoršuje starnutie obyvateľstva; keďže každý v EÚ má právo na prístup k </w:t>
      </w:r>
      <w:r w:rsidRPr="00F94329">
        <w:lastRenderedPageBreak/>
        <w:t>základným službám vysokej kvality, ktoré sú sprevádzané podpornými opatreniami pre tých, ktorí ich potrebujú; keďže ľudia ohrození chudobou alebo sociálnym vylúčením, najmä Rómovia a ľudia bez domova, čelia v tejto súvislosti štrukturálnym prekážkam, nedostatku infraštruktúry, zručností alebo peňažných zdrojov;</w:t>
      </w:r>
    </w:p>
    <w:p w14:paraId="6C73877E" w14:textId="08C3688B" w:rsidR="00D0428C" w:rsidRPr="00F94329" w:rsidRDefault="00391CF6" w:rsidP="00EF79E1">
      <w:pPr>
        <w:spacing w:after="240"/>
        <w:ind w:left="567" w:hanging="567"/>
        <w:rPr>
          <w:bCs/>
          <w:iCs/>
        </w:rPr>
      </w:pPr>
      <w:r w:rsidRPr="00F94329">
        <w:rPr>
          <w:bCs/>
          <w:iCs/>
        </w:rPr>
        <w:t>X</w:t>
      </w:r>
      <w:r w:rsidR="00D0428C" w:rsidRPr="00F94329">
        <w:rPr>
          <w:bCs/>
          <w:iCs/>
        </w:rPr>
        <w:t>.</w:t>
      </w:r>
      <w:r w:rsidRPr="00F94329">
        <w:rPr>
          <w:bCs/>
          <w:iCs/>
        </w:rPr>
        <w:tab/>
      </w:r>
      <w:r w:rsidR="00D0428C" w:rsidRPr="00F94329">
        <w:rPr>
          <w:bCs/>
          <w:iCs/>
        </w:rPr>
        <w:tab/>
      </w:r>
      <w:r w:rsidRPr="00F94329">
        <w:rPr>
          <w:bCs/>
          <w:iCs/>
        </w:rPr>
        <w:t>keďže v roku 2024 si približne 8 % Európanov nemohlo dovoliť vyváženú stravu obsahujúcu mäso, ryby alebo vegetariánske ekvivalenty každé dva dni, čo predstavuje približne 36 miliónov ľudí v celej Únii, pričom tento problém je obzvlášť naliehavý medzi slobodnými ľuďmi, študentmi a mladými dospelými, rodinami s nízkymi príjmami a prisťahovalcami; keďže účinný prístup k potravinám by sa mal považovať za základné ľudské právo, ako sa požaduje v prebiehajúcej európskej iniciatíve občanov;</w:t>
      </w:r>
    </w:p>
    <w:p w14:paraId="242F5D60" w14:textId="4B8E46C1" w:rsidR="00EF79E1" w:rsidRPr="00F94329" w:rsidRDefault="00391CF6" w:rsidP="00EF79E1">
      <w:pPr>
        <w:spacing w:after="240"/>
        <w:ind w:left="567" w:hanging="567"/>
        <w:rPr>
          <w:bCs/>
          <w:iCs/>
        </w:rPr>
      </w:pPr>
      <w:r w:rsidRPr="00F94329">
        <w:t>Y</w:t>
      </w:r>
      <w:r w:rsidR="00EF79E1" w:rsidRPr="00F94329">
        <w:t>.</w:t>
      </w:r>
      <w:r w:rsidR="00EF79E1" w:rsidRPr="00F94329">
        <w:tab/>
        <w:t>keďže prístup k vode je základnou potrebou a základným ľudským právom; keďže približne 9,8 milióna osôb v EÚ nemá bezpečne spravovanú pitnú vodu</w:t>
      </w:r>
      <w:r w:rsidR="00EF79E1" w:rsidRPr="00F94329">
        <w:rPr>
          <w:rStyle w:val="FootnoteReference"/>
          <w:bCs/>
          <w:iCs/>
        </w:rPr>
        <w:footnoteReference w:id="50"/>
      </w:r>
      <w:r w:rsidR="00EF79E1" w:rsidRPr="00F94329">
        <w:t>; keďže ďalších 9,4 milióna osôb je odkázaných na základné vodohospodárske služby mimo sídla</w:t>
      </w:r>
      <w:r w:rsidR="00EF79E1" w:rsidRPr="00F94329">
        <w:rPr>
          <w:rStyle w:val="FootnoteReference"/>
          <w:bCs/>
          <w:iCs/>
        </w:rPr>
        <w:footnoteReference w:id="51"/>
      </w:r>
      <w:r w:rsidR="00EF79E1" w:rsidRPr="00F94329">
        <w:t xml:space="preserve"> a približne 450 000 osôb nemá prístup ani k základným službám pitnej vody</w:t>
      </w:r>
      <w:r w:rsidR="00EF79E1" w:rsidRPr="00F94329">
        <w:rPr>
          <w:rStyle w:val="FootnoteReference"/>
          <w:bCs/>
          <w:iCs/>
        </w:rPr>
        <w:footnoteReference w:id="52"/>
      </w:r>
      <w:r w:rsidR="00EF79E1" w:rsidRPr="00F94329">
        <w:t>; keďže nedostatočný prístup k pitnej vode a vodohospodárskej infraštruktúre neprimerane postihuje marginalizované skupiny;</w:t>
      </w:r>
    </w:p>
    <w:p w14:paraId="481E038A" w14:textId="2C3D450A" w:rsidR="00EF79E1" w:rsidRPr="00F94329" w:rsidRDefault="00391CF6" w:rsidP="00EF79E1">
      <w:pPr>
        <w:spacing w:after="240"/>
        <w:ind w:left="567" w:hanging="567"/>
        <w:rPr>
          <w:bCs/>
          <w:iCs/>
        </w:rPr>
      </w:pPr>
      <w:r w:rsidRPr="00F94329">
        <w:t>Z</w:t>
      </w:r>
      <w:r w:rsidR="00EF79E1" w:rsidRPr="00F94329">
        <w:t>.</w:t>
      </w:r>
      <w:r w:rsidR="00EF79E1" w:rsidRPr="00F94329">
        <w:tab/>
        <w:t xml:space="preserve">keďže približne 1 286 691 osôb v Európe zažilo v roku 2024 počas niektorej noci </w:t>
      </w:r>
      <w:proofErr w:type="spellStart"/>
      <w:r w:rsidR="00EF79E1" w:rsidRPr="00F94329">
        <w:t>bezdomovectvo</w:t>
      </w:r>
      <w:proofErr w:type="spellEnd"/>
      <w:r w:rsidR="00EF79E1" w:rsidRPr="00F94329">
        <w:rPr>
          <w:rStyle w:val="FootnoteReference"/>
          <w:bCs/>
          <w:iCs/>
        </w:rPr>
        <w:footnoteReference w:id="53"/>
      </w:r>
      <w:r w:rsidR="00EF79E1" w:rsidRPr="00F94329">
        <w:t>; keďže Rómovia a iné marginalizované skupiny sú neprimerane postihnutí núteným vysťahovaním z obecných ubytovacích zariadení, a to vrátane Rómov, ktorí pravidelne platia nájomné; keďže v mnohých prípadoch úrady neposkytujú náhradné bývanie alebo primeranú náhradu za vyvlastnenie</w:t>
      </w:r>
      <w:r w:rsidR="00EF79E1" w:rsidRPr="00F94329">
        <w:rPr>
          <w:rStyle w:val="FootnoteReference"/>
        </w:rPr>
        <w:footnoteReference w:id="54"/>
      </w:r>
      <w:r w:rsidR="00EF79E1" w:rsidRPr="00F94329">
        <w:t>;</w:t>
      </w:r>
    </w:p>
    <w:p w14:paraId="427AB2E7" w14:textId="458E4BD3" w:rsidR="00EF79E1" w:rsidRPr="00F94329" w:rsidRDefault="00391CF6" w:rsidP="00EF79E1">
      <w:pPr>
        <w:spacing w:after="240"/>
        <w:ind w:left="567" w:hanging="567"/>
        <w:rPr>
          <w:b/>
          <w:i/>
        </w:rPr>
      </w:pPr>
      <w:r w:rsidRPr="00F94329">
        <w:t>AA</w:t>
      </w:r>
      <w:r w:rsidR="00EF79E1" w:rsidRPr="00F94329">
        <w:t>.</w:t>
      </w:r>
      <w:r w:rsidR="00EF79E1" w:rsidRPr="00F94329">
        <w:tab/>
        <w:t xml:space="preserve">keďže v EÚ stále žije najmenej 1,4 milióna ľudí v ústavoch, hoci toto číslo môže byť podhodnotené z dôvodu nedostatočnej dostupnosti, konzistentnosti a pokrytia údajov; keďže chudoba zostáva jedným z faktorov, ktoré prispievajú k rozdeľovaniu rodín v EÚ; keďže umiestňovanie detí do ústavov má vážne dôsledky pre deti a rodiny, pretože udržiava stigmu a sociálnu izoláciu a podporuje medzigeneračný cyklus </w:t>
      </w:r>
      <w:r w:rsidR="00EF79E1" w:rsidRPr="00F94329">
        <w:lastRenderedPageBreak/>
        <w:t>znevýhodnenia</w:t>
      </w:r>
      <w:r w:rsidR="00EF79E1" w:rsidRPr="00F94329">
        <w:rPr>
          <w:rStyle w:val="FootnoteReference"/>
          <w:bCs/>
          <w:iCs/>
        </w:rPr>
        <w:footnoteReference w:id="55"/>
      </w:r>
      <w:r w:rsidR="00EF79E1" w:rsidRPr="00F94329">
        <w:t xml:space="preserve">; keďže obyvatelia ústavov sa často môžu cítiť izolovaní od širšej komunity a hoci by chceli mať väčšiu kontrolu nad svojimi životmi, nemajú dostatočnú kontrolu nad svojimi životmi a rozhodnutiami, ktoré ich ovplyvňujú; keďže napriek tomu, že EÚ sa už dlho angažuje v procese </w:t>
      </w:r>
      <w:proofErr w:type="spellStart"/>
      <w:r w:rsidR="00EF79E1" w:rsidRPr="00F94329">
        <w:t>deinštitucionalizácie</w:t>
      </w:r>
      <w:proofErr w:type="spellEnd"/>
      <w:r w:rsidR="00EF79E1" w:rsidRPr="00F94329">
        <w:t>, je stále potrebné vynaložiť úsilie na úrovni EÚ aj vnútroštátnej úrovni, aby sa zraniteľným skupinám umožnil život v rodinnom alebo komunitnom prostredí;</w:t>
      </w:r>
    </w:p>
    <w:p w14:paraId="782E25BA" w14:textId="7EFFCA85" w:rsidR="00EF79E1" w:rsidRPr="00F94329" w:rsidRDefault="00391CF6" w:rsidP="00EF79E1">
      <w:pPr>
        <w:spacing w:after="240"/>
        <w:ind w:left="567" w:hanging="567"/>
        <w:rPr>
          <w:bCs/>
          <w:iCs/>
        </w:rPr>
      </w:pPr>
      <w:r w:rsidRPr="00F94329">
        <w:t>AB</w:t>
      </w:r>
      <w:r w:rsidR="00EF79E1" w:rsidRPr="00F94329">
        <w:t>.</w:t>
      </w:r>
      <w:r w:rsidR="00EF79E1" w:rsidRPr="00F94329">
        <w:tab/>
        <w:t>keďže ľudia žijúci v chudobe sú neprimerane postihnutí obmedzeným prístupom k zdravým potravinám a kvalitnej zdravotnej starostlivosti; keďže chudoba je v dôsledku toho spojená so zvýšeným rizikom problémov s telesným a duševným zdravím; keďže súvislosť medzi chudobou a zdravím je významne ovplyvnená prekážkami v zdravotnej starostlivosti, ako je prístup k primárnej zdravotnej starostlivosti a nižší počet hospitalizácií; keďže chudoba, sociálna izolácia a chronický stres sú úzko prepojené, narúšajú duševnú pohodu a zvyšujú riziko závislosti, vykazujú vyššiu mieru úmrtnosti a zvyšujú riziko predčasného úmrtia; keďže chudoba a závislosť sa navzájom posilňujú a vytvárajú bludný kruh, ktorý prehlbuje sociálne vylúčenie; keďže odstránenie chudoby si zase vyžaduje prístup k závislosti založený na zdraví a dôkazoch, v rámci ktorého sa uprednostňuje prevencia a zotavenie;</w:t>
      </w:r>
    </w:p>
    <w:p w14:paraId="1D6A3A4C" w14:textId="36094D99" w:rsidR="00EF79E1" w:rsidRPr="00F94329" w:rsidRDefault="00391CF6" w:rsidP="00EF79E1">
      <w:pPr>
        <w:spacing w:after="240"/>
        <w:ind w:left="567" w:hanging="567"/>
        <w:rPr>
          <w:bCs/>
          <w:iCs/>
        </w:rPr>
      </w:pPr>
      <w:r w:rsidRPr="00F94329">
        <w:t>AC</w:t>
      </w:r>
      <w:r w:rsidR="00EF79E1" w:rsidRPr="00F94329">
        <w:t>.</w:t>
      </w:r>
      <w:r w:rsidR="00EF79E1" w:rsidRPr="00F94329">
        <w:tab/>
        <w:t xml:space="preserve">keďže rodiny čelia viacerým a vzájomne prepojeným problémom, ktoré žiadna jednotlivá služba alebo organizácia nedokáže vyriešiť sama; keďže kontinuita služieb, ako aj náležitá koordinácia medzi službami sú nevyhnutné na prípravu a uľahčenie prechodov, ktorým budú deti čeliť; keďže ohrozené rodiny môžu mať obmedzený prístup k službám v oblasti duševného zdravia z dôvodu finančných prekážok, </w:t>
      </w:r>
      <w:proofErr w:type="spellStart"/>
      <w:r w:rsidR="00EF79E1" w:rsidRPr="00F94329">
        <w:t>stigmatizácie</w:t>
      </w:r>
      <w:proofErr w:type="spellEnd"/>
      <w:r w:rsidR="00EF79E1" w:rsidRPr="00F94329">
        <w:t xml:space="preserve"> alebo nedostatočnej dostupnosti; keďže diskriminácia priamo súvisí s chudobou, keďže skúsenosti s diskrimináciou bránia ľuďom žijúcim v chudobe dosiahnuť primeranú životnú úroveň;</w:t>
      </w:r>
    </w:p>
    <w:p w14:paraId="0F4B347A" w14:textId="1DF2B509" w:rsidR="00EF79E1" w:rsidRPr="00F94329" w:rsidRDefault="00391CF6" w:rsidP="00EF79E1">
      <w:pPr>
        <w:spacing w:after="240"/>
        <w:ind w:left="567" w:hanging="567"/>
        <w:rPr>
          <w:bCs/>
          <w:iCs/>
        </w:rPr>
      </w:pPr>
      <w:r w:rsidRPr="00F94329">
        <w:t>AD</w:t>
      </w:r>
      <w:r w:rsidR="00EF79E1" w:rsidRPr="00F94329">
        <w:t>.</w:t>
      </w:r>
      <w:r w:rsidR="00EF79E1" w:rsidRPr="00F94329">
        <w:tab/>
        <w:t>keďže systémy sociálneho zabezpečenia sa musia posilniť tak, aby boli prispôsobené demografickým výzvam, novým formám práce a zelenej a digitálnej transformácii; keďže účinnosť sociálnej ochrany pri znižovaní chudoby sa v období 2021 – 2024 znížila z 37,1 % na 34,4 %</w:t>
      </w:r>
      <w:r w:rsidR="00EF79E1" w:rsidRPr="00F94329">
        <w:rPr>
          <w:rStyle w:val="FootnoteReference"/>
          <w:bCs/>
          <w:iCs/>
        </w:rPr>
        <w:footnoteReference w:id="56"/>
      </w:r>
      <w:r w:rsidR="00EF79E1" w:rsidRPr="00F94329">
        <w:t>; keďže v súčasných systémoch trhu práce a sociálnej ochrany existujú významné prekážky pre zraniteľné a marginalizované skupiny;</w:t>
      </w:r>
    </w:p>
    <w:p w14:paraId="5328EF01" w14:textId="0317D491" w:rsidR="00EF79E1" w:rsidRPr="00F94329" w:rsidRDefault="00391CF6" w:rsidP="00EF79E1">
      <w:pPr>
        <w:spacing w:after="240"/>
        <w:ind w:left="567" w:hanging="567"/>
        <w:rPr>
          <w:bCs/>
          <w:iCs/>
        </w:rPr>
      </w:pPr>
      <w:r w:rsidRPr="00F94329">
        <w:t>AE</w:t>
      </w:r>
      <w:r w:rsidR="00EF79E1" w:rsidRPr="00F94329">
        <w:t>.</w:t>
      </w:r>
      <w:r w:rsidR="00EF79E1" w:rsidRPr="00F94329">
        <w:tab/>
        <w:t>keďže systémy minimálneho príjmu zostávajú dôležitým nástrojom na zabezpečenie príjmov a zníženie nerovnosti a chudoby v celej EÚ; keďže tieto systémy minimálneho príjmu sa v jednotlivých členských štátoch značne líšia, pokiaľ ide o primeranosť a rozsah dávok a ich prepojenie s opatreniami na aktiváciu trhu práce; keďže minimálna úroveň príjmu je vo väčšine členských štátov výrazne pod vnútroštátnou hranicou chudoby; keďže miera nevyužitia systémov minimálneho príjmu sa odhaduje na 30 % až 50 % oprávneného obyvateľstva, čo narúša ciele tohto podporného nástroja;</w:t>
      </w:r>
    </w:p>
    <w:p w14:paraId="6465EC87" w14:textId="44427E4A" w:rsidR="00EF79E1" w:rsidRPr="00F94329" w:rsidRDefault="00391CF6" w:rsidP="00EF79E1">
      <w:pPr>
        <w:spacing w:after="240"/>
        <w:ind w:left="567" w:hanging="567"/>
        <w:rPr>
          <w:bCs/>
          <w:iCs/>
        </w:rPr>
      </w:pPr>
      <w:r w:rsidRPr="00F94329">
        <w:t>AF</w:t>
      </w:r>
      <w:r w:rsidR="00EF79E1" w:rsidRPr="00F94329">
        <w:t>.</w:t>
      </w:r>
      <w:r w:rsidR="00EF79E1" w:rsidRPr="00F94329">
        <w:tab/>
        <w:t xml:space="preserve">keďže je potrebné zabezpečiť účasť ľudí so skúsenosťami so životom v chudobe na vypracúvaní a hodnotení politík, ktoré sa ich týkajú, s cieľom zvýšiť demokratickú účasť, posilniť postavenie a sociálnu emancipáciu ľudí žijúcich v chudobe, ako aj </w:t>
      </w:r>
      <w:r w:rsidR="00EF79E1" w:rsidRPr="00F94329">
        <w:lastRenderedPageBreak/>
        <w:t>dosiahnuť účinnejšie a spravodlivejšie výsledky týchto politík;</w:t>
      </w:r>
    </w:p>
    <w:p w14:paraId="352FD7DA" w14:textId="45F3BEE4" w:rsidR="00EF79E1" w:rsidRPr="00F94329" w:rsidRDefault="00391CF6" w:rsidP="00EF79E1">
      <w:pPr>
        <w:spacing w:after="240"/>
        <w:ind w:left="567" w:hanging="567"/>
        <w:rPr>
          <w:bCs/>
          <w:iCs/>
        </w:rPr>
      </w:pPr>
      <w:r w:rsidRPr="00F94329">
        <w:t>AG</w:t>
      </w:r>
      <w:r w:rsidR="00EF79E1" w:rsidRPr="00F94329">
        <w:t>.</w:t>
      </w:r>
      <w:r w:rsidR="00EF79E1" w:rsidRPr="00F94329">
        <w:tab/>
        <w:t>keďže odľahlosť najvzdialenejších regiónov, ich ostrovný charakter, malá rozloha, zložitá topografia a podnebie a hospodárska závislosť od konkrétnych odvetví a produktov výrazne obmedzujú ich rozvoj; keďže nerovnosti sú pre najvzdialenejšie regióny jednou z najväčších sociálnych výziev a keďže tieto regióny sú neúmerne postihnuté vysokou mierou chudoby a nezamestnanosti, vysokou mierou predčasného ukončenia štúdia a vysokou mierou ľudí, ktorí nie sú zamestnaní, ani nie sú v procese vzdelávania alebo odbornej prípravy; keďže hrubý domáci produkt v najvzdialenejších regiónoch je výrazne pod priemerom EÚ a členských štátov (60 % priemeru v EÚ27);</w:t>
      </w:r>
    </w:p>
    <w:p w14:paraId="077893C0" w14:textId="32EF11C9" w:rsidR="00EF79E1" w:rsidRPr="00F94329" w:rsidRDefault="00391CF6" w:rsidP="00EF79E1">
      <w:pPr>
        <w:spacing w:after="240"/>
        <w:ind w:left="567" w:hanging="567"/>
        <w:rPr>
          <w:bCs/>
          <w:iCs/>
        </w:rPr>
      </w:pPr>
      <w:r w:rsidRPr="00F94329">
        <w:t>AH</w:t>
      </w:r>
      <w:r w:rsidR="00EF79E1" w:rsidRPr="00F94329">
        <w:t>.</w:t>
      </w:r>
      <w:r w:rsidR="00EF79E1" w:rsidRPr="00F94329">
        <w:tab/>
        <w:t xml:space="preserve">keďže faktory, ktoré prispievajú k cyklu chudoby vo vidieckych oblastiach, sú špecifické a problémy zraniteľných ľudí žijúcich vo vidieckych oblastiach sa líšia od problémov zraniteľných ľudí žijúcich v mestských oblastiach; keďže nedostatok pracovných príležitostí, verejných služieb (vrátane vzdelávania a verejnej dopravy) a digitálnej </w:t>
      </w:r>
      <w:proofErr w:type="spellStart"/>
      <w:r w:rsidR="00EF79E1" w:rsidRPr="00F94329">
        <w:t>pripojiteľnosti</w:t>
      </w:r>
      <w:proofErr w:type="spellEnd"/>
      <w:r w:rsidR="00EF79E1" w:rsidRPr="00F94329">
        <w:t>, vysoké ceny energie a dopravy a demografický vývoj, ako je vyľudňovanie, prispievajú k nárastu chudoby vo vidieckych oblastiach; keďže ženy žijúce vo vidieckych oblastiach sú obzvlášť ohrozené chudobou z dôvodu obmedzeného prístupu k zamestnaniu, službám a sociálnej podpore; keďže stratégia EÚ v oblasti boja proti chudobe musí zohľadňovať tieto územné špecifiká a zabezpečiť prispôsobené politické opatrenia a mechanizmy financovania, ktoré účinne podporujú sociálne začlenenie a územnú súdržnosť;</w:t>
      </w:r>
    </w:p>
    <w:p w14:paraId="37C8E027" w14:textId="188A2782" w:rsidR="00EF79E1" w:rsidRPr="00F94329" w:rsidRDefault="00391CF6" w:rsidP="00EF79E1">
      <w:pPr>
        <w:spacing w:after="240"/>
        <w:ind w:left="567" w:hanging="567"/>
        <w:rPr>
          <w:bCs/>
          <w:iCs/>
        </w:rPr>
      </w:pPr>
      <w:r w:rsidRPr="00F94329">
        <w:t>AI</w:t>
      </w:r>
      <w:r w:rsidR="00EF79E1" w:rsidRPr="00F94329">
        <w:t>.</w:t>
      </w:r>
      <w:r w:rsidR="00EF79E1" w:rsidRPr="00F94329">
        <w:tab/>
        <w:t xml:space="preserve">keďže pokiaľ ide o nástroje spojené so stratégiou v oblasti boja proti chudobe, mala by sa zabezpečiť viacúrovňová koordinácia a integrácia; keďže je nevyhnutný spoľahlivý mechanizmus riadenia na monitorovanie cieľov stratégie; keďže stratégia prinesie výsledky len vtedy, ak ju budú sprevádzať primerané finančné zdroje a ak jej ciele podporia rôzne príslušné sektorové fondy EÚ; keďže ustanovenia o chudobe a sociálnom začlenení v súčasnom viacročnom finančnom rámci (VFR) by sa mali v nadchádzajúcom VFR obnoviť a mali by sa na </w:t>
      </w:r>
      <w:proofErr w:type="spellStart"/>
      <w:r w:rsidR="00EF79E1" w:rsidRPr="00F94329">
        <w:t>ne</w:t>
      </w:r>
      <w:proofErr w:type="spellEnd"/>
      <w:r w:rsidR="00EF79E1" w:rsidRPr="00F94329">
        <w:t xml:space="preserve"> účelovo vyčleniť primerané finančné prostriedky;</w:t>
      </w:r>
    </w:p>
    <w:p w14:paraId="304C02DF" w14:textId="071A77C1" w:rsidR="00EF79E1" w:rsidRPr="00F94329" w:rsidRDefault="00391CF6" w:rsidP="00EF79E1">
      <w:pPr>
        <w:spacing w:after="240"/>
        <w:ind w:left="567" w:hanging="567"/>
        <w:rPr>
          <w:bCs/>
          <w:iCs/>
        </w:rPr>
      </w:pPr>
      <w:r w:rsidRPr="00F94329">
        <w:t>AJ</w:t>
      </w:r>
      <w:r w:rsidR="00EF79E1" w:rsidRPr="00F94329">
        <w:t>.</w:t>
      </w:r>
      <w:r w:rsidR="00EF79E1" w:rsidRPr="00F94329">
        <w:tab/>
        <w:t>keďže transparentný a hĺbkový zber údajov a mechanizmy podávania správ na úrovni EÚ a členských štátov sú potrebné na monitorovanie pokroku v súvislosti s hlavnými cieľmi Európskeho piliera sociálnych práv do roku 2030 vrátane cieľa znížiť počet ľudí ohrozených chudobou alebo sociálnym vylúčením aspoň o 15 miliónov v porovnaní s údajmi z roku 2019;</w:t>
      </w:r>
    </w:p>
    <w:p w14:paraId="6F170285" w14:textId="77777777" w:rsidR="00EF79E1" w:rsidRPr="00F94329" w:rsidRDefault="00EF79E1" w:rsidP="00EF79E1">
      <w:pPr>
        <w:spacing w:after="240"/>
        <w:rPr>
          <w:i/>
          <w:szCs w:val="24"/>
        </w:rPr>
      </w:pPr>
      <w:r w:rsidRPr="00F94329">
        <w:rPr>
          <w:b/>
          <w:i/>
        </w:rPr>
        <w:t>Stratégia zameraná na odstránenie chudoby</w:t>
      </w:r>
    </w:p>
    <w:p w14:paraId="60C89C87" w14:textId="77777777" w:rsidR="00EF79E1" w:rsidRPr="00F94329" w:rsidRDefault="00EF79E1" w:rsidP="00EF79E1">
      <w:pPr>
        <w:spacing w:after="240"/>
        <w:ind w:left="567" w:hanging="567"/>
        <w:rPr>
          <w:bCs/>
          <w:iCs/>
        </w:rPr>
      </w:pPr>
      <w:r w:rsidRPr="00F94329">
        <w:t>1.</w:t>
      </w:r>
      <w:r w:rsidRPr="00F94329">
        <w:tab/>
        <w:t>vyjadruje znepokojenie nad tým, že v roku 2024 bolo v EÚ 93,3 milióna ľudí stále ohrozených chudobou alebo sociálnym vylúčením, a to vrátane 20 miliónov detí, čo zodpovedá jednému zo štyroch detí v EÚ, a že 27 miliónov ľudí v EÚ bolo postihnutých závažnou materiálnou a sociálnou depriváciou;</w:t>
      </w:r>
    </w:p>
    <w:p w14:paraId="0B29DCC2" w14:textId="77777777" w:rsidR="00EF79E1" w:rsidRPr="00F94329" w:rsidRDefault="00EF79E1" w:rsidP="00EF79E1">
      <w:pPr>
        <w:spacing w:after="240"/>
        <w:ind w:left="567" w:hanging="567"/>
        <w:rPr>
          <w:bCs/>
          <w:iCs/>
        </w:rPr>
      </w:pPr>
      <w:r w:rsidRPr="00F94329">
        <w:t>2.</w:t>
      </w:r>
      <w:r w:rsidRPr="00F94329">
        <w:tab/>
        <w:t>zdôrazňuje, že chudoba je komplexný jav, ktorý ovplyvňuje všetky oblasti života, má korene v systémovej a štrukturálnej nespravodlivosti a prelína sa s historickými nerovnosťami založenými na pohlaví a rodovom vyjadrení, rase a etnickom pôvode, náboženstve, migračnom statuse, veku, sexuálnej orientácii a zdravotnom postihnutí;</w:t>
      </w:r>
    </w:p>
    <w:p w14:paraId="6006BFAA" w14:textId="77777777" w:rsidR="00EF79E1" w:rsidRPr="00F94329" w:rsidRDefault="00EF79E1" w:rsidP="00EF79E1">
      <w:pPr>
        <w:spacing w:after="240"/>
        <w:ind w:left="567" w:hanging="567"/>
        <w:rPr>
          <w:bCs/>
          <w:iCs/>
        </w:rPr>
      </w:pPr>
      <w:r w:rsidRPr="00F94329">
        <w:t>3.</w:t>
      </w:r>
      <w:r w:rsidRPr="00F94329">
        <w:tab/>
        <w:t xml:space="preserve">zdôrazňuje, že najudržateľnejšia politika boja proti chudobe je taká, ktorá v prvom rade </w:t>
      </w:r>
      <w:r w:rsidRPr="00F94329">
        <w:lastRenderedPageBreak/>
        <w:t>zabraňuje jej vzniku; požaduje komplexný prístup k prevencii, v rámci ktorého sa budú riešiť základné príčiny a viacrozmerné aspekty chudoby a sociálneho vylúčenia, ako aj body, v ktorých sa prelínajú, pokiaľ ide o prístup ku kvalitným pracovným miestam, sociálnu ochranu a minimálny príjem, verejné služby, vzdelávanie, intervencie v ranom detstve, zdravotnú starostlivosť, stravu, bývanie, energetiku a zdaňovanie; zdôrazňuje, že na boj proti chudobe je nevyhnutné presadzovať politiky, ktoré zabezpečia nedeliteľnosť a univerzálnosť politických, hospodárskych, sociálnych a kultúrnych práv;</w:t>
      </w:r>
    </w:p>
    <w:p w14:paraId="7DF3B7A4" w14:textId="1D70CC35" w:rsidR="00EF79E1" w:rsidRPr="00F94329" w:rsidRDefault="00EF79E1" w:rsidP="00EF79E1">
      <w:pPr>
        <w:spacing w:after="240"/>
        <w:ind w:left="567" w:hanging="567"/>
        <w:rPr>
          <w:bCs/>
          <w:iCs/>
        </w:rPr>
      </w:pPr>
      <w:r w:rsidRPr="00F94329">
        <w:t>4.</w:t>
      </w:r>
      <w:r w:rsidRPr="00F94329">
        <w:tab/>
        <w:t xml:space="preserve">pripomína, že chudoba neúmerne postihuje marginalizované a zraniteľné skupiny spoločnosti, ako sú ženy, rodiny, ľudia z rôznych rasových a etnických skupín, Rómovia a </w:t>
      </w:r>
      <w:proofErr w:type="spellStart"/>
      <w:r w:rsidRPr="00F94329">
        <w:t>Travelleri</w:t>
      </w:r>
      <w:proofErr w:type="spellEnd"/>
      <w:r w:rsidRPr="00F94329">
        <w:t>, ľudia bez domova, deti v ústavnej starostlivosti, LGBTQIA+ osoby, starší a mladší ľudia, osoby so zdravotným postihnutím, ľudia diskriminovaní na základe náboženstva alebo viery, ľudia trpiaci chronickými chorobami a závislosťami, neformálni opatrovatelia a osamelí rodičia; zdôrazňuje potrebu cielených opatrení na riešenie tohto problému, pričom osobitnú pozornosť treba venovať tým, ktorí sú najviac zraniteľní voči extrémnej chudobe;</w:t>
      </w:r>
    </w:p>
    <w:p w14:paraId="09D91B72" w14:textId="77777777" w:rsidR="00EF79E1" w:rsidRPr="00F94329" w:rsidRDefault="00EF79E1" w:rsidP="00EF79E1">
      <w:pPr>
        <w:spacing w:after="240"/>
        <w:ind w:left="567" w:hanging="567"/>
        <w:rPr>
          <w:bCs/>
          <w:iCs/>
        </w:rPr>
      </w:pPr>
      <w:r w:rsidRPr="00F94329">
        <w:t>5.</w:t>
      </w:r>
      <w:r w:rsidRPr="00F94329">
        <w:tab/>
        <w:t>pripomína, že EÚ sa v Akčnom pláne na realizáciu Európskeho piliera sociálnych práv zaviazala znížiť do roku 2030 počet osôb ohrozených chudobou alebo sociálnym vylúčením aspoň o 15 miliónov vrátane aspoň piatich miliónov detí; zdôrazňuje, že bez zmeny paradigmy v prístupe k boju proti chudobe a bez primeraného financovania EÚ a jej členské štáty nedosiahnu tieto ciele v oblasti znižovania chudoby;</w:t>
      </w:r>
    </w:p>
    <w:p w14:paraId="68FEAA78" w14:textId="77777777" w:rsidR="00EF79E1" w:rsidRPr="00F94329" w:rsidRDefault="00EF79E1" w:rsidP="00EF79E1">
      <w:pPr>
        <w:spacing w:after="240"/>
        <w:ind w:left="567" w:hanging="567"/>
      </w:pPr>
      <w:r w:rsidRPr="00F94329">
        <w:t>6.</w:t>
      </w:r>
      <w:r w:rsidRPr="00F94329">
        <w:tab/>
        <w:t>vyzýva Komisiu, aby predložila komplexnú, ambicióznu a primerane financovanú stratégiu v oblasti boja proti chudobe, ktorá bude obsahovať tieto všeobecné ciele a usmernenia:</w:t>
      </w:r>
    </w:p>
    <w:p w14:paraId="0CDEB76E" w14:textId="77777777" w:rsidR="00EF79E1" w:rsidRPr="00F94329" w:rsidRDefault="00EF79E1" w:rsidP="00A247B5">
      <w:pPr>
        <w:tabs>
          <w:tab w:val="left" w:pos="567"/>
        </w:tabs>
        <w:spacing w:after="240"/>
        <w:ind w:left="1134" w:hanging="567"/>
      </w:pPr>
      <w:r w:rsidRPr="00F94329">
        <w:t>a)</w:t>
      </w:r>
      <w:r w:rsidRPr="00F94329">
        <w:tab/>
        <w:t>uznanie chudoby za porušenie ľudskej dôstojnosti, ktoré narúša plné uplatňovanie ľudských práv, a za základ na presadzovanie prístupu založeného na právach v súlade s medzinárodnými právnymi rámcami, najmä s článkom 25 Všeobecnej deklarácie ľudských práv;</w:t>
      </w:r>
    </w:p>
    <w:p w14:paraId="572FB7C6" w14:textId="77777777" w:rsidR="00EF79E1" w:rsidRPr="00F94329" w:rsidRDefault="00EF79E1" w:rsidP="00A247B5">
      <w:pPr>
        <w:tabs>
          <w:tab w:val="left" w:pos="567"/>
        </w:tabs>
        <w:spacing w:after="240"/>
        <w:ind w:left="1134" w:hanging="567"/>
      </w:pPr>
      <w:r w:rsidRPr="00F94329">
        <w:t>b)</w:t>
      </w:r>
      <w:r w:rsidRPr="00F94329">
        <w:tab/>
        <w:t>stanovenie cieľa urýchlene odstrániť chudobu najneskôr do roku 2035 na základe noriem cieľov udržateľného rozvoja OSN a Európskeho piliera sociálnych práv a zároveň vypracovanie priebežných ukazovateľov pokroku, jasných míľnikov a monitorovacieho rámca umožňujúceho primeranú koordináciu politík a potrieb financovania;</w:t>
      </w:r>
    </w:p>
    <w:p w14:paraId="5CAA0557" w14:textId="77777777" w:rsidR="00EF79E1" w:rsidRPr="00F94329" w:rsidRDefault="00EF79E1" w:rsidP="00A247B5">
      <w:pPr>
        <w:tabs>
          <w:tab w:val="left" w:pos="567"/>
        </w:tabs>
        <w:spacing w:after="240"/>
        <w:ind w:left="1134" w:hanging="567"/>
      </w:pPr>
      <w:r w:rsidRPr="00F94329">
        <w:t>c)</w:t>
      </w:r>
      <w:r w:rsidRPr="00F94329">
        <w:tab/>
        <w:t>náležitú koordináciu medzi Komisiou a členskými štátmi a v príslušných prípadoch s regionálnymi orgánmi v súlade so zásadou subsidiarity v záujme dosiahnutia tohto cieľa;</w:t>
      </w:r>
    </w:p>
    <w:p w14:paraId="019BAF5A" w14:textId="77777777" w:rsidR="00EF79E1" w:rsidRPr="00F94329" w:rsidRDefault="00EF79E1" w:rsidP="00A247B5">
      <w:pPr>
        <w:tabs>
          <w:tab w:val="left" w:pos="567"/>
        </w:tabs>
        <w:spacing w:after="240"/>
        <w:ind w:left="1134" w:hanging="567"/>
      </w:pPr>
      <w:r w:rsidRPr="00F94329">
        <w:t>d)</w:t>
      </w:r>
      <w:r w:rsidRPr="00F94329">
        <w:tab/>
        <w:t>komplexný a integrovaný prístup k dlhodobým politikám boja proti chudobe zameraný na ľudí a založený na životnom cykle, v rámci ktorého sa spájajú všeobecné a cielené opatrenia so začiatkom v detstve a vo všetkých fázach života s cieľom odstrániť chudobu a podporovať sociálne začlenenie ako prierezové kritérium v odvetvových politikách;</w:t>
      </w:r>
    </w:p>
    <w:p w14:paraId="4CA2D3E1" w14:textId="77777777" w:rsidR="00EF79E1" w:rsidRPr="00F94329" w:rsidRDefault="00EF79E1" w:rsidP="00A247B5">
      <w:pPr>
        <w:tabs>
          <w:tab w:val="left" w:pos="567"/>
        </w:tabs>
        <w:spacing w:after="240"/>
        <w:ind w:left="1134" w:hanging="567"/>
        <w:rPr>
          <w:szCs w:val="24"/>
        </w:rPr>
      </w:pPr>
      <w:r w:rsidRPr="00F94329">
        <w:t>e)</w:t>
      </w:r>
      <w:r w:rsidRPr="00F94329">
        <w:tab/>
        <w:t xml:space="preserve">účasť ľudí so skúsenosťami so životom v chudobe na vymedzovaní, vykonávaní a hodnotení politík, ktoré sa ich týkajú, a to inkluzívnym, účinným a </w:t>
      </w:r>
      <w:r w:rsidRPr="00F94329">
        <w:lastRenderedPageBreak/>
        <w:t>transparentným spôsobom, ktorý ide ruka v ruke s metodikou a budovaním kapacít;</w:t>
      </w:r>
    </w:p>
    <w:p w14:paraId="1DA743D2" w14:textId="77777777" w:rsidR="00EF79E1" w:rsidRPr="00F94329" w:rsidRDefault="00EF79E1" w:rsidP="00A247B5">
      <w:pPr>
        <w:tabs>
          <w:tab w:val="left" w:pos="567"/>
        </w:tabs>
        <w:spacing w:after="240"/>
        <w:ind w:left="1134" w:hanging="567"/>
        <w:rPr>
          <w:szCs w:val="24"/>
        </w:rPr>
      </w:pPr>
      <w:r w:rsidRPr="00F94329">
        <w:t>f)</w:t>
      </w:r>
      <w:r w:rsidRPr="00F94329">
        <w:tab/>
        <w:t>základnú a horizontálnu zásadu nediskriminácie v celej stratégii v oblasti boja proti chudobe na riešenie štrukturálnych nerovností a spoločenských stigiem, ktoré majú korene v diskriminácii a ktoré prehlbujú chudobu a sociálne vylúčenie;</w:t>
      </w:r>
    </w:p>
    <w:p w14:paraId="34E18F81" w14:textId="77777777" w:rsidR="00EF79E1" w:rsidRPr="00F94329" w:rsidRDefault="00EF79E1" w:rsidP="00A247B5">
      <w:pPr>
        <w:tabs>
          <w:tab w:val="left" w:pos="567"/>
        </w:tabs>
        <w:spacing w:after="240"/>
        <w:ind w:left="1134" w:hanging="567"/>
        <w:rPr>
          <w:szCs w:val="24"/>
        </w:rPr>
      </w:pPr>
      <w:r w:rsidRPr="00F94329">
        <w:t>g)</w:t>
      </w:r>
      <w:r w:rsidRPr="00F94329">
        <w:tab/>
        <w:t>vyčlenenie primeraných a trvalých rozpočtových zdrojov na opatrenia na boj proti chudobe prostredníctvom VFR a vnútroštátnych rozpočtových mechanizmov na podporu úplného vykonávania stratégie v oblasti boja proti chudobe a zabezpečenie jej dlhodobého vplyvu;</w:t>
      </w:r>
    </w:p>
    <w:p w14:paraId="4C4B14E4" w14:textId="77777777" w:rsidR="00EF79E1" w:rsidRPr="00F94329" w:rsidRDefault="00EF79E1" w:rsidP="00EF79E1">
      <w:pPr>
        <w:spacing w:after="240"/>
        <w:ind w:left="567" w:hanging="567"/>
        <w:rPr>
          <w:bCs/>
          <w:iCs/>
        </w:rPr>
      </w:pPr>
      <w:r w:rsidRPr="00F94329">
        <w:t>7.</w:t>
      </w:r>
      <w:r w:rsidRPr="00F94329">
        <w:tab/>
        <w:t>vyzýva Komisiu, aby uznala štrukturálne prepojenia medzi chudobou a rodovo motivovaným násilím a zaoberala sa rodovo motivovaným násilím, čo je kľúčovou stratégiou na odstránenie chudoby, najmä chudoby žien a detí, pričom uznáva, že odstránenie všetkých druhov násilia je nevyhnutné na to, aby sa ženy mohli plne zapojiť do svojich komunít a hospodárstva, aby mali prístup k vzdelaniu, zamestnaniu a sociálnym službám, a tým dosiahli finančnú nezávislosť; naliehavo vyzýva Komisiu a členské štáty, aby zvýšili verejné investície do politík, ktoré sa zaoberajú rodovo motivovaným násilím; víta ratifikáciu Istanbulského dohovoru zo strany EÚ a vyzýva Bulharsko, Česko, Maďarsko, Litvu a Slovensko, aby bezodkladne ukončili svoje ratifikačné procesy; vyzýva Komisiu, aby zabezpečila účinné vykonávanie smernice o boji proti násiliu na ženách a domácemu násiliu a zaručila ženám zažívajúcim chudobu a iné druhy násilia primeraný a bezpodmienečný prístup k útulkom, službám na podporu obetí násilia, právnej pomoci a sociálnej starostlivosti bez ohľadu na ich pobyt alebo migračný status;</w:t>
      </w:r>
    </w:p>
    <w:p w14:paraId="776D3E2D" w14:textId="77777777" w:rsidR="00EF79E1" w:rsidRPr="00F94329" w:rsidRDefault="00EF79E1" w:rsidP="00EF79E1">
      <w:pPr>
        <w:spacing w:after="240"/>
        <w:ind w:left="567" w:hanging="567"/>
        <w:rPr>
          <w:b/>
          <w:bCs/>
          <w:i/>
          <w:iCs/>
        </w:rPr>
      </w:pPr>
      <w:r w:rsidRPr="00F94329">
        <w:rPr>
          <w:b/>
          <w:i/>
        </w:rPr>
        <w:t>Spravodlivé pracovné podmienky a spravodlivejšie rozdelenie príjmov a bohatstva</w:t>
      </w:r>
    </w:p>
    <w:p w14:paraId="34F72BE6" w14:textId="77777777" w:rsidR="00EF79E1" w:rsidRPr="00F94329" w:rsidRDefault="00EF79E1" w:rsidP="00EF79E1">
      <w:pPr>
        <w:spacing w:after="240"/>
        <w:ind w:left="567" w:hanging="567"/>
      </w:pPr>
      <w:r w:rsidRPr="00F94329">
        <w:t>8.</w:t>
      </w:r>
      <w:r w:rsidRPr="00F94329">
        <w:tab/>
        <w:t>vyzýva Komisiu a členské štáty, aby realizovali cieľ plnej a dôstojnej zamestnanosti, ako aj primeranej sociálnej ochrany, služieb pre všetkých a spravodlivého rozdelenia príjmov a bohatstva ako usmernenie pre hospodárske a sociálne politiky; v tejto súvislosti vyzýva Komisiu a členské štáty, aby posilnili svoje aktívne politiky trhu práce, najmä pokiaľ ide o osoby, ktoré sú najviac vzdialené od zamestnania; zdôrazňuje, že efektívne aktívne politiky trhu práce by mali ísť nad rámec prístupu k zamestnaniu a mali by zahŕňať aj podporné služby umožňujúce ľuďom zostať zamestnaní;</w:t>
      </w:r>
    </w:p>
    <w:p w14:paraId="095BF199" w14:textId="77777777" w:rsidR="00EF79E1" w:rsidRPr="00F94329" w:rsidRDefault="00EF79E1" w:rsidP="00EF79E1">
      <w:pPr>
        <w:spacing w:after="240"/>
        <w:ind w:left="567" w:hanging="567"/>
      </w:pPr>
      <w:r w:rsidRPr="00F94329">
        <w:t>9.</w:t>
      </w:r>
      <w:r w:rsidRPr="00F94329">
        <w:tab/>
        <w:t xml:space="preserve">vyzýva Komisiu a členské štáty, aby presadzovali politiky na ochranu a podporu pracovných práv, kvalitných pracovných miest, stabilných pracovnoprávnych vzťahov a ochrany pred neodôvodneným prepustením, spravodlivých miezd vrátane rovnakej odmeny za rovnakú prácu a rovnakej odmeny pre ženy a mužov, celoživotného vzdelávania, zvyšovania úrovne zručností a rekvalifikácie, zdravia a bezpečnosti na pracovisku, nediskriminácie a prístupu k primeranej sociálnej ochrane; v tejto súvislosti víta oznámenie Plánu pre kvalitné pracovné miesta, ktorý má zabezpečiť spravodlivý prechod pre všetkých pracovníkov a samostatne zárobkovo činné osoby, najmä zvýšením rozsahu kolektívneho vyjednávania; zdôrazňuje, že tento plán predstavuje príležitosť na zavedenie individuálneho práva na odbornú prípravu a celoživotné vzdelávanie; zdôrazňuje, že chudoba pracujúcich pretrváva v prípade každého dvanásteho pracovníka v celej EÚ; v tejto súvislosti trvá na tom, že v EÚ by nemala existovať žiadna chudoba pracujúcich, a naliehavo vyzýva Komisiu a členské štáty, aby sa seriózne zaoberali týmto problémom, a to riešením štrukturálnych prekážok nad </w:t>
      </w:r>
      <w:r w:rsidRPr="00F94329">
        <w:lastRenderedPageBreak/>
        <w:t>rámec kvality pracovných miest vrátane prístupu k službám starostlivosti o deti a ich podpory, zlepšenia uznávania kvalifikácií a riešenia nedostatku prispôsobeného kariérneho poradenstva a podpory odbornej prípravy; zdôrazňuje, že transpozícia smernice (EÚ) 2022/2041 o primeraných minimálnych mzdách bude kľúčová pre prevenciu a boj proti rizikám chudoby medzi pracovníkmi a zároveň posilní motiváciu pracovať;</w:t>
      </w:r>
    </w:p>
    <w:p w14:paraId="2750224C" w14:textId="77777777" w:rsidR="00EF79E1" w:rsidRPr="00F94329" w:rsidRDefault="00EF79E1" w:rsidP="00EF79E1">
      <w:pPr>
        <w:spacing w:after="240"/>
        <w:ind w:left="567" w:hanging="567"/>
        <w:rPr>
          <w:bCs/>
          <w:iCs/>
        </w:rPr>
      </w:pPr>
      <w:r w:rsidRPr="00F94329">
        <w:t>10.</w:t>
      </w:r>
      <w:r w:rsidRPr="00F94329">
        <w:tab/>
        <w:t>zdôrazňuje, že treba posilniť demokratickú účasť na pracovisku ako nástroj na boj proti chudobe pracujúcich prostredníctvom práva organizovať sa a práva na kolektívnu akciu a posilneného kolektívneho vyjednávania, prostredníctvom odborárskych práv, konkrétne slobody zakladať odborové zväzy a vstupovať do nich, zlepšením rovnováhy medzi pracovným a súkromným životom a zabezpečením spravodlivých pracovných podmienok vrátane pracovného času a prispôsobením pracovných podmienok ľudským potrebám;</w:t>
      </w:r>
    </w:p>
    <w:p w14:paraId="48407B6D" w14:textId="77777777" w:rsidR="00EF79E1" w:rsidRPr="00F94329" w:rsidRDefault="00EF79E1" w:rsidP="00EF79E1">
      <w:pPr>
        <w:spacing w:after="240"/>
        <w:ind w:left="567" w:hanging="567"/>
        <w:rPr>
          <w:bCs/>
          <w:iCs/>
        </w:rPr>
      </w:pPr>
      <w:r w:rsidRPr="00F94329">
        <w:t>11.</w:t>
      </w:r>
      <w:r w:rsidRPr="00F94329">
        <w:tab/>
        <w:t xml:space="preserve">zdôrazňuje potrebu posilniť verejné služby zamestnanosti, sústavy odbornej prípravy a systémy podpory pri hľadaní zamestnania pre ľudí žijúcich v chudobe a zraniteľné skupiny, najmä dlhodobo nezamestnaných a </w:t>
      </w:r>
      <w:proofErr w:type="spellStart"/>
      <w:r w:rsidRPr="00F94329">
        <w:t>nízkokvalifikovaných</w:t>
      </w:r>
      <w:proofErr w:type="spellEnd"/>
      <w:r w:rsidRPr="00F94329">
        <w:t xml:space="preserve"> jednotlivcov; zdôrazňuje význam individuálneho poradenstva, uznávania neformálnych zručností a prepojenia odbornej prípravy s kvalitnými pracovnými príležitosťami; vyzýva členské štáty, aby rozvíjali a rozširovali vnútroštátne rámce pre potvrdzovanie neformálneho vzdelávania a </w:t>
      </w:r>
      <w:proofErr w:type="spellStart"/>
      <w:r w:rsidRPr="00F94329">
        <w:t>informálneho</w:t>
      </w:r>
      <w:proofErr w:type="spellEnd"/>
      <w:r w:rsidRPr="00F94329">
        <w:t xml:space="preserve"> učenia sa, ktoré umožnia uznávanie praktických skúseností v odvetviach, ako je stavebníctvo, poľnohospodárstvo, zdravotná a sociálna starostlivosť, ubytovacie a pohostinské služby, výroba, remeselná výroba, logistika a informačné a komunikačné technológie, a to na základe odporúčania Rady z 20. decembra 2012 o potvrdzovaní neformálneho vzdelávania a </w:t>
      </w:r>
      <w:proofErr w:type="spellStart"/>
      <w:r w:rsidRPr="00F94329">
        <w:t>informálneho</w:t>
      </w:r>
      <w:proofErr w:type="spellEnd"/>
      <w:r w:rsidRPr="00F94329">
        <w:t xml:space="preserve"> učenia sa</w:t>
      </w:r>
      <w:r w:rsidRPr="00F94329">
        <w:rPr>
          <w:rStyle w:val="FootnoteReference"/>
          <w:bCs/>
          <w:iCs/>
        </w:rPr>
        <w:footnoteReference w:id="57"/>
      </w:r>
      <w:r w:rsidRPr="00F94329">
        <w:t>;</w:t>
      </w:r>
    </w:p>
    <w:p w14:paraId="6CCBD8D1" w14:textId="77777777" w:rsidR="00EF79E1" w:rsidRPr="00F94329" w:rsidRDefault="00EF79E1" w:rsidP="00EF79E1">
      <w:pPr>
        <w:spacing w:after="240"/>
        <w:ind w:left="567" w:hanging="567"/>
        <w:rPr>
          <w:bCs/>
          <w:iCs/>
        </w:rPr>
      </w:pPr>
      <w:r w:rsidRPr="00F94329">
        <w:t>12.</w:t>
      </w:r>
      <w:r w:rsidRPr="00F94329">
        <w:tab/>
        <w:t>zdôrazňuje význam podpory podnikania a možností samostatnej zárobkovej činnosti žien, najmä vo vidieckych, ostrovných a iných geograficky vzdialených oblastiach, ako prostriedku na dosiahnutie lepšieho hospodárskeho začlenenia a rodovej rovnosti, ako aj prostriedku na boj proti chudobe, vytváranie miestnych pracovných miest a podporu inkluzívneho hospodárskeho rozvoja; vyzýva Komisiu a členské štáty, aby zabezpečili cielenú podporu podnikateliek prostredníctvom lepšieho prístupu k financovaniu, odbornej príprave podnikateľov, digitálnym nástrojom a trhom; vyzýva Komisiu, aby vypracovala politiky, ktoré ženám uľahčia prístup ku kvalitným pracovným miestam a podnikateľským príležitostiam, a to prostredníctvom stimulov pre spoločnosti, aby zamestnávali a podporovali ženy, najmä osamelé matky, a poskytovali pružné formy organizácie práce;</w:t>
      </w:r>
    </w:p>
    <w:p w14:paraId="6349AA0F" w14:textId="77777777" w:rsidR="00EF79E1" w:rsidRPr="00F94329" w:rsidRDefault="00EF79E1" w:rsidP="00EF79E1">
      <w:pPr>
        <w:spacing w:after="240"/>
        <w:ind w:left="567" w:hanging="567"/>
        <w:rPr>
          <w:bCs/>
          <w:iCs/>
        </w:rPr>
      </w:pPr>
      <w:r w:rsidRPr="00F94329">
        <w:t>13.</w:t>
      </w:r>
      <w:r w:rsidRPr="00F94329">
        <w:tab/>
        <w:t xml:space="preserve">zdôrazňuje, že segregácia v prístupe detí so zdravotným postihnutím k bežnému vzdelávaniu vedie k sociálnemu vylúčeniu a zostáva problémom v celej EÚ; vyzýva, aby sa v rámci stratégie v oblasti boja proti chudobe zabezpečila prístupnosť vzdelávania pre deti so zdravotným postihnutím, a to tak z hľadiska fyzickej infraštruktúry, ako aj vzdelávacích zdrojov, s cieľom zaručiť rovnaké príležitosti pre všetkých žiakov; zdôrazňuje potenciál cenovo dostupných asistenčných technológií a umelej inteligencie na zlepšenie inkluzívneho vyučovania žiakov so zdravotným postihnutím, ktoré ponúka </w:t>
      </w:r>
      <w:proofErr w:type="spellStart"/>
      <w:r w:rsidRPr="00F94329">
        <w:t>personalizovanú</w:t>
      </w:r>
      <w:proofErr w:type="spellEnd"/>
      <w:r w:rsidRPr="00F94329">
        <w:t xml:space="preserve"> podporu, adaptívne nástroje a lepšiu komunikáciu; nabáda členské štáty, aby investovali do týchto technológií a zabezpečili, </w:t>
      </w:r>
      <w:r w:rsidRPr="00F94329">
        <w:lastRenderedPageBreak/>
        <w:t>aby učitelia boli vyškolení na ich účinné využívanie; ďalej vyzýva Komisiu a členské štáty, aby zabezpečili spoľahlivé záruky proti nesprávnej diagnostike mentálneho postihnutia alebo špeciálnych vzdelávacích potrieb rómskych detí, ktorá vedie k segregácii vo vzdelávaní; zdôrazňuje význam nediskriminačných postupov hodnotenia, ako aj politík inkluzívneho vzdelávania, ktoré podporujú práva a dôstojnosť všetkých detí;</w:t>
      </w:r>
    </w:p>
    <w:p w14:paraId="1C0DDD17" w14:textId="77777777" w:rsidR="00EF79E1" w:rsidRPr="00F94329" w:rsidRDefault="00EF79E1" w:rsidP="00EF79E1">
      <w:pPr>
        <w:spacing w:after="240"/>
        <w:ind w:left="567" w:hanging="567"/>
      </w:pPr>
      <w:r w:rsidRPr="00F94329">
        <w:t>14.</w:t>
      </w:r>
      <w:r w:rsidRPr="00F94329">
        <w:tab/>
        <w:t xml:space="preserve">odporúča, aby Komisia a členské štáty vzali do úvahy prístup uvedený v správe osobitného spravodajcu OSN pre extrémnu chudobu a ľudské práva z roku 2023, ktorý spočíva v boji proti chudobe prostredníctvom účinného prístupu k práci a cieľa plnej zamestnanosti a kvalitných pracovných miest, konkrétne vytvorením alebo posilnením osobitných nástrojov zameraných primárne na boj proti nezamestnanosti a </w:t>
      </w:r>
      <w:proofErr w:type="spellStart"/>
      <w:r w:rsidRPr="00F94329">
        <w:t>podzamestnanosti</w:t>
      </w:r>
      <w:proofErr w:type="spellEnd"/>
      <w:r w:rsidRPr="00F94329">
        <w:t xml:space="preserve">, poskytovaním </w:t>
      </w:r>
      <w:proofErr w:type="spellStart"/>
      <w:r w:rsidRPr="00F94329">
        <w:t>personalizovanej</w:t>
      </w:r>
      <w:proofErr w:type="spellEnd"/>
      <w:r w:rsidRPr="00F94329">
        <w:t xml:space="preserve"> podpory a zvýšením </w:t>
      </w:r>
      <w:proofErr w:type="spellStart"/>
      <w:r w:rsidRPr="00F94329">
        <w:t>zamestnateľnosti</w:t>
      </w:r>
      <w:proofErr w:type="spellEnd"/>
      <w:r w:rsidRPr="00F94329">
        <w:t xml:space="preserve"> ľudí, ktorí sú najvzdialenejší od trhu práce, najmä tých zo znevýhodnených a zraniteľných skupín, ako sú Rómovia a osoby so zdravotným postihnutím; domnieva sa, že tieto nástroje by mali zohľadňovať úlohu súkromného aj verejného sektora a sociálnu zodpovednosť členských štátov;</w:t>
      </w:r>
    </w:p>
    <w:p w14:paraId="5AE77473" w14:textId="77777777" w:rsidR="00EF79E1" w:rsidRPr="00F94329" w:rsidRDefault="00EF79E1" w:rsidP="00EF79E1">
      <w:pPr>
        <w:spacing w:after="240"/>
        <w:ind w:left="567" w:hanging="567"/>
      </w:pPr>
      <w:r w:rsidRPr="00F94329">
        <w:t>15.</w:t>
      </w:r>
      <w:r w:rsidRPr="00F94329">
        <w:tab/>
        <w:t xml:space="preserve">domnieva sa, že sociálne hospodárstvo je základnou zložkou sociálneho trhového hospodárstva EÚ a hnacou silou vykonávania Európskeho piliera sociálnych práv a jeho cieľov, pričom často poskytuje zamestnanie zraniteľným a vylúčeným skupinám; vyzýva, aby sa v stratégii v oblasti boja proti chudobe posilnilo sociálne hospodárstvo v súlade s akčným plánom EÚ pre sociálne hospodárstvo a plánom z </w:t>
      </w:r>
      <w:proofErr w:type="spellStart"/>
      <w:r w:rsidRPr="00F94329">
        <w:t>Liège</w:t>
      </w:r>
      <w:proofErr w:type="spellEnd"/>
      <w:r w:rsidRPr="00F94329">
        <w:t xml:space="preserve"> pre sociálne hospodárstvo v Európskej únii; opakuje svoju výzvu, aby Komisia preskúmala inovatívne mechanizmy financovania, ako sú dlhopisy so sociálnym vplyvom, na financovanie projektov na podporu rozvoja sociálneho hospodárstva v EÚ</w:t>
      </w:r>
      <w:r w:rsidRPr="00F94329">
        <w:rPr>
          <w:rStyle w:val="FootnoteReference"/>
        </w:rPr>
        <w:footnoteReference w:id="58"/>
      </w:r>
      <w:r w:rsidRPr="00F94329">
        <w:t>;</w:t>
      </w:r>
    </w:p>
    <w:p w14:paraId="38334CF8" w14:textId="2C464C35" w:rsidR="00EF79E1" w:rsidRPr="00F94329" w:rsidRDefault="00391CF6" w:rsidP="000F23E2">
      <w:pPr>
        <w:spacing w:after="240"/>
        <w:ind w:left="567" w:hanging="567"/>
        <w:rPr>
          <w:bCs/>
          <w:iCs/>
        </w:rPr>
      </w:pPr>
      <w:r w:rsidRPr="00F94329">
        <w:t>16</w:t>
      </w:r>
      <w:r w:rsidR="00EF79E1" w:rsidRPr="00F94329">
        <w:t>.</w:t>
      </w:r>
      <w:r w:rsidR="00EF79E1" w:rsidRPr="00F94329">
        <w:tab/>
        <w:t>vyzýva Komisiu a členské štáty, aby vzhľadom na krízu životných nákladov zabezpečili prístup k cenovo dostupným základným tovarom a službám, ako sú potraviny, energia, voda, bývanie, doprava a komunikácie;</w:t>
      </w:r>
    </w:p>
    <w:p w14:paraId="1ABD962F" w14:textId="77777777" w:rsidR="00EF79E1" w:rsidRPr="00F94329" w:rsidRDefault="00EF79E1" w:rsidP="00EF79E1">
      <w:pPr>
        <w:spacing w:after="240"/>
        <w:ind w:left="567" w:hanging="567"/>
        <w:rPr>
          <w:b/>
          <w:bCs/>
          <w:i/>
          <w:iCs/>
        </w:rPr>
      </w:pPr>
      <w:r w:rsidRPr="00F94329">
        <w:rPr>
          <w:b/>
          <w:i/>
        </w:rPr>
        <w:t>Prístup ku kvalitným verejným službám, sociálnej ochrane a podporným opatreniam</w:t>
      </w:r>
    </w:p>
    <w:p w14:paraId="763736A1" w14:textId="1FE65D21" w:rsidR="00EF79E1" w:rsidRPr="00F94329" w:rsidRDefault="00391CF6" w:rsidP="00EF79E1">
      <w:pPr>
        <w:spacing w:after="240"/>
        <w:ind w:left="567" w:hanging="567"/>
      </w:pPr>
      <w:r w:rsidRPr="00F94329">
        <w:t>17</w:t>
      </w:r>
      <w:r w:rsidR="00EF79E1" w:rsidRPr="00F94329">
        <w:t>.</w:t>
      </w:r>
      <w:r w:rsidR="00EF79E1" w:rsidRPr="00F94329">
        <w:tab/>
        <w:t>naliehavo vyzýva Komisiu a členské štáty, aby bojovali proti chudobe presadzovaním verejných politík, ktoré zabezpečia nedeliteľnosť a univerzálnosť politických, hospodárskych, sociálnych a kultúrnych práv; trvá na význame multidisciplinárneho prístupu a boji proti chudobe a sociálnemu vylúčeniu, najmä podporou prístupu k bývaniu, verejným priestorom a službám, zdravotnej starostlivosti, blahu a kvalite života; vyzýva členské štáty, aby vypracovali metodiky na posúdenie štrukturálnych alebo systémových prekážok brániacich vymaneniu sa z chudoby a sociálneho vylúčenia a plnému zapojeniu do spoločnosti, či už ide o prekážky v ich právnych systémoch, verejných politikách alebo ich vykonávaní na územnej úrovni;</w:t>
      </w:r>
    </w:p>
    <w:p w14:paraId="3F37A91D" w14:textId="638F8697" w:rsidR="00EF79E1" w:rsidRPr="00F94329" w:rsidRDefault="00391CF6" w:rsidP="00EF79E1">
      <w:pPr>
        <w:spacing w:after="240"/>
        <w:ind w:left="567" w:hanging="567"/>
      </w:pPr>
      <w:r w:rsidRPr="00F94329">
        <w:t>18</w:t>
      </w:r>
      <w:r w:rsidR="00EF79E1" w:rsidRPr="00F94329">
        <w:t>.</w:t>
      </w:r>
      <w:r w:rsidR="00EF79E1" w:rsidRPr="00F94329">
        <w:tab/>
        <w:t>vyzýva na začlenenie kvalitatívnych ukazovateľov do stratégie EÚ v oblasti boja proti chudobe s cieľom lepšie zohľadniť viacrozmerné aspekty chudoby;</w:t>
      </w:r>
    </w:p>
    <w:p w14:paraId="555F834B" w14:textId="142B3343" w:rsidR="00EF79E1" w:rsidRPr="00F94329" w:rsidRDefault="00391CF6" w:rsidP="00EF79E1">
      <w:pPr>
        <w:spacing w:after="240"/>
        <w:ind w:left="567" w:hanging="567"/>
      </w:pPr>
      <w:r w:rsidRPr="00F94329">
        <w:t>19</w:t>
      </w:r>
      <w:r w:rsidR="00EF79E1" w:rsidRPr="00F94329">
        <w:t>.</w:t>
      </w:r>
      <w:r w:rsidR="00EF79E1" w:rsidRPr="00F94329">
        <w:tab/>
        <w:t xml:space="preserve">vyzýva Komisiu a členské štáty, aby výrazne zvýšili verejné investície do politík, ktoré zaručujú sociálne práva, a to poskytnutím všeobecného prístupu ku kvalitným verejným </w:t>
      </w:r>
      <w:r w:rsidR="00EF79E1" w:rsidRPr="00F94329">
        <w:lastRenderedPageBreak/>
        <w:t>službám a tovarom a službám všeobecného hospodárskeho a sociálneho záujmu, ako sú dôstojné bývanie, potraviny, voda, sanitácia, energia, doprava, komunikácie a kultúrne a voľnočasové aktivity; zdôrazňuje, že prístup k zdravej a cenovo dostupnej výžive je základnou potrebou, najmä pre jednotlivcov a rodiny žijúce v extrémnej chudobe, deti, starších ľudí žijúcich osamote a marginalizované komunity; zdôrazňuje prínos takýchto investícií k prerušeniu medzigeneračných cyklov chudoby a umožneniu sociálneho a pracovného začlenenia, a to najmä v oblastiach, ako je vzdelávanie vrátane vzdelávania a starostlivosti v ranom detstve, zdravotná starostlivosť vrátane starostlivosti o duševné zdravie a sociálna ochrana;</w:t>
      </w:r>
    </w:p>
    <w:p w14:paraId="4C3CB235" w14:textId="585A541A" w:rsidR="00EF79E1" w:rsidRPr="00F94329" w:rsidRDefault="00391CF6" w:rsidP="00EF79E1">
      <w:pPr>
        <w:spacing w:after="240"/>
        <w:ind w:left="567" w:hanging="567"/>
        <w:rPr>
          <w:bCs/>
          <w:iCs/>
        </w:rPr>
      </w:pPr>
      <w:r w:rsidRPr="00F94329">
        <w:t>20</w:t>
      </w:r>
      <w:r w:rsidR="00EF79E1" w:rsidRPr="00F94329">
        <w:t>.</w:t>
      </w:r>
      <w:r w:rsidR="00EF79E1" w:rsidRPr="00F94329">
        <w:tab/>
        <w:t xml:space="preserve">vyzýva Komisiu, aby podporovala členské štáty pri presadzovaní politiky bývania, ktorou sa zabezpečí všeobecný prístup k dôstojnému a cenovo dostupnému bývaniu v súlade s cieľmi udržateľného rozvoja OSN a Všeobecnou deklaráciou ľudských práv, konkrétne jej článkom 25, a ktorá zahŕňa osobitné opatrenia na riešenie </w:t>
      </w:r>
      <w:proofErr w:type="spellStart"/>
      <w:r w:rsidR="00EF79E1" w:rsidRPr="00F94329">
        <w:t>bezdomovectva</w:t>
      </w:r>
      <w:proofErr w:type="spellEnd"/>
      <w:r w:rsidR="00EF79E1" w:rsidRPr="00F94329">
        <w:t xml:space="preserve">; vyzýva Komisiu, aby zabezpečila, že európsky plán pre cenovo dostupné bývanie bude spĺňať potreby bývania všetkých krajín EÚ, pričom sa dodrží zásada subsidiarity, s osobitným dôrazom na ľudí žijúcich v chudobe, zraniteľné deti, mladých ľudí a marginalizované komunity; zdôrazňuje zásadnú úlohu cenovo dostupného a prístupného bývania pri podpore </w:t>
      </w:r>
      <w:proofErr w:type="spellStart"/>
      <w:r w:rsidR="00EF79E1" w:rsidRPr="00F94329">
        <w:t>deinštitucionalizácie</w:t>
      </w:r>
      <w:proofErr w:type="spellEnd"/>
      <w:r w:rsidR="00EF79E1" w:rsidRPr="00F94329">
        <w:t xml:space="preserve"> a predchádzaní </w:t>
      </w:r>
      <w:proofErr w:type="spellStart"/>
      <w:r w:rsidR="00EF79E1" w:rsidRPr="00F94329">
        <w:t>inštitucionalizácii</w:t>
      </w:r>
      <w:proofErr w:type="spellEnd"/>
      <w:r w:rsidR="00EF79E1" w:rsidRPr="00F94329">
        <w:t xml:space="preserve"> z dôvodu chudoby, nevhodného bývania alebo nedostatku podpory</w:t>
      </w:r>
      <w:r w:rsidR="00EF79E1" w:rsidRPr="00F94329">
        <w:rPr>
          <w:rStyle w:val="FootnoteReference"/>
          <w:bCs/>
          <w:iCs/>
        </w:rPr>
        <w:footnoteReference w:id="59"/>
      </w:r>
      <w:r w:rsidR="00EF79E1" w:rsidRPr="00F94329">
        <w:t>; žiada, aby sa v tomto pláne vyčlenili rozsiahle finančné prostriedky EÚ na rozšírenie a obnovu fondu verejného a sociálneho bývania; vyzýva na revíziu pravidiel štátnej pomoci s cieľom umožniť väčšie investície členských štátov do verejného a sociálneho bývania, opatrenia na podporu systémov sociálneho a družstevného bývania neziskového sektora a sociálneho hospodárstva a opatrenia na ochranu nájomníkov, zabezpečenie stability bývania, predchádzanie nútenému vysťahovaniu a boj proti špekulatívnym praktikám;</w:t>
      </w:r>
    </w:p>
    <w:p w14:paraId="4F8D6C8D" w14:textId="1C593D38" w:rsidR="00EF79E1" w:rsidRPr="00F94329" w:rsidRDefault="00391CF6" w:rsidP="00EF79E1">
      <w:pPr>
        <w:spacing w:after="240"/>
        <w:ind w:left="567" w:hanging="567"/>
        <w:rPr>
          <w:bCs/>
          <w:iCs/>
        </w:rPr>
      </w:pPr>
      <w:r w:rsidRPr="00F94329">
        <w:t>21</w:t>
      </w:r>
      <w:r w:rsidR="00EF79E1" w:rsidRPr="00F94329">
        <w:t>.</w:t>
      </w:r>
      <w:r w:rsidR="00EF79E1" w:rsidRPr="00F94329">
        <w:tab/>
        <w:t xml:space="preserve">naliehavo vyzýva Komisiu, aby podporovala členské štáty (a rešpektovala pritom zásadu subsidiarity) pri vykonávaní a rozširovaní programov a opatrení, ako je prístup </w:t>
      </w:r>
      <w:proofErr w:type="spellStart"/>
      <w:r w:rsidR="00EF79E1" w:rsidRPr="00F94329">
        <w:t>Housing</w:t>
      </w:r>
      <w:proofErr w:type="spellEnd"/>
      <w:r w:rsidR="00EF79E1" w:rsidRPr="00F94329">
        <w:t xml:space="preserve"> </w:t>
      </w:r>
      <w:proofErr w:type="spellStart"/>
      <w:r w:rsidR="00EF79E1" w:rsidRPr="00F94329">
        <w:t>First</w:t>
      </w:r>
      <w:proofErr w:type="spellEnd"/>
      <w:r w:rsidR="00EF79E1" w:rsidRPr="00F94329">
        <w:t xml:space="preserve">, s cieľom riešiť </w:t>
      </w:r>
      <w:proofErr w:type="spellStart"/>
      <w:r w:rsidR="00EF79E1" w:rsidRPr="00F94329">
        <w:t>bezdomovectvo</w:t>
      </w:r>
      <w:proofErr w:type="spellEnd"/>
      <w:r w:rsidR="00EF79E1" w:rsidRPr="00F94329">
        <w:t xml:space="preserve"> a predchádzať mu, s osobitným dôrazom na </w:t>
      </w:r>
      <w:proofErr w:type="spellStart"/>
      <w:r w:rsidR="00EF79E1" w:rsidRPr="00F94329">
        <w:t>bezdomovectvo</w:t>
      </w:r>
      <w:proofErr w:type="spellEnd"/>
      <w:r w:rsidR="00EF79E1" w:rsidRPr="00F94329">
        <w:t xml:space="preserve"> detí, pričom uznáva </w:t>
      </w:r>
      <w:proofErr w:type="spellStart"/>
      <w:r w:rsidR="00EF79E1" w:rsidRPr="00F94329">
        <w:t>bezdomovectvo</w:t>
      </w:r>
      <w:proofErr w:type="spellEnd"/>
      <w:r w:rsidR="00EF79E1" w:rsidRPr="00F94329">
        <w:t xml:space="preserve"> za jednu z najvážnejších a najviditeľnejších foriem chudoby a sociálneho vylúčenia; naliehavo vyzýva Komisiu, aby v záujme skoncovania s </w:t>
      </w:r>
      <w:proofErr w:type="spellStart"/>
      <w:r w:rsidR="00EF79E1" w:rsidRPr="00F94329">
        <w:t>bezdomovectvom</w:t>
      </w:r>
      <w:proofErr w:type="spellEnd"/>
      <w:r w:rsidR="00EF79E1" w:rsidRPr="00F94329">
        <w:t xml:space="preserve"> v celej EÚ do roku 2030 predložila spoľahlivý akčný plán s konkrétnymi cieľmi, ktorý musí zahŕňať osobitné opatrenia na predchádzanie </w:t>
      </w:r>
      <w:proofErr w:type="spellStart"/>
      <w:r w:rsidR="00EF79E1" w:rsidRPr="00F94329">
        <w:t>bezdomovectvu</w:t>
      </w:r>
      <w:proofErr w:type="spellEnd"/>
      <w:r w:rsidR="00EF79E1" w:rsidRPr="00F94329">
        <w:t xml:space="preserve"> vo všeobecnosti, </w:t>
      </w:r>
      <w:proofErr w:type="spellStart"/>
      <w:r w:rsidR="00EF79E1" w:rsidRPr="00F94329">
        <w:t>bezdomovectvu</w:t>
      </w:r>
      <w:proofErr w:type="spellEnd"/>
      <w:r w:rsidR="00EF79E1" w:rsidRPr="00F94329">
        <w:t xml:space="preserve"> detí a rodín, </w:t>
      </w:r>
      <w:proofErr w:type="spellStart"/>
      <w:r w:rsidR="00EF79E1" w:rsidRPr="00F94329">
        <w:t>bezdomovectvu</w:t>
      </w:r>
      <w:proofErr w:type="spellEnd"/>
      <w:r w:rsidR="00EF79E1" w:rsidRPr="00F94329">
        <w:t xml:space="preserve"> najmä v dôsledku straty pracovného miesta a neistých pracovných podmienok a na boj proti </w:t>
      </w:r>
      <w:proofErr w:type="spellStart"/>
      <w:r w:rsidR="00EF79E1" w:rsidRPr="00F94329">
        <w:t>bezdomovectvu</w:t>
      </w:r>
      <w:proofErr w:type="spellEnd"/>
      <w:r w:rsidR="00EF79E1" w:rsidRPr="00F94329">
        <w:t xml:space="preserve"> žien, často spôsobenému rodinným a domácim násilím, ako aj opatrenia na zlepšenie dostupnosti bývania pre osoby so zdravotným postihnutím a staršie osoby;</w:t>
      </w:r>
    </w:p>
    <w:p w14:paraId="7F8A3A21" w14:textId="268E43AB" w:rsidR="00EF79E1" w:rsidRPr="00F94329" w:rsidRDefault="00391CF6" w:rsidP="00EF79E1">
      <w:pPr>
        <w:spacing w:after="240"/>
        <w:ind w:left="567" w:hanging="567"/>
        <w:rPr>
          <w:bCs/>
          <w:iCs/>
        </w:rPr>
      </w:pPr>
      <w:r w:rsidRPr="00F94329">
        <w:t>22</w:t>
      </w:r>
      <w:r w:rsidR="00EF79E1" w:rsidRPr="00F94329">
        <w:t>.</w:t>
      </w:r>
      <w:r w:rsidR="00EF79E1" w:rsidRPr="00F94329">
        <w:tab/>
        <w:t xml:space="preserve">vyzýva členské štáty, aby zriadili a podporovali centrá určené pre bezdomovcov, ktoré by poskytovali základnú a špecializovanú zdravotnú starostlivosť prispôsobenú potrebám bezdomovcov vrátane služieb v oblasti fyzického a duševného zdravia a ktoré by boli doplnené vzdelávacími programami zameranými na prevenciu užívania drog vrátane poradenstva a iniciatívami na rozvoj zručností s cieľom podporiť opätovné začlenenie do spoločnosti; vyzýva Komisiu, aby poskytla usmernenia a uľahčila výmenu najlepších postupov medzi členskými štátmi s cieľom zabezpečiť účinné a </w:t>
      </w:r>
      <w:r w:rsidR="00EF79E1" w:rsidRPr="00F94329">
        <w:lastRenderedPageBreak/>
        <w:t>humánne fungovanie týchto centier;</w:t>
      </w:r>
    </w:p>
    <w:p w14:paraId="74E50D2E" w14:textId="3AC6C50C" w:rsidR="00EF79E1" w:rsidRPr="00F94329" w:rsidRDefault="00391CF6" w:rsidP="00EF79E1">
      <w:pPr>
        <w:spacing w:after="240"/>
        <w:ind w:left="567" w:hanging="567"/>
        <w:rPr>
          <w:bCs/>
          <w:iCs/>
        </w:rPr>
      </w:pPr>
      <w:r w:rsidRPr="00F94329">
        <w:t>23</w:t>
      </w:r>
      <w:r w:rsidR="00EF79E1" w:rsidRPr="00F94329">
        <w:t>.</w:t>
      </w:r>
      <w:r w:rsidR="00EF79E1" w:rsidRPr="00F94329">
        <w:tab/>
        <w:t>vyzýva Komisiu a členské štáty, aby prijali účinné opatrenia a politiky zamerané na vykonávanie zásady rovnakej odmeny za rovnakú prácu, boj proti nerovnostiam a diskriminácii na pracovisku, a to najmä na základe pohlavia, rasového alebo etnického pôvodu, zdravotného postihnutia, veku, sociálno-ekonomického pôvodu, sexuálnej orientácie, rodovej identity alebo migračného statusu; zdôrazňuje význam urýchleného vykonávania smernice (EÚ) 2023/970 o rovnakej odmene za rovnakú prácu a informačných kampaní a školení o vedomých a nevedomých predsudkoch s cieľom predchádzať takýmto nerovnostiam a diskriminácii;</w:t>
      </w:r>
    </w:p>
    <w:p w14:paraId="12378E08" w14:textId="76823399" w:rsidR="00EF79E1" w:rsidRPr="00F94329" w:rsidRDefault="00391CF6" w:rsidP="00EF79E1">
      <w:pPr>
        <w:spacing w:after="240"/>
        <w:ind w:left="567" w:hanging="567"/>
        <w:rPr>
          <w:bCs/>
          <w:iCs/>
        </w:rPr>
      </w:pPr>
      <w:r w:rsidRPr="00F94329">
        <w:t>24</w:t>
      </w:r>
      <w:r w:rsidR="00EF79E1" w:rsidRPr="00F94329">
        <w:t>.</w:t>
      </w:r>
      <w:r w:rsidR="00EF79E1" w:rsidRPr="00F94329">
        <w:tab/>
        <w:t>požaduje nové, rýchlejšie úsilie o odstránenie rozdielov v zamestnanosti žien a mužov a rozdielov v dôchodkoch žien a mužov a o zvýšenie investícií do verejných služieb a sociálnej infraštruktúry; vyzýva Komisiu, aby povzbudila členské štáty k vypracovaniu cielených opatrení na zabezpečenie primeranej úrovne dôchodkov;</w:t>
      </w:r>
    </w:p>
    <w:p w14:paraId="7850872B" w14:textId="7C027767" w:rsidR="00EF79E1" w:rsidRPr="00F94329" w:rsidRDefault="00391CF6" w:rsidP="00EF79E1">
      <w:pPr>
        <w:spacing w:after="240"/>
        <w:ind w:left="567" w:hanging="567"/>
      </w:pPr>
      <w:r w:rsidRPr="00F94329">
        <w:t>25</w:t>
      </w:r>
      <w:r w:rsidR="00EF79E1" w:rsidRPr="00F94329">
        <w:t>.</w:t>
      </w:r>
      <w:r w:rsidR="00EF79E1" w:rsidRPr="00F94329">
        <w:tab/>
        <w:t>vyzýva členské štáty, aby vypracovali politiky na posilnenie materských, otcovských a rodičovských a iných opatrovateľských práv, podporu rovnováhy medzi pracovným a súkromným životom vrátane pružného pracovného času, uľahčenie prístupu žien k zaručenému príjmu počas materskej dovolenky a podporu ich opätovného začlenenia do práce po tehotenstve a materskej dovolenke a zabezpečenie primeraných podmienok na dojčenie na pracovisku; nabáda členské štáty, aby zaviedli a podporovali prístupné a primerane kompenzované politiky otcovskej dovolenky, ktoré otcom umožnia nadviazať silné väzby s deťmi, rovnocenne sa podieľať na starostlivosti o deti a vziať si potrebné voľno na podporu rozvoja v ranom detstve a rodinnej pohody;</w:t>
      </w:r>
    </w:p>
    <w:p w14:paraId="445E7AA7" w14:textId="05ABB052" w:rsidR="00EF79E1" w:rsidRPr="00F94329" w:rsidRDefault="00391CF6" w:rsidP="00EF79E1">
      <w:pPr>
        <w:spacing w:after="240"/>
        <w:ind w:left="567" w:hanging="567"/>
        <w:rPr>
          <w:bCs/>
          <w:iCs/>
        </w:rPr>
      </w:pPr>
      <w:r w:rsidRPr="00F94329">
        <w:t>26</w:t>
      </w:r>
      <w:r w:rsidR="00EF79E1" w:rsidRPr="00F94329">
        <w:t>.</w:t>
      </w:r>
      <w:r w:rsidR="00EF79E1" w:rsidRPr="00F94329">
        <w:tab/>
        <w:t>poukazuje na neprimeraný vplyv neplatenej opatrovateľskej práce na ženy a ich ekonomickú bezpečnosť; vyzýva členské štáty, aby posilnili svoje verejné národné a regionálne systémy starostlivosti a zabezpečili, aby všetci jednotlivci, starší aj mladší, bez ohľadu na ich pôvod, mali prístup k profesionálnym službám starostlivosti, ktoré zaručujú dobré pracovné podmienky pre pracovníkov v oblasti starostlivosti; zdôrazňuje, že domáca starostlivosť je nevyhnutná na poskytovanie kvalitnej starostlivosti zameranej na človeka ľuďom v núdzi vrátane starších ľudí, ako aj kvalitnej starostlivosti o deti; nabáda členské štáty, aby preskúmali možnosť prijatia postupov a opatrení, ktoré by poskytovali podporu neformálnym opatrovateľom, najmä tým, ktorí sa starajú o jednotlivcov z domácností s nízkymi príjmami, ktorí sa po odbornom posúdení považujú za neschopných žiť samostatne, ako prostriedok na podporu dôstojnej komunitnej starostlivosti;</w:t>
      </w:r>
    </w:p>
    <w:p w14:paraId="77942039" w14:textId="2697DDAE" w:rsidR="00EF79E1" w:rsidRPr="00F94329" w:rsidRDefault="00391CF6" w:rsidP="00EF79E1">
      <w:pPr>
        <w:spacing w:after="240"/>
        <w:ind w:left="567" w:hanging="567"/>
        <w:rPr>
          <w:bCs/>
          <w:iCs/>
        </w:rPr>
      </w:pPr>
      <w:r w:rsidRPr="00F94329">
        <w:t>27</w:t>
      </w:r>
      <w:r w:rsidR="00EF79E1" w:rsidRPr="00F94329">
        <w:t>.</w:t>
      </w:r>
      <w:r w:rsidR="00EF79E1" w:rsidRPr="00F94329">
        <w:tab/>
        <w:t>vyzýva členské štáty, aby vypracovali politiky a zabezpečili prístup k podpore pri návrate do zamestnania pre pracovníkov, a najmä ženy, ktoré už niekoľko rokov nepracujú z dôvodu rodinných povinností;</w:t>
      </w:r>
    </w:p>
    <w:p w14:paraId="08A51675" w14:textId="2B203647" w:rsidR="00EF79E1" w:rsidRPr="00F94329" w:rsidRDefault="00391CF6" w:rsidP="00EF79E1">
      <w:pPr>
        <w:spacing w:after="240"/>
        <w:ind w:left="567" w:hanging="567"/>
      </w:pPr>
      <w:r w:rsidRPr="00F94329">
        <w:t>28</w:t>
      </w:r>
      <w:r w:rsidR="00EF79E1" w:rsidRPr="00F94329">
        <w:t>.</w:t>
      </w:r>
      <w:r w:rsidR="00EF79E1" w:rsidRPr="00F94329">
        <w:tab/>
        <w:t xml:space="preserve">naliehavo vyzýva členské štáty, aby zabezpečili všeobecný prístup k cenovo dostupnej, kvalitnej verejnej zdravotnej starostlivosti pre všetkých vrátane prenatálnej, materskej, novorodeneckej a pediatrickej zdravotnej starostlivosti (vrátane primárnej prevencie, očkovacích programov a primárnej starostlivosti), prístup k diagnostike, liečbe a rehabilitácii a prístup k rozmanitej škále špecializovanej lekárskej a terapeutickej liečby, čím sa všetkým ženám zaručí </w:t>
      </w:r>
      <w:bookmarkStart w:id="7" w:name="_Hlk213659452"/>
      <w:r w:rsidR="00EF79E1" w:rsidRPr="00F94329">
        <w:t xml:space="preserve">právo na sexuálnu a reprodukčnú </w:t>
      </w:r>
      <w:bookmarkStart w:id="8" w:name="_Hlk213659435"/>
      <w:r w:rsidR="00EF79E1" w:rsidRPr="00F94329">
        <w:t>zdravotnú starostlivosť</w:t>
      </w:r>
      <w:bookmarkEnd w:id="7"/>
      <w:r w:rsidR="00EF79E1" w:rsidRPr="00F94329">
        <w:t xml:space="preserve">, a to popri </w:t>
      </w:r>
      <w:bookmarkEnd w:id="8"/>
      <w:r w:rsidR="00EF79E1" w:rsidRPr="00F94329">
        <w:t xml:space="preserve">cielených opatreniach na zabezpečenie včasnej identifikácie a intervencie v prípade osôb ohrozených zdravotnými a vývojovými problémami a na zlepšenie </w:t>
      </w:r>
      <w:r w:rsidR="00EF79E1" w:rsidRPr="00F94329">
        <w:lastRenderedPageBreak/>
        <w:t>cielených intervenčných služieb v ranom detstve zameraných na podporu rozvoja, blaha a sociálneho začlenenia detí;</w:t>
      </w:r>
    </w:p>
    <w:p w14:paraId="405B41C6" w14:textId="54E853C2" w:rsidR="00EF79E1" w:rsidRPr="00F94329" w:rsidRDefault="00391CF6" w:rsidP="00EF79E1">
      <w:pPr>
        <w:spacing w:after="240"/>
        <w:ind w:left="567" w:hanging="567"/>
        <w:rPr>
          <w:bCs/>
          <w:iCs/>
        </w:rPr>
      </w:pPr>
      <w:r w:rsidRPr="00F94329">
        <w:t>29</w:t>
      </w:r>
      <w:r w:rsidR="00EF79E1" w:rsidRPr="00F94329">
        <w:t>.</w:t>
      </w:r>
      <w:r w:rsidR="00EF79E1" w:rsidRPr="00F94329">
        <w:tab/>
      </w:r>
      <w:r w:rsidR="003A33FF" w:rsidRPr="00F94329">
        <w:t xml:space="preserve">uznáva menštruačnú chudobu ako štrukturálnu formu chudoby a rodovej nerovnosti v EÚ, ktorá </w:t>
      </w:r>
      <w:r w:rsidR="00EF79E1" w:rsidRPr="00F94329">
        <w:t>postihuje približne 10 % menštruujúcej populácie</w:t>
      </w:r>
      <w:r w:rsidR="003A33FF" w:rsidRPr="00F94329">
        <w:t>;</w:t>
      </w:r>
      <w:r w:rsidR="00EF79E1" w:rsidRPr="00F94329">
        <w:t xml:space="preserve"> </w:t>
      </w:r>
      <w:r w:rsidR="003A33FF" w:rsidRPr="00F94329">
        <w:t xml:space="preserve">zdôrazňuje jej neprimeraný vplyv na ženy a dievčatá s nízkymi príjmami, utečenky, žiadateľky o azyl, mládež, osoby bez domova, osoby so zdravotným postihnutím a iné osoby v zraniteľných situáciách; zdôrazňuje, že menštruačná chudoba vážne obmedzuje </w:t>
      </w:r>
      <w:r w:rsidR="00EF79E1" w:rsidRPr="00F94329">
        <w:t>účasť na spoločenskom, vzdelávacom a pracovnom živote; vyzýva Komisiu</w:t>
      </w:r>
      <w:r w:rsidR="003A33FF" w:rsidRPr="00F94329">
        <w:t xml:space="preserve">, aby v rámci stratégie EÚ v oblasti boja proti chudobe vypracovala komplexný akčný plán, ktorý zabezpečí </w:t>
      </w:r>
      <w:r w:rsidR="00EF79E1" w:rsidRPr="00F94329">
        <w:t xml:space="preserve">bezplatný alebo cenovo dostupný prístup k menštruačným výrobkom, </w:t>
      </w:r>
      <w:r w:rsidR="003A33FF" w:rsidRPr="00F94329">
        <w:t>informáciám a primeraným hygienickým zariadeniam, najmä na verejných miestach, ako sú vzdelávacie inštitúcie, pracoviská, verejné budovy a záchytné centrá</w:t>
      </w:r>
      <w:r w:rsidR="00EF79E1" w:rsidRPr="00F94329">
        <w:t>;</w:t>
      </w:r>
    </w:p>
    <w:p w14:paraId="07F71669" w14:textId="6FE21FFA" w:rsidR="00EF79E1" w:rsidRPr="00F94329" w:rsidRDefault="00B70A7A" w:rsidP="00EF79E1">
      <w:pPr>
        <w:spacing w:after="240"/>
        <w:ind w:left="567" w:hanging="567"/>
      </w:pPr>
      <w:r w:rsidRPr="00F94329">
        <w:t>30</w:t>
      </w:r>
      <w:r w:rsidR="00EF79E1" w:rsidRPr="00F94329">
        <w:t>.</w:t>
      </w:r>
      <w:r w:rsidR="00EF79E1" w:rsidRPr="00F94329">
        <w:tab/>
        <w:t xml:space="preserve">vyzýva členské štáty, aby posilnili verejné, univerzálne a solidárne systémy sociálneho zabezpečenia s cieľom zaručiť úplnú a účinnú sociálnu ochranu pre všetkých vrátane pracovníkov, samostatne zárobkovo činných osôb a dôchodcov a predchádzať základným príčinám chudoby a chudoby pracujúcich a riešiť ich v súlade s odporúčaním Rady z roku 2019 o prístupe k sociálnej ochrane pre pracovníkov a samostatne zárobkovo činné osoby; trvá na tom, že je dôležité riešiť výzvy, ktorým čelia ľudia v neistom alebo neštandardnom zamestnaní, najmä mladí ľudia, ktorí čelia diskriminácii na základe veku a nemajú dostatočné záznamy o príspevkoch na prístup k sociálnym dávkam, a zahrnúť umelcov a pracovníkov v kultúrnych a kreatívnych odvetviach; </w:t>
      </w:r>
      <w:bookmarkStart w:id="9" w:name="_Hlk209688047"/>
      <w:r w:rsidR="00EF79E1" w:rsidRPr="00F94329">
        <w:t>vyzýva členské štáty, aby riešili chudobu medzi staršími ľuďmi prostredníctvom osobitných opatrení, pričom by mali venovať osobitnú pozornosť ženám, ktoré sú neúmerne postihnuté</w:t>
      </w:r>
      <w:bookmarkEnd w:id="9"/>
      <w:r w:rsidR="00EF79E1" w:rsidRPr="00F94329">
        <w:t>; vyzýva členské štáty, aby vo svojich dôchodkových systémoch primerane zohľadnili obdobia neprítomnosti v práci z dôvodu rodičovskej dovolenky;</w:t>
      </w:r>
    </w:p>
    <w:p w14:paraId="2D236694" w14:textId="50F1A63E" w:rsidR="00EF79E1" w:rsidRPr="00F94329" w:rsidRDefault="00B70A7A" w:rsidP="00EF79E1">
      <w:pPr>
        <w:spacing w:after="240"/>
        <w:ind w:left="567" w:hanging="567"/>
        <w:rPr>
          <w:bCs/>
          <w:iCs/>
        </w:rPr>
      </w:pPr>
      <w:r w:rsidRPr="00F94329">
        <w:t>31</w:t>
      </w:r>
      <w:r w:rsidR="00EF79E1" w:rsidRPr="00F94329">
        <w:t>.</w:t>
      </w:r>
      <w:r w:rsidR="00EF79E1" w:rsidRPr="00F94329">
        <w:tab/>
        <w:t>zdôrazňuje, že v stratégii v oblasti boja proti chudobe by sa mala riešiť neformálna ekonomika vzhľadom na to, že je naďalej rozšírená v celej EÚ, čo vedie k pracovným miestam bez prístupu k právam, primeranej mzde, sociálnej ochrane či zdravotným a bezpečnostným normám pri práci; nabáda členské štáty, aby vytvorili integračné cesty medzi neformálnou a formálnou ekonomikou, napríklad zavedením zjednodušených postupov registrácie sezónnych a manuálnych pracovníkov a pracovníkov v domácnosti;</w:t>
      </w:r>
    </w:p>
    <w:p w14:paraId="42230A97" w14:textId="61836C11" w:rsidR="00EF79E1" w:rsidRPr="00F94329" w:rsidRDefault="00B70A7A" w:rsidP="00EF79E1">
      <w:pPr>
        <w:spacing w:after="240"/>
        <w:ind w:left="567" w:hanging="567"/>
        <w:rPr>
          <w:bCs/>
          <w:iCs/>
        </w:rPr>
      </w:pPr>
      <w:r w:rsidRPr="00F94329">
        <w:t>32</w:t>
      </w:r>
      <w:r w:rsidR="00EF79E1" w:rsidRPr="00F94329">
        <w:t>.</w:t>
      </w:r>
      <w:r w:rsidR="00EF79E1" w:rsidRPr="00F94329">
        <w:tab/>
        <w:t xml:space="preserve">vyzýva členské štáty, aby sa zaoberali chudobou mladých ľudí a sociálno-ekonomickou nerovnosťou, pričom uznáva, že mladí ľudia sú neúmerne postihnutí nezamestnanosťou, neistým zamestnaním, vylúčením z bývania a sociálnou zraniteľnosťou; zdôrazňuje, že mladí ľudia sú nadmerne zastúpení v odvetviach, ktoré sa vyznačujú prácou na čiastočný úväzok, sezónnou, neistou a nedeklarovanou prácou, a že miera mladých ľudí, ktorí nie sú zamestnaní, ani nie sú v procese vzdelávania alebo odbornej prípravy, je vo viacerých členských štátoch stále vysoká a viac ako dvakrát vyššia ako celková miera nezamestnanosti v EÚ; zdôrazňuje, že je potrebné posilniť záruku pre mladých ľudí ako kľúčový nástroj na podporu začlenenia mladých ľudí do trhu práce, ako aj využiť stratégiu na rozvoj ďalšej súčinnosti medzi týmto nástrojom a Európskou zárukou pre deti a posilniť oba nástroje prijatím cielených opatrení, presadzovaním riešení cenovo dostupného bývania pre mladých ľudí v rámci nadchádzajúceho plánu pre cenovo dostupné bývanie a posilnením prispôsobenej podpory duševného zdravia a služieb sociálneho začlenenia určených špeciálne pre mladých ľudí; vyzýva na posilnenie </w:t>
      </w:r>
      <w:r w:rsidR="00EF79E1" w:rsidRPr="00F94329">
        <w:lastRenderedPageBreak/>
        <w:t xml:space="preserve">podpory pre mladých ľudí, ktorí vychádzajú zo systému alternatívnej starostlivosti, s cieľom zabezpečiť stabilnú a dôstojnú cestu k dospelosti, konkrétne poskytnutím lepšieho prístupu k odbornej príprave a pracovným príležitostiam alebo podporou pri univerzitnom alebo odbornom vzdelávaní a príprave, s cieľom znížiť riziko chudoby, sociálneho vylúčenia a </w:t>
      </w:r>
      <w:proofErr w:type="spellStart"/>
      <w:r w:rsidR="00EF79E1" w:rsidRPr="00F94329">
        <w:t>bezdomovectva</w:t>
      </w:r>
      <w:proofErr w:type="spellEnd"/>
      <w:r w:rsidR="00EF79E1" w:rsidRPr="00F94329">
        <w:t xml:space="preserve"> počas tohto kritického obdobia;</w:t>
      </w:r>
    </w:p>
    <w:p w14:paraId="555A1FFE" w14:textId="09D5B653" w:rsidR="00EF79E1" w:rsidRPr="00F94329" w:rsidRDefault="00B70A7A" w:rsidP="00EF79E1">
      <w:pPr>
        <w:spacing w:after="240"/>
        <w:ind w:left="567" w:hanging="567"/>
      </w:pPr>
      <w:r w:rsidRPr="00F94329">
        <w:t>33</w:t>
      </w:r>
      <w:r w:rsidR="00EF79E1" w:rsidRPr="00F94329">
        <w:t>.</w:t>
      </w:r>
      <w:r w:rsidR="00EF79E1" w:rsidRPr="00F94329">
        <w:tab/>
        <w:t xml:space="preserve">vyzýva Komisiu a členské štáty, aby vzali do úvahy skryté javy chudoby, bojovali proti </w:t>
      </w:r>
      <w:proofErr w:type="spellStart"/>
      <w:r w:rsidR="00EF79E1" w:rsidRPr="00F94329">
        <w:t>stigmatizácii</w:t>
      </w:r>
      <w:proofErr w:type="spellEnd"/>
      <w:r w:rsidR="00EF79E1" w:rsidRPr="00F94329">
        <w:t xml:space="preserve"> ľudí žijúcich v chudobe a nevyužívaniu dostupných sociálnych dávok;</w:t>
      </w:r>
    </w:p>
    <w:p w14:paraId="174BAEA4" w14:textId="66C04213" w:rsidR="003A33FF" w:rsidRPr="00F94329" w:rsidRDefault="00B70A7A" w:rsidP="00EF79E1">
      <w:pPr>
        <w:spacing w:after="240"/>
        <w:ind w:left="567" w:hanging="567"/>
      </w:pPr>
      <w:r w:rsidRPr="00F94329">
        <w:t>34</w:t>
      </w:r>
      <w:r w:rsidR="00A766B8" w:rsidRPr="00F94329">
        <w:t>.</w:t>
      </w:r>
      <w:r w:rsidR="00A766B8" w:rsidRPr="00F94329">
        <w:tab/>
        <w:t>zdôrazňuje, že je dôležité prekonať administratívne prekážky, ktoré môžu brániť zraniteľným skupinám, ako sú Rómovia, v prístupe k základným službám a sociálnej ochrane, pretože tieto prekážky udržiavajú a prehlbujú chudobu a vylúčenie; zdôrazňuje, že národné identifikačné čísla by mohli uľahčiť rovnaký prístup k základným službám pri zachovaní administratívnej jasnosti a zodpovednosti;</w:t>
      </w:r>
    </w:p>
    <w:p w14:paraId="7D8A24A4" w14:textId="78B3CE62" w:rsidR="00EF79E1" w:rsidRPr="00F94329" w:rsidRDefault="00B70A7A" w:rsidP="00EF79E1">
      <w:pPr>
        <w:spacing w:after="240"/>
        <w:ind w:left="567" w:hanging="567"/>
        <w:rPr>
          <w:bCs/>
          <w:iCs/>
        </w:rPr>
      </w:pPr>
      <w:r w:rsidRPr="00F94329">
        <w:t>35</w:t>
      </w:r>
      <w:r w:rsidR="00EF79E1" w:rsidRPr="00F94329">
        <w:t>.</w:t>
      </w:r>
      <w:r w:rsidR="00EF79E1" w:rsidRPr="00F94329">
        <w:tab/>
        <w:t xml:space="preserve">vyzýva Komisiu a členské štáty, aby zrevidovali príslušné právne predpisy s cieľom výslovne zakázať diskrimináciu na základe sociálno-ekonomického postavenia a uznať jej vzájomné prepojenie s inými formami diskriminácie; zdôrazňuje, že na zabezpečenie vymáhateľných práv a ochrany ľudí postihnutých chudobou a sociálnym vylúčením je potrebný jasný právny základ; ďalej vyzýva Radu, aby prijala svoju pozíciu k horizontálnej antidiskriminačnej smernici s cieľom začať </w:t>
      </w:r>
      <w:proofErr w:type="spellStart"/>
      <w:r w:rsidR="00EF79E1" w:rsidRPr="00F94329">
        <w:t>medziinštitucionálne</w:t>
      </w:r>
      <w:proofErr w:type="spellEnd"/>
      <w:r w:rsidR="00EF79E1" w:rsidRPr="00F94329">
        <w:t xml:space="preserve"> rokovania;</w:t>
      </w:r>
    </w:p>
    <w:p w14:paraId="37ACB1D2" w14:textId="25016CA1" w:rsidR="00EF79E1" w:rsidRPr="00F94329" w:rsidRDefault="00B70A7A" w:rsidP="00EF79E1">
      <w:pPr>
        <w:spacing w:after="240"/>
        <w:ind w:left="567" w:hanging="567"/>
        <w:rPr>
          <w:bCs/>
          <w:iCs/>
        </w:rPr>
      </w:pPr>
      <w:r w:rsidRPr="00F94329">
        <w:t>36</w:t>
      </w:r>
      <w:r w:rsidR="00EF79E1" w:rsidRPr="00F94329">
        <w:t>.</w:t>
      </w:r>
      <w:r w:rsidR="00EF79E1" w:rsidRPr="00F94329">
        <w:tab/>
        <w:t>vyzýva členské štáty, aby prehodnotili politiky a opatrenia, ktoré penalizujú ľudí žijúcich v extrémnej chudobe, a sankcie voči osobám poskytujúcim podporu; zdôrazňuje, že takéto opatrenia často podkopávajú dôstojnosť, prehlbujú vylúčenie a sú kontraproduktívne pre dlhodobé ciele sociálneho začlenenia;</w:t>
      </w:r>
    </w:p>
    <w:p w14:paraId="772EA412" w14:textId="42B12D09" w:rsidR="00EF79E1" w:rsidRPr="00F94329" w:rsidRDefault="00B70A7A" w:rsidP="00EF79E1">
      <w:pPr>
        <w:spacing w:after="240"/>
        <w:ind w:left="567" w:hanging="567"/>
        <w:rPr>
          <w:bCs/>
          <w:iCs/>
        </w:rPr>
      </w:pPr>
      <w:r w:rsidRPr="00F94329">
        <w:t>37</w:t>
      </w:r>
      <w:r w:rsidR="00EF79E1" w:rsidRPr="00F94329">
        <w:t>.</w:t>
      </w:r>
      <w:r w:rsidR="00EF79E1" w:rsidRPr="00F94329">
        <w:tab/>
        <w:t>naliehavo vyzýva členské štáty, aby preskúmali a zaviedli proaktívne mechanizmy s cieľom zabezpečiť, aby všetci jednotlivci, ktorí majú nárok na sociálne dávky, najmä osoby v skupinách, na ktoré sa zameriava sociálna pomoc, boli účinne informovaní o týchto dávkach a bol im poskytnutý prístup k nim, čím sa zníži ich nepoberanie, a to aj znížením administratívnej záťaže spojenej so žiadosťami o dávky, zaistením väčšej transparentnosti a zabezpečením, aby boli zamestnanci vyškolení na to, aby mohli nadviazať kontakt a pomôcť ľuďom zažívajúcim chudobu s cieľom vybudovať dôveru v príslušné inštitúcie;</w:t>
      </w:r>
    </w:p>
    <w:p w14:paraId="53593E20" w14:textId="2219963A" w:rsidR="00EF79E1" w:rsidRPr="00F94329" w:rsidRDefault="00B70A7A" w:rsidP="00EF79E1">
      <w:pPr>
        <w:spacing w:after="240"/>
        <w:ind w:left="567" w:hanging="567"/>
        <w:rPr>
          <w:bCs/>
          <w:iCs/>
        </w:rPr>
      </w:pPr>
      <w:r w:rsidRPr="00F94329">
        <w:t>38</w:t>
      </w:r>
      <w:r w:rsidR="00EF79E1" w:rsidRPr="00F94329">
        <w:t>.</w:t>
      </w:r>
      <w:r w:rsidR="00EF79E1" w:rsidRPr="00F94329">
        <w:tab/>
        <w:t xml:space="preserve">vyjadruje poľutovanie nad tým, že cieľ strategického rámca EÚ pre Rómov na roky 2021 – 2030, ktorým je zníženie rozdielu v chudobe medzi rómskymi komunitami a bežným obyvateľstvom aspoň o polovicu, sa ešte zďaleka nedosiahol; zdôrazňuje, že stratégia EÚ v oblasti boja proti chudobe by mala mať spoločný cieľ, a to podporovať základné práva, znižovať nerovnosť a riešiť štrukturálnu diskrimináciu so strategickým rámcom EÚ pre Rómov a Európskou zárukou pre deti; zdôrazňuje, že je dôležité zabezpečiť, aby sa tieto iniciatívy realizovali v súčinnosti, najmä pri riešení chudoby detí a prelomení cyklu medzigeneračného znevýhodnenia rómskych rodín a komunít </w:t>
      </w:r>
      <w:proofErr w:type="spellStart"/>
      <w:r w:rsidR="00EF79E1" w:rsidRPr="00F94329">
        <w:t>Travellerov</w:t>
      </w:r>
      <w:proofErr w:type="spellEnd"/>
      <w:r w:rsidR="00EF79E1" w:rsidRPr="00F94329">
        <w:t>;</w:t>
      </w:r>
    </w:p>
    <w:p w14:paraId="21B12792" w14:textId="4AA4EE62" w:rsidR="00EF79E1" w:rsidRPr="00F94329" w:rsidRDefault="00B70A7A" w:rsidP="00EF79E1">
      <w:pPr>
        <w:spacing w:after="240"/>
        <w:ind w:left="567" w:hanging="567"/>
        <w:rPr>
          <w:bCs/>
          <w:iCs/>
        </w:rPr>
      </w:pPr>
      <w:r w:rsidRPr="00F94329">
        <w:t>39</w:t>
      </w:r>
      <w:r w:rsidR="00EF79E1" w:rsidRPr="00F94329">
        <w:t>.</w:t>
      </w:r>
      <w:r w:rsidR="00EF79E1" w:rsidRPr="00F94329">
        <w:tab/>
        <w:t xml:space="preserve">zdôrazňuje rastúcu digitálnu priepasť, ktorá môže prehĺbiť chudobu obmedzením prístupu k informáciám, a potrebu opatrení na riešenie digitálneho vylúčenia skupín s nízkymi príjmami a marginalizovaných skupín vrátane starších ľudí; v tejto súvislosti vyzýva Komisiu a členské štáty, aby podporovali digitálne začlenenie zraniteľných </w:t>
      </w:r>
      <w:r w:rsidR="00EF79E1" w:rsidRPr="00F94329">
        <w:lastRenderedPageBreak/>
        <w:t>skupín prostredníctvom opatrení a podporných programov, ktoré im zabezpečia prístup k digitálnym technológiám, infraštruktúre a pripojeniu, ako aj odbornú prípravu v oblasti základných digitálnych zručností; odporúča zahrnúť jasné ukazovatele na monitorovanie digitálnej integrácie, najmä medzi deťmi, a zároveň naďalej chrániť ich činnosť online a činnosť online dospievajúcich;</w:t>
      </w:r>
    </w:p>
    <w:p w14:paraId="2447CCA1" w14:textId="345A1219" w:rsidR="00EF79E1" w:rsidRPr="00F94329" w:rsidRDefault="00B70A7A" w:rsidP="00EF79E1">
      <w:pPr>
        <w:spacing w:after="240"/>
        <w:ind w:left="567" w:hanging="567"/>
        <w:rPr>
          <w:bCs/>
          <w:iCs/>
        </w:rPr>
      </w:pPr>
      <w:r w:rsidRPr="00F94329">
        <w:t>40</w:t>
      </w:r>
      <w:r w:rsidR="00EF79E1" w:rsidRPr="00F94329">
        <w:t>.</w:t>
      </w:r>
      <w:r w:rsidR="00EF79E1" w:rsidRPr="00F94329">
        <w:tab/>
        <w:t>domnieva sa, že cieľ úplnej digitalizácie kľúčových verejných služieb stanovený v politickom programe EÚ Digitálne desaťročie môže zvýrazniť nerovnosti, najmä medzi mestskými a vidieckymi oblasťami, vekovými skupinami a sociálno-ekonomickými skupinami, a to odklonom od individualizovanej podpory; v tejto súvislosti zdôrazňuje potrebu nájsť rovnováhu medzi procesom digitalizácie verejných služieb a verejnej správy a potrebami zraniteľných skupín; vyzýva Komisiu a členské štáty, aby sa touto otázkou zaoberali v kontexte stratégie v oblasti boja proti chudobe a národných akčných plánov a zabezpečili potrebné zdroje, osobnú podporu a náležitú odbornú prípravu zamestnancov v kľúčových službách verejnej správy s cieľom zabezpečiť rovnaký prístup k verejným službám a zabrániť prehlbovaniu digitálnej priepasti;</w:t>
      </w:r>
    </w:p>
    <w:p w14:paraId="718205FE" w14:textId="7E752384" w:rsidR="00EF79E1" w:rsidRPr="00F94329" w:rsidRDefault="00B70A7A" w:rsidP="00EF79E1">
      <w:pPr>
        <w:spacing w:after="240"/>
        <w:ind w:left="567" w:hanging="567"/>
        <w:rPr>
          <w:bCs/>
          <w:iCs/>
        </w:rPr>
      </w:pPr>
      <w:r w:rsidRPr="00F94329">
        <w:t>41</w:t>
      </w:r>
      <w:r w:rsidR="00EF79E1" w:rsidRPr="00F94329">
        <w:t>.</w:t>
      </w:r>
      <w:r w:rsidR="00EF79E1" w:rsidRPr="00F94329">
        <w:tab/>
        <w:t>pripomína, že čoraz častejšie využívanie algoritmov a systémov umelej inteligencie v základných verejných službách môže predstavovať značné riziko posilnenia existujúcich foriem diskriminácie, najmä voči ľuďom žijúcim v chudobe; v tejto súvislosti naliehavo vyzýva Komisiu, aby podporovala systémy umelej inteligencie, ktoré sú etické už v štádiu návrhu, a aby zabezpečila horizontálnu zásadu nediskriminácie vo všetkých nariadeniach EÚ týkajúcich sa umelej inteligencie;</w:t>
      </w:r>
    </w:p>
    <w:p w14:paraId="242CC262" w14:textId="6EE0885E" w:rsidR="00EF79E1" w:rsidRPr="00F94329" w:rsidRDefault="00B70A7A" w:rsidP="00EF79E1">
      <w:pPr>
        <w:spacing w:after="240"/>
        <w:ind w:left="567" w:hanging="567"/>
        <w:rPr>
          <w:szCs w:val="24"/>
        </w:rPr>
      </w:pPr>
      <w:r w:rsidRPr="00F94329">
        <w:t>42</w:t>
      </w:r>
      <w:r w:rsidR="00EF79E1" w:rsidRPr="00F94329">
        <w:t>.</w:t>
      </w:r>
      <w:r w:rsidR="00EF79E1" w:rsidRPr="00F94329">
        <w:tab/>
        <w:t>zdôrazňuje, že chudoba a duševné zdravie sú úzko prepojené a že každé z nich môže negatívne ovplyvniť to druhé; odporúča členským štátom, aby posilnili podporu pre ľudí vrátane rodín a detí v zraniteľných situáciách prostredníctvom služieb v oblasti duševného zdravia a psychosociálnej podpory a zabezpečili dostatočné zdroje a primerane vyškolených odborníkov na účinné poskytovanie týchto služieb;</w:t>
      </w:r>
    </w:p>
    <w:p w14:paraId="6429ECA9" w14:textId="36DC8372" w:rsidR="00EF79E1" w:rsidRPr="00F94329" w:rsidRDefault="00B70A7A" w:rsidP="00EF79E1">
      <w:pPr>
        <w:spacing w:after="240"/>
        <w:ind w:left="567" w:hanging="567"/>
        <w:rPr>
          <w:bCs/>
          <w:iCs/>
          <w:szCs w:val="24"/>
        </w:rPr>
      </w:pPr>
      <w:r w:rsidRPr="00F94329">
        <w:t>43</w:t>
      </w:r>
      <w:r w:rsidR="00EF79E1" w:rsidRPr="00F94329">
        <w:t>.</w:t>
      </w:r>
      <w:r w:rsidR="00EF79E1" w:rsidRPr="00F94329">
        <w:tab/>
        <w:t>zdôrazňuje, že je dôležité zabezpečiť pre všetkých ľudí právo na prístup ku kultúre, tvorbu kultúry a účasť na nej a odstrániť hospodársku, sociálnu a územnú diskrimináciu v prístupe ku kultúre;</w:t>
      </w:r>
    </w:p>
    <w:p w14:paraId="3768FF0A" w14:textId="44AB8BA6" w:rsidR="00EF79E1" w:rsidRPr="00F94329" w:rsidRDefault="00B70A7A" w:rsidP="00EF79E1">
      <w:pPr>
        <w:spacing w:after="240"/>
        <w:ind w:left="567" w:hanging="567"/>
        <w:rPr>
          <w:bCs/>
          <w:iCs/>
          <w:szCs w:val="24"/>
        </w:rPr>
      </w:pPr>
      <w:r w:rsidRPr="00F94329">
        <w:t>44</w:t>
      </w:r>
      <w:r w:rsidR="00EF79E1" w:rsidRPr="00F94329">
        <w:t>.</w:t>
      </w:r>
      <w:r w:rsidR="00EF79E1" w:rsidRPr="00F94329">
        <w:tab/>
        <w:t>zdôrazňuje, že ľudia ohrození chudobou a sociálnym vylúčením sú neúmerne postihnutí zmenou klímy; opakuje, že zelená a digitálna transformácia musí byť sociálne spravodlivá a inkluzívna; vyzýva, aby stratégia EÚ v oblasti boja proti chudobe zahŕňala primerané a cielené opatrenia, ktoré posilnia a doplnia úsilie o spravodlivú transformáciu a zabezpečia komplexný prístup k riešeniu sociálnych a hospodárskych nerovností; naliehavo vyzýva Komisiu, aby vo VFR na roky 2028 – 2034 vyčlenila dostatočné finančné prostriedky na investície do podpory ľudí počas týchto transformácií s osobitným dôrazom na domácnosti s nízkymi príjmami;</w:t>
      </w:r>
    </w:p>
    <w:p w14:paraId="520CEED6" w14:textId="041933FA" w:rsidR="00EF79E1" w:rsidRPr="00F94329" w:rsidRDefault="00B70A7A" w:rsidP="004F04AD">
      <w:pPr>
        <w:spacing w:after="240"/>
        <w:ind w:left="567" w:hanging="567"/>
        <w:rPr>
          <w:bCs/>
          <w:iCs/>
          <w:szCs w:val="24"/>
        </w:rPr>
      </w:pPr>
      <w:r w:rsidRPr="00F94329">
        <w:t>45</w:t>
      </w:r>
      <w:r w:rsidR="00EF79E1" w:rsidRPr="00F94329">
        <w:t>.</w:t>
      </w:r>
      <w:r w:rsidR="00EF79E1" w:rsidRPr="00F94329">
        <w:tab/>
        <w:t xml:space="preserve">zdôrazňuje, že ľudia žijúci vo vidieckych oblastiach, vzdialených komunitách a oblastiach s nízkou hustotou verejných služieb sú zraniteľnejší voči upadnutiu do chudoby a sociálnemu vylúčeniu z dôvodu nedostatku pracovných príležitostí, verejných služieb (vrátane vzdelávania a verejnej dopravy), digitálnej </w:t>
      </w:r>
      <w:proofErr w:type="spellStart"/>
      <w:r w:rsidR="00EF79E1" w:rsidRPr="00F94329">
        <w:t>pripojiteľnosti</w:t>
      </w:r>
      <w:proofErr w:type="spellEnd"/>
      <w:r w:rsidR="00EF79E1" w:rsidRPr="00F94329">
        <w:t xml:space="preserve"> a vysokých cien energie a dopravy; žiada, aby sa v stratégii v oblasti boja proti chudobe zohľadnili osobitné potreby ľudí žijúcich v týchto oblastiach;</w:t>
      </w:r>
    </w:p>
    <w:p w14:paraId="5533572A" w14:textId="77777777" w:rsidR="00EF79E1" w:rsidRPr="00F94329" w:rsidRDefault="00EF79E1" w:rsidP="00EF79E1">
      <w:pPr>
        <w:spacing w:after="240"/>
        <w:ind w:left="567" w:hanging="567"/>
        <w:rPr>
          <w:b/>
          <w:i/>
        </w:rPr>
      </w:pPr>
      <w:r w:rsidRPr="00F94329">
        <w:rPr>
          <w:b/>
          <w:i/>
        </w:rPr>
        <w:t>Stratégia, ktorej jadrom je chudoba detí</w:t>
      </w:r>
    </w:p>
    <w:p w14:paraId="2DA3D4C7" w14:textId="55EBBB09" w:rsidR="00EF79E1" w:rsidRPr="00F94329" w:rsidRDefault="00B70A7A" w:rsidP="00EF79E1">
      <w:pPr>
        <w:spacing w:after="240"/>
        <w:ind w:left="567" w:hanging="567"/>
      </w:pPr>
      <w:r w:rsidRPr="00F94329">
        <w:lastRenderedPageBreak/>
        <w:t>46</w:t>
      </w:r>
      <w:r w:rsidR="00EF79E1" w:rsidRPr="00F94329">
        <w:t>.</w:t>
      </w:r>
      <w:r w:rsidR="00EF79E1" w:rsidRPr="00F94329">
        <w:tab/>
        <w:t>vyjadruje poľutovanie nad tým, že počet detí ohrozených chudobou a sociálnym vylúčením sa zvýšil; vyzýva Komisiu, aby zabezpečila, že stratégia v oblasti boja proti chudobe bude aktívne bojovať proti chudobe detí prostredníctvom prístupu založeného na životnom cykle, keďže prvé roky života detí majú zásadný význam pre ich telesný, duševný, kognitívny, sociálny a emocionálny rozvoj a pre ich celoživotné naplnenie, aby sa prelomil cyklus medzigeneračnej chudoby;</w:t>
      </w:r>
    </w:p>
    <w:p w14:paraId="2C004C55" w14:textId="4F733178" w:rsidR="00C40081" w:rsidRPr="00F94329" w:rsidRDefault="00C40081" w:rsidP="00EF79E1">
      <w:pPr>
        <w:spacing w:after="240"/>
        <w:ind w:left="567" w:hanging="567"/>
        <w:rPr>
          <w:bCs/>
          <w:iCs/>
        </w:rPr>
      </w:pPr>
      <w:r w:rsidRPr="00F94329">
        <w:rPr>
          <w:bCs/>
          <w:iCs/>
        </w:rPr>
        <w:t>47.</w:t>
      </w:r>
      <w:r w:rsidRPr="00F94329">
        <w:rPr>
          <w:bCs/>
          <w:iCs/>
        </w:rPr>
        <w:tab/>
        <w:t xml:space="preserve">pripomína záväzok predsedníčky Komisie </w:t>
      </w:r>
      <w:proofErr w:type="spellStart"/>
      <w:r w:rsidRPr="00F94329">
        <w:rPr>
          <w:bCs/>
          <w:iCs/>
        </w:rPr>
        <w:t>Ursuly</w:t>
      </w:r>
      <w:proofErr w:type="spellEnd"/>
      <w:r w:rsidRPr="00F94329">
        <w:rPr>
          <w:bCs/>
          <w:iCs/>
        </w:rPr>
        <w:t xml:space="preserve"> von der </w:t>
      </w:r>
      <w:proofErr w:type="spellStart"/>
      <w:r w:rsidRPr="00F94329">
        <w:rPr>
          <w:bCs/>
          <w:iCs/>
        </w:rPr>
        <w:t>Leyenovej</w:t>
      </w:r>
      <w:proofErr w:type="spellEnd"/>
      <w:r w:rsidRPr="00F94329">
        <w:rPr>
          <w:bCs/>
          <w:iCs/>
        </w:rPr>
        <w:t xml:space="preserve"> z roku 2019, a to zabezpečiť, aby každé dieťa v Európe ohrozené chudobou alebo sociálnym vylúčením malo prístup k </w:t>
      </w:r>
      <w:proofErr w:type="spellStart"/>
      <w:r w:rsidRPr="00F94329">
        <w:rPr>
          <w:bCs/>
          <w:iCs/>
        </w:rPr>
        <w:t>najzákladnejším</w:t>
      </w:r>
      <w:proofErr w:type="spellEnd"/>
      <w:r w:rsidRPr="00F94329">
        <w:rPr>
          <w:bCs/>
          <w:iCs/>
        </w:rPr>
        <w:t xml:space="preserve"> právam, ako je zdravotná starostlivosť a vzdelanie, po ktorom v roku 2021 nasledovalo prijatie odporúčania Rady, ktorým sa zriaďuje Európska záruka pre deti; zdôrazňuje, že ciele Európskej záruky pre deti nemožno dosiahnuť bez ambiciózneho osobitného rozpočtu na úrovni EÚ a na vnútroštátnej úrovni; v tejto súvislosti opakuje svoju výzvu na vyčlenenie značného osobitného rozpočtu vo výške najmenej 20 miliárd EUR na Európsku záruku pre deti; zdôrazňuje, že je naliehavo potrebné, aby sa tento osobitný rozpočet vyčlenil v budúcom viacročnom finančnom rámci s cieľom reagovať na rastúci problém chudoby detí a sociálneho vylúčenia;</w:t>
      </w:r>
    </w:p>
    <w:p w14:paraId="0126AD10" w14:textId="77777777" w:rsidR="00EF79E1" w:rsidRPr="00F94329" w:rsidRDefault="00EF79E1" w:rsidP="00EF79E1">
      <w:pPr>
        <w:spacing w:after="240"/>
        <w:ind w:left="567" w:hanging="567"/>
      </w:pPr>
      <w:r w:rsidRPr="00F94329">
        <w:t>48.</w:t>
      </w:r>
      <w:r w:rsidRPr="00F94329">
        <w:tab/>
        <w:t>vyzýva Komisiu, aby podporila členské štáty pri bezodkladnom posilnení a plnom vykonaní Európskej záruky pre deti s cieľom zabezpečiť všetkým deťom v núdzi prístup k účinnej a bezplatnej zdravotnej starostlivosti, vzdelávaniu, vzdelávaniu a starostlivosti v ranom detstve, ako aj účinný prístup k primeranému bývaniu a zdravej výžive; v tejto súvislosti zdôrazňuje význam účinného a všeobecného prístupu k cenovo dostupnému školskému stravovaniu; zdôrazňuje ústrednú úlohu Európskej záruky pre deti v boji proti chudobe a sociálnemu vylúčeniu detí a odporúča náležitú koordináciu a prepojenie medzi týmto nástrojom a stratégiou v oblasti boja proti chudobe; zdôrazňuje význam jej úplného a včasného vykonávania členskými štátmi; vyzýva Komisiu a členské štáty, aby sprístupnili a v plnej miere využívali všetky zdroje vrátane ESF+ a Mechanizmu na podporu obnovy a odolnosti na účinné vykonávanie Európskej záruky pre deti a aby zároveň zabezpečili zvýšenie finančných prostriedkov na podporu začlenenia do vzdelávania;</w:t>
      </w:r>
    </w:p>
    <w:p w14:paraId="5D343ECC" w14:textId="113DA356" w:rsidR="00F11C87" w:rsidRPr="00F94329" w:rsidRDefault="00B70A7A" w:rsidP="00EF79E1">
      <w:pPr>
        <w:spacing w:after="240"/>
        <w:ind w:left="567" w:hanging="567"/>
        <w:rPr>
          <w:bCs/>
          <w:iCs/>
        </w:rPr>
      </w:pPr>
      <w:r w:rsidRPr="00F94329">
        <w:rPr>
          <w:bCs/>
          <w:iCs/>
        </w:rPr>
        <w:t>49</w:t>
      </w:r>
      <w:r w:rsidR="00F11C87" w:rsidRPr="00F94329">
        <w:rPr>
          <w:bCs/>
          <w:iCs/>
        </w:rPr>
        <w:t>.</w:t>
      </w:r>
      <w:r w:rsidR="00F11C87" w:rsidRPr="00F94329">
        <w:rPr>
          <w:bCs/>
          <w:iCs/>
        </w:rPr>
        <w:tab/>
        <w:t>víta nedávnu aktualizáciu monitorovacieho rámca pre Európsku záruku pre deti</w:t>
      </w:r>
      <w:r w:rsidR="00F11C87" w:rsidRPr="00F94329">
        <w:rPr>
          <w:rStyle w:val="FootnoteReference"/>
          <w:bCs/>
          <w:iCs/>
        </w:rPr>
        <w:footnoteReference w:id="60"/>
      </w:r>
      <w:r w:rsidR="00F11C87" w:rsidRPr="00F94329">
        <w:rPr>
          <w:bCs/>
          <w:iCs/>
        </w:rPr>
        <w:t xml:space="preserve"> a zahrnutie nových ukazovateľov na zlepšenie účinnosti monitorovania pokroku pri vykonávaní tohto nástroja v členských štátoch do tohto rámca; zdôrazňuje dôležitú úlohu systémov zberu a monitorovania údajov pri pochopení prekážok, ktorým čelia zraniteľné deti, a pri umožnení prispôsobených intervencií a prideľovania zdrojov; vyzýva Výbor pre sociálnu ochranu, aby pokračoval v práci na zlepšení monitorovacieho rámca s cieľom zachovať jeho relevantnosť a odstrániť pretrvávajúce nedostatky v údajoch, a členské štáty, aby tento spoločný monitorovací rámec využívali a zároveň ho prispôsobili svojim špecifickým podmienkam, pokiaľ ide o chudobu detí;</w:t>
      </w:r>
    </w:p>
    <w:p w14:paraId="43C9FF53" w14:textId="04AFCC73" w:rsidR="00EF79E1" w:rsidRPr="00F94329" w:rsidRDefault="00B70A7A" w:rsidP="00EF79E1">
      <w:pPr>
        <w:spacing w:after="240"/>
        <w:ind w:left="567" w:hanging="567"/>
        <w:rPr>
          <w:bCs/>
          <w:iCs/>
        </w:rPr>
      </w:pPr>
      <w:r w:rsidRPr="00F94329">
        <w:t>50</w:t>
      </w:r>
      <w:r w:rsidR="00EF79E1" w:rsidRPr="00F94329">
        <w:t>.</w:t>
      </w:r>
      <w:r w:rsidR="00EF79E1" w:rsidRPr="00F94329">
        <w:tab/>
        <w:t xml:space="preserve">zdôrazňuje význam mimoškolskej starostlivosti a boja proti predčasnému ukončeniu školskej dochádzky; domnieva sa, že stratégia v oblasti boja proti chudobe je </w:t>
      </w:r>
      <w:r w:rsidR="00EF79E1" w:rsidRPr="00F94329">
        <w:lastRenderedPageBreak/>
        <w:t>príležitosťou na podporu zlepšenia kvality služieb vzdelávania a starostlivosti v ranom detstve prostredníctvom primeraných finančných a ľudských zdrojov, odbornej prípravy zamestnancov, zlepšených systémov včasného varovania a opatrení na hodnotenie a neustále zlepšovanie pedagogickej kvality, ako je gramotnosť a matematická gramotnosť, s cieľom zabezpečiť celkový rozvoj detí; zdôrazňuje, že je dôležité odstrániť pretrvávajúce rozdiely vo funkčnej gramotnosti a matematickej gramotnosti prostredníctvom cielených intervencií vo formálnom a neformálnom vzdelávacom prostredí s cieľom znížiť významné prekážky v prekonávaní chudoby;</w:t>
      </w:r>
    </w:p>
    <w:p w14:paraId="3754FC0E" w14:textId="0B7616F1" w:rsidR="00EF79E1" w:rsidRPr="00F94329" w:rsidRDefault="00B70A7A" w:rsidP="00EF79E1">
      <w:pPr>
        <w:spacing w:after="240"/>
        <w:ind w:left="567" w:hanging="567"/>
        <w:rPr>
          <w:bCs/>
          <w:iCs/>
        </w:rPr>
      </w:pPr>
      <w:r w:rsidRPr="00F94329">
        <w:t>51</w:t>
      </w:r>
      <w:r w:rsidR="00EF79E1" w:rsidRPr="00F94329">
        <w:t>.</w:t>
      </w:r>
      <w:r w:rsidR="00EF79E1" w:rsidRPr="00F94329">
        <w:tab/>
        <w:t xml:space="preserve">vyzýva Komisiu, aby zabezpečila, že </w:t>
      </w:r>
      <w:r w:rsidR="008A11C3" w:rsidRPr="00F94329">
        <w:t xml:space="preserve">na Európsku záruku </w:t>
      </w:r>
      <w:r w:rsidR="00EF79E1" w:rsidRPr="00F94329">
        <w:t xml:space="preserve">pre deti </w:t>
      </w:r>
      <w:r w:rsidR="008A11C3" w:rsidRPr="00F94329">
        <w:t xml:space="preserve">sa pridelí značný osobitný </w:t>
      </w:r>
      <w:r w:rsidR="00EF79E1" w:rsidRPr="00F94329">
        <w:t>rozpočet, ktorý sa bude vykonávať prostredníctvom ESF+, s cieľom reagovať na rastúce výzvy spojené s chudobou a sociálnym vylúčením detí, a aby členské štáty vyčlenili aspoň 5 % finančných prostriedkov z ESF+ na konkrétne projekty a štrukturálne investície na boj proti chudobe detí, pričom aspoň 10 % by sa malo vyčleniť pre členské štáty s mierou chudoby a sociálneho vylúčenia detí presahujúcou priemer EÚ; zdôrazňuje, že táto investícia do budúcej generácie je okrem zabezpečenia blaha detí aj rozumnou investíciou, ktorá by zabránila budúcim spoločenským nákladom</w:t>
      </w:r>
      <w:r w:rsidR="00EF79E1" w:rsidRPr="00F94329">
        <w:rPr>
          <w:rStyle w:val="FootnoteReference"/>
        </w:rPr>
        <w:footnoteReference w:id="61"/>
      </w:r>
      <w:r w:rsidR="00EF79E1" w:rsidRPr="00F94329">
        <w:t>; zdôrazňuje, že využívanie týchto prostriedkov by malo byť transparentné a malo by si vyžadovať zapojenie sociálnych organizácií do ich plánovania, realizácie a hodnotenia;</w:t>
      </w:r>
    </w:p>
    <w:p w14:paraId="52566F6A" w14:textId="4C5ADC97" w:rsidR="00EF79E1" w:rsidRPr="00F94329" w:rsidRDefault="00672B7D" w:rsidP="00EF79E1">
      <w:pPr>
        <w:pStyle w:val="NormalHanging12a"/>
        <w:rPr>
          <w:bCs/>
          <w:iCs/>
        </w:rPr>
      </w:pPr>
      <w:r w:rsidRPr="00F94329">
        <w:t>52</w:t>
      </w:r>
      <w:r w:rsidR="00EF79E1" w:rsidRPr="00F94329">
        <w:t>.</w:t>
      </w:r>
      <w:r w:rsidR="00EF79E1" w:rsidRPr="00F94329">
        <w:tab/>
        <w:t>opätovne vyzýva Komisiu, aby v rámci európskeho semestra a odporúčaní pre jednotlivé krajiny pozorne monitorovala vykonávanie Európskej záruky pre deti vo všetkých členských štátoch; domnieva sa, že odporúčania pre jednotlivé krajiny by mali odrážať dodržiavanie rozpočtových požiadaviek členských štátov, pokiaľ ide o minimálnu výšku prostriedkov určených na boj proti chudobe detí, ktorá je stanovená v nariadení o ESF+;</w:t>
      </w:r>
    </w:p>
    <w:p w14:paraId="58FD168A" w14:textId="54CD59CE" w:rsidR="00EF79E1" w:rsidRPr="00F94329" w:rsidRDefault="00672B7D" w:rsidP="00EF79E1">
      <w:pPr>
        <w:spacing w:after="240"/>
        <w:ind w:left="567" w:hanging="567"/>
        <w:rPr>
          <w:bCs/>
          <w:iCs/>
        </w:rPr>
      </w:pPr>
      <w:r w:rsidRPr="00F94329">
        <w:t>53</w:t>
      </w:r>
      <w:r w:rsidR="00EF79E1" w:rsidRPr="00F94329">
        <w:t>.</w:t>
      </w:r>
      <w:r w:rsidR="00EF79E1" w:rsidRPr="00F94329">
        <w:tab/>
        <w:t>naliehavo vyzýva členské štáty, aby zabezpečili poskytovanie univerzálnej a kvalitnej starostlivosti o deti dostupnej pre všetkých s cieľom podporiť vzdelávanie a starostlivosť v ranom detstve ako kľúčovú hnaciu silu pri prekonávaní cyklu chudoby a zvyšovaní účasti rodičov na trhu práce, pričom uznáva, že zodpovednosť za starostlivosť o deti nesú v nepomerne väčšej miere ženy;</w:t>
      </w:r>
    </w:p>
    <w:p w14:paraId="00568E98" w14:textId="64FB2294" w:rsidR="00EF79E1" w:rsidRPr="00F94329" w:rsidRDefault="00672B7D" w:rsidP="00EF79E1">
      <w:pPr>
        <w:spacing w:after="240"/>
        <w:ind w:left="567" w:hanging="567"/>
        <w:rPr>
          <w:bCs/>
          <w:iCs/>
        </w:rPr>
      </w:pPr>
      <w:r w:rsidRPr="00F94329">
        <w:t>54</w:t>
      </w:r>
      <w:r w:rsidR="00EF79E1" w:rsidRPr="00F94329">
        <w:t>.</w:t>
      </w:r>
      <w:r w:rsidR="00EF79E1" w:rsidRPr="00F94329">
        <w:tab/>
        <w:t>vyzýva členské štáty, aby zabezpečili orientáciu svojich systémov sociálnej ochrany na deti a posilnili ich poskytovaním osobitných výhod pre deti v núdzi na podporu ich rozvoja a blahobytu, ako sú prídavky na deti, školské stravovanie a programy na zníženie nákladov na kultúrne, športové, voľnočasové a mimoškolské aktivity;</w:t>
      </w:r>
    </w:p>
    <w:p w14:paraId="13A90442" w14:textId="116A7371" w:rsidR="00EF79E1" w:rsidRPr="00F94329" w:rsidRDefault="00672B7D" w:rsidP="00EF79E1">
      <w:pPr>
        <w:spacing w:after="240"/>
        <w:ind w:left="567" w:hanging="567"/>
      </w:pPr>
      <w:r w:rsidRPr="00F94329">
        <w:t>55</w:t>
      </w:r>
      <w:r w:rsidR="00EF79E1" w:rsidRPr="00F94329">
        <w:t>.</w:t>
      </w:r>
      <w:r w:rsidR="00EF79E1" w:rsidRPr="00F94329">
        <w:tab/>
        <w:t xml:space="preserve">zdôrazňuje, že deti postihnuté chudobou a sociálnym vylúčením čelia ťažkostiam v rôznych oblastiach svojho vývoja; v tejto súvislosti zdôrazňuje význam </w:t>
      </w:r>
      <w:proofErr w:type="spellStart"/>
      <w:r w:rsidR="00EF79E1" w:rsidRPr="00F94329">
        <w:t>multisektorového</w:t>
      </w:r>
      <w:proofErr w:type="spellEnd"/>
      <w:r w:rsidR="00EF79E1" w:rsidRPr="00F94329">
        <w:t xml:space="preserve"> prístupu, v rámci ktorého všetky príslušné zainteresované strany spolupracujú na vytvorení integrovanej stratégie na identifikáciu ťažkostí a boj proti nerovnostiam v detstve, pričom poskytujú služby na ochranu detí a podporu rodiny; zdôrazňuje, že niektoré deti a ich rodiny postihnuté chudobou môžu potrebovať osobitnú podporu, napríklad od logopédov, </w:t>
      </w:r>
      <w:proofErr w:type="spellStart"/>
      <w:r w:rsidR="00EF79E1" w:rsidRPr="00F94329">
        <w:t>oftalmológov</w:t>
      </w:r>
      <w:proofErr w:type="spellEnd"/>
      <w:r w:rsidR="00EF79E1" w:rsidRPr="00F94329">
        <w:t xml:space="preserve">, psychológov, </w:t>
      </w:r>
      <w:proofErr w:type="spellStart"/>
      <w:r w:rsidR="00EF79E1" w:rsidRPr="00F94329">
        <w:t>ergoterapeutov</w:t>
      </w:r>
      <w:proofErr w:type="spellEnd"/>
      <w:r w:rsidR="00EF79E1" w:rsidRPr="00F94329">
        <w:t xml:space="preserve"> a odborníkov na výživu; vyzýva, aby stratégia v oblasti boja proti chudobe aktívne podporovala partnerstvá medzi vzdelávacími, zdravotnými a sociálnymi službami s </w:t>
      </w:r>
      <w:r w:rsidR="00EF79E1" w:rsidRPr="00F94329">
        <w:lastRenderedPageBreak/>
        <w:t>cieľom uľahčiť prístup k starostlivosti a prenos informácií medzi službami s cieľom zlepšiť integrované mechanizmy podpory a koordinácie pre deti v núdzi;</w:t>
      </w:r>
    </w:p>
    <w:p w14:paraId="561523CE" w14:textId="3BDB6A34" w:rsidR="00EF79E1" w:rsidRPr="00F94329" w:rsidRDefault="00672B7D" w:rsidP="00EF79E1">
      <w:pPr>
        <w:spacing w:after="240"/>
        <w:ind w:left="567" w:hanging="567"/>
      </w:pPr>
      <w:r w:rsidRPr="00F94329">
        <w:t>56</w:t>
      </w:r>
      <w:r w:rsidR="00EF79E1" w:rsidRPr="00F94329">
        <w:t>.</w:t>
      </w:r>
      <w:r w:rsidR="00EF79E1" w:rsidRPr="00F94329">
        <w:tab/>
        <w:t>vyzýva Komisiu a členské štáty, aby zabezpečili právo každého dieťaťa na rodinný život, čo znamená, že chudoba, nestabilná situácia v oblasti bývania alebo nedostatočný prístup k primeraným verejným službám sa nebudú používať ako jediný dôvod na umiestnenie detí do ústavnej starostlivosti; odporúča, aby členské štáty vypracovali vnútroštátne stratégie prevencie a proaktívne sociálne politiky s cieľom brániť oddeľovaniu detí od ich rodinného prostredia; vyzýva členské štáty, aby zabezpečili, že k umiestneniu detí a mladých ľudí do ústavnej starostlivosti sa bude pristupovať len v krajnom prípade, a aby investovali do systémov bezpečnej náhradnej starostlivosti o deti a mladých ľudí s cieľom uľahčiť im prechod z ústavnej starostlivosti do rodinnej a komunitnej starostlivosti; odporúča, aby členské štáty navrhli a zaviedli monitorovacie mechanizmy na identifikáciu odlúčenia rodín v dôsledku chudoby;</w:t>
      </w:r>
    </w:p>
    <w:p w14:paraId="05BA978E" w14:textId="6B86108C" w:rsidR="007C2913" w:rsidRPr="00F94329" w:rsidRDefault="00672B7D" w:rsidP="00EF79E1">
      <w:pPr>
        <w:spacing w:after="240"/>
        <w:ind w:left="567" w:hanging="567"/>
        <w:rPr>
          <w:bCs/>
          <w:iCs/>
        </w:rPr>
      </w:pPr>
      <w:r w:rsidRPr="00F94329">
        <w:rPr>
          <w:bCs/>
          <w:iCs/>
        </w:rPr>
        <w:t>57</w:t>
      </w:r>
      <w:r w:rsidR="007C2913" w:rsidRPr="00F94329">
        <w:rPr>
          <w:bCs/>
          <w:iCs/>
        </w:rPr>
        <w:t>.</w:t>
      </w:r>
      <w:r w:rsidR="007C2913" w:rsidRPr="00F94329">
        <w:rPr>
          <w:bCs/>
          <w:iCs/>
        </w:rPr>
        <w:tab/>
        <w:t xml:space="preserve">pripomína cieľ EÚ, ktorým je prechod z ústavnej starostlivosti na komunitnú alebo rodinnú starostlivosť; uznáva príležitosť, ktorú poskytuje stratégia v oblasti boja proti chudobe na prepojenie s Európskou zárukou pre deti, najmä s opatreniami na podporu cieľovej skupiny detí v ústavnej starostlivosti; vyzýva členské štáty, aby v plnej miere využívali ESF+, ako aj ďalšie príslušné európske a vnútroštátne fondy na dokončenie procesu </w:t>
      </w:r>
      <w:proofErr w:type="spellStart"/>
      <w:r w:rsidR="007C2913" w:rsidRPr="00F94329">
        <w:rPr>
          <w:bCs/>
          <w:iCs/>
        </w:rPr>
        <w:t>deinštitucionalizácie</w:t>
      </w:r>
      <w:proofErr w:type="spellEnd"/>
      <w:r w:rsidR="007C2913" w:rsidRPr="00F94329">
        <w:rPr>
          <w:bCs/>
          <w:iCs/>
        </w:rPr>
        <w:t xml:space="preserve"> s cieľom zabezpečiť, aby deti mohli žiť v rodinnom alebo komunitnom prostredí;</w:t>
      </w:r>
    </w:p>
    <w:p w14:paraId="040B7727" w14:textId="1135CBE4" w:rsidR="00EF79E1" w:rsidRPr="00F94329" w:rsidRDefault="00672B7D" w:rsidP="00EF79E1">
      <w:pPr>
        <w:spacing w:after="240"/>
        <w:ind w:left="567" w:hanging="567"/>
        <w:rPr>
          <w:bCs/>
          <w:iCs/>
        </w:rPr>
      </w:pPr>
      <w:r w:rsidRPr="00F94329">
        <w:t>58</w:t>
      </w:r>
      <w:r w:rsidR="00EF79E1" w:rsidRPr="00F94329">
        <w:t>.</w:t>
      </w:r>
      <w:r w:rsidR="00EF79E1" w:rsidRPr="00F94329">
        <w:tab/>
        <w:t>odsudzuje všetky formy násilia, zneužívania, vykorisťovania a zanedbávania detí; vyzýva Komisiu a členské štáty, aby zabezpečili investície do systémov ochrany detí vrátane riešenia násilia na deťoch a medzi nimi, napríklad kybernetického násilia a šikanovania, najmä ak sú založené na sociálno-ekonomických dôvodoch a týkajú sa zraniteľných detí, s cieľom podporiť výmenu najlepších postupov v tejto oblasti v záujme odstránenia násilia a obťažovania;</w:t>
      </w:r>
    </w:p>
    <w:p w14:paraId="46E6CCA3" w14:textId="77777777" w:rsidR="00EF79E1" w:rsidRPr="00F94329" w:rsidRDefault="00EF79E1" w:rsidP="00EF79E1">
      <w:pPr>
        <w:spacing w:after="240"/>
        <w:ind w:left="567" w:hanging="567"/>
        <w:rPr>
          <w:b/>
          <w:bCs/>
          <w:i/>
          <w:iCs/>
        </w:rPr>
      </w:pPr>
      <w:r w:rsidRPr="00F94329">
        <w:rPr>
          <w:b/>
          <w:i/>
        </w:rPr>
        <w:t>Boj proti chudobe zvýšením demokratickej účasti</w:t>
      </w:r>
    </w:p>
    <w:p w14:paraId="1F456F45" w14:textId="57DB9536" w:rsidR="00EF79E1" w:rsidRPr="00F94329" w:rsidRDefault="00672B7D" w:rsidP="00EF79E1">
      <w:pPr>
        <w:spacing w:after="240"/>
        <w:ind w:left="567" w:hanging="567"/>
      </w:pPr>
      <w:r w:rsidRPr="00F94329">
        <w:t>59</w:t>
      </w:r>
      <w:r w:rsidR="00EF79E1" w:rsidRPr="00F94329">
        <w:t>.</w:t>
      </w:r>
      <w:r w:rsidR="00EF79E1" w:rsidRPr="00F94329">
        <w:tab/>
        <w:t>vyzýva Komisiu a členské štáty, aby zabezpečili primerané, účinné a transparentné mechanizmy na uľahčenie zmysluplnej a nepretržitej účasti ľudí so skúsenosťami so životom v chudobe vo všetkých fázach tvorby politiky, a to aj pri navrhovaní, vykonávaní a hodnotení politík týkajúcich sa ľudí žijúcich v chudobe, spolu s metodikou a budovaním kapacít, ktoré by takúto účasť umožnili, čo povedie k spoločnej tvorbe, a nielen konzultácii v súlade so zásadou „nič o nás bez nás“;</w:t>
      </w:r>
    </w:p>
    <w:p w14:paraId="45CA6CAD" w14:textId="1DF818FA" w:rsidR="00EF79E1" w:rsidRPr="00F94329" w:rsidRDefault="00672B7D" w:rsidP="00EF79E1">
      <w:pPr>
        <w:spacing w:after="240"/>
        <w:ind w:left="567" w:hanging="567"/>
      </w:pPr>
      <w:r w:rsidRPr="00F94329">
        <w:t>60</w:t>
      </w:r>
      <w:r w:rsidR="00EF79E1" w:rsidRPr="00F94329">
        <w:t>.</w:t>
      </w:r>
      <w:r w:rsidR="00EF79E1" w:rsidRPr="00F94329">
        <w:tab/>
        <w:t>odporúča, aby sa konala výročná konferencia, ktorej cieľom bude posúdiť vykonávanie stratégie v oblasti boja proti chudobe, so širokým a rôznorodým zložením vrátane ľudí so skúsenosťami so životom v chudobe, a najmä žien; zdôrazňuje, že konferencia by mala prispieť k formálnemu monitorovaniu stratégie v oblasti boja proti chudobe zo strany EÚ tým, že poskytne priestor na preskúmanie pokroku na základe jasných kritérií a ukazovateľov; v tejto súvislosti žiada, aby sa aktívne podporovala priama účasť ľudí so skúsenosťami so životom v chudobe a aby sa uznala ako nevyhnutná na hodnotenie skutočného vplyvu stratégie;</w:t>
      </w:r>
    </w:p>
    <w:p w14:paraId="01B8150C" w14:textId="51E2F8EC" w:rsidR="00EF79E1" w:rsidRPr="00F94329" w:rsidRDefault="00672B7D" w:rsidP="00EF79E1">
      <w:pPr>
        <w:spacing w:after="240"/>
        <w:ind w:left="567" w:hanging="567"/>
        <w:rPr>
          <w:bCs/>
          <w:iCs/>
        </w:rPr>
      </w:pPr>
      <w:r w:rsidRPr="00F94329">
        <w:t>61</w:t>
      </w:r>
      <w:r w:rsidR="00EF79E1" w:rsidRPr="00F94329">
        <w:t>.</w:t>
      </w:r>
      <w:r w:rsidR="00EF79E1" w:rsidRPr="00F94329">
        <w:tab/>
        <w:t xml:space="preserve">uznáva význam rôznych sociálnych organizácií vrátane neziskových organizácií zapojených do boja proti chudobe a predchádzania chudobe a úlohu, ktorú tieto organizácie zohrávajú v boji proti chudobe, a zdôrazňuje potrebu zmysluplne ich </w:t>
      </w:r>
      <w:r w:rsidR="00EF79E1" w:rsidRPr="00F94329">
        <w:lastRenderedPageBreak/>
        <w:t>zapojiť a posilniť zdroje vyčlenené na podporu ich práce;</w:t>
      </w:r>
    </w:p>
    <w:p w14:paraId="0E0C2BEE" w14:textId="77777777" w:rsidR="00EF79E1" w:rsidRPr="00F94329" w:rsidRDefault="00EF79E1" w:rsidP="00EF79E1">
      <w:pPr>
        <w:spacing w:after="240"/>
        <w:ind w:left="567" w:hanging="567"/>
        <w:rPr>
          <w:b/>
          <w:bCs/>
          <w:i/>
          <w:iCs/>
        </w:rPr>
      </w:pPr>
      <w:r w:rsidRPr="00F94329">
        <w:rPr>
          <w:b/>
          <w:i/>
        </w:rPr>
        <w:t>Riadna inštitucionálna koordinácia, riadenie</w:t>
      </w:r>
    </w:p>
    <w:p w14:paraId="03FDF048" w14:textId="0B74683A" w:rsidR="00EF79E1" w:rsidRPr="00F94329" w:rsidRDefault="00672B7D" w:rsidP="00EF79E1">
      <w:pPr>
        <w:spacing w:after="240"/>
        <w:ind w:left="567" w:hanging="567"/>
      </w:pPr>
      <w:r w:rsidRPr="00F94329">
        <w:t>62</w:t>
      </w:r>
      <w:r w:rsidR="00EF79E1" w:rsidRPr="00F94329">
        <w:t>.</w:t>
      </w:r>
      <w:r w:rsidR="00EF79E1" w:rsidRPr="00F94329">
        <w:tab/>
        <w:t>zdôrazňuje, že úspech stratégie v oblasti boja proti chudobe bude závisieť aj od prierezového prístupu a primeraného financovania, ako aj riadnej horizontálnej a viacúrovňovej koordinácie medzi všetkými úrovňami riadenia a rozhodovania zapojenými do jej realizácie; opakuje, že stratégiu v oblasti boja proti chudobe treba komplexne začleniť do všetkých príslušných politík, aby sa zabezpečila konzistentnosť, vplyv a dlhodobá udržateľnosť;</w:t>
      </w:r>
    </w:p>
    <w:p w14:paraId="3FF7A1B8" w14:textId="0BCF4188" w:rsidR="00EF79E1" w:rsidRPr="00F94329" w:rsidRDefault="00672B7D" w:rsidP="00EF79E1">
      <w:pPr>
        <w:spacing w:after="240"/>
        <w:ind w:left="567" w:hanging="567"/>
        <w:rPr>
          <w:szCs w:val="24"/>
        </w:rPr>
      </w:pPr>
      <w:r w:rsidRPr="00F94329">
        <w:t>63</w:t>
      </w:r>
      <w:r w:rsidR="00EF79E1" w:rsidRPr="00F94329">
        <w:t>.</w:t>
      </w:r>
      <w:r w:rsidR="00EF79E1" w:rsidRPr="00F94329">
        <w:tab/>
        <w:t>zastáva názor, že by sa mal vhodným spôsobom vymedziť rozsah zodpovednosti na úrovni EÚ, členských štátov a regiónov za dosiahnutie cieľa odstránenia chudoby v súlade so zásadou subsidiarity;</w:t>
      </w:r>
    </w:p>
    <w:p w14:paraId="1A03E617" w14:textId="2911A452" w:rsidR="00EF79E1" w:rsidRPr="00F94329" w:rsidRDefault="00672B7D" w:rsidP="00EF79E1">
      <w:pPr>
        <w:spacing w:after="240"/>
        <w:ind w:left="567" w:hanging="567"/>
      </w:pPr>
      <w:r w:rsidRPr="00F94329">
        <w:t>64</w:t>
      </w:r>
      <w:r w:rsidR="00EF79E1" w:rsidRPr="00F94329">
        <w:t>.</w:t>
      </w:r>
      <w:r w:rsidR="00EF79E1" w:rsidRPr="00F94329">
        <w:tab/>
        <w:t xml:space="preserve">vyzýva Komisiu, aby do stratégie v oblasti boja proti chudobe zaviedla horizontálnu zásadu, podľa ktorej by sa vo všetkých príslušných odvetvových politikách EÚ malo vykonať </w:t>
      </w:r>
      <w:r w:rsidR="00EF79E1" w:rsidRPr="00F94329">
        <w:rPr>
          <w:i/>
          <w:iCs/>
        </w:rPr>
        <w:t xml:space="preserve">ex </w:t>
      </w:r>
      <w:proofErr w:type="spellStart"/>
      <w:r w:rsidR="00EF79E1" w:rsidRPr="00F94329">
        <w:rPr>
          <w:i/>
          <w:iCs/>
        </w:rPr>
        <w:t>ante</w:t>
      </w:r>
      <w:proofErr w:type="spellEnd"/>
      <w:r w:rsidR="00EF79E1" w:rsidRPr="00F94329">
        <w:t xml:space="preserve"> posúdenie vplyvu na chudobu a nerovnosť, a to aj prostredníctvom posúdení distribučného vplyvu</w:t>
      </w:r>
      <w:r w:rsidR="00EF79E1" w:rsidRPr="00F94329">
        <w:rPr>
          <w:rStyle w:val="FootnoteReference"/>
        </w:rPr>
        <w:footnoteReference w:id="62"/>
      </w:r>
      <w:r w:rsidR="00EF79E1" w:rsidRPr="00F94329">
        <w:t xml:space="preserve"> s osobitným dôrazom na vplyv na osoby, ktorým najviac hrozí sociálne vylúčenie a extrémna chudoba;</w:t>
      </w:r>
    </w:p>
    <w:p w14:paraId="229EB675" w14:textId="24D9B42F" w:rsidR="00EF79E1" w:rsidRPr="00F94329" w:rsidRDefault="00672B7D" w:rsidP="00EF79E1">
      <w:pPr>
        <w:spacing w:after="240"/>
        <w:ind w:left="567" w:hanging="567"/>
        <w:rPr>
          <w:bCs/>
          <w:iCs/>
        </w:rPr>
      </w:pPr>
      <w:r w:rsidRPr="00F94329">
        <w:t>65</w:t>
      </w:r>
      <w:r w:rsidR="00EF79E1" w:rsidRPr="00F94329">
        <w:t>.</w:t>
      </w:r>
      <w:r w:rsidR="00EF79E1" w:rsidRPr="00F94329">
        <w:tab/>
        <w:t xml:space="preserve">zdôrazňuje, že je potrebné, aby sa EÚ naďalej zameriavala na boj proti </w:t>
      </w:r>
      <w:proofErr w:type="spellStart"/>
      <w:r w:rsidR="00EF79E1" w:rsidRPr="00F94329">
        <w:t>bezdomovectvu</w:t>
      </w:r>
      <w:proofErr w:type="spellEnd"/>
      <w:r w:rsidR="00EF79E1" w:rsidRPr="00F94329">
        <w:t>, extrémnej chudobe a sociálnemu vylúčeniu prostredníctvom primeranej finančnej podpory, presadzovania vzájomného učenia sa o stratégiách a skúsenostiach členských štátov a zavedenia systematického prístupu k monitorovaniu pokroku a účinnosti prijatých opatrení;</w:t>
      </w:r>
    </w:p>
    <w:p w14:paraId="27C31DDC" w14:textId="77777777" w:rsidR="00EF79E1" w:rsidRPr="00F94329" w:rsidRDefault="00EF79E1" w:rsidP="00EF79E1">
      <w:pPr>
        <w:spacing w:after="240"/>
        <w:ind w:left="567" w:hanging="567"/>
        <w:rPr>
          <w:bCs/>
          <w:iCs/>
        </w:rPr>
      </w:pPr>
      <w:r w:rsidRPr="00F94329">
        <w:t>66.</w:t>
      </w:r>
      <w:r w:rsidRPr="00F94329">
        <w:tab/>
        <w:t xml:space="preserve">pripomína, že ukazovateľ rizika chudoby alebo sociálneho vylúčenia (AROPE) nezahŕňa základné príčiny chudoby, najmä tým, že nezohľadňuje osoby žijúce mimo súkromných domácností, kvalitatívne aspekty chudoby a životné skúsenosti s </w:t>
      </w:r>
      <w:proofErr w:type="spellStart"/>
      <w:r w:rsidRPr="00F94329">
        <w:t>marginalizáciou</w:t>
      </w:r>
      <w:proofErr w:type="spellEnd"/>
      <w:r w:rsidRPr="00F94329">
        <w:t xml:space="preserve">; zdôrazňuje, že chudoba presahuje rámec nedostatočného príjmu alebo hmotnej núdze; vyzýva Výbor pre sociálnu ochranu, aby v spolupráci s príslušnými zainteresovanými stranami obnovil meranie štatistík AROPE s cieľom rozšíriť ho o silnejší, členitejší a </w:t>
      </w:r>
      <w:proofErr w:type="spellStart"/>
      <w:r w:rsidRPr="00F94329">
        <w:t>viacrozmernejší</w:t>
      </w:r>
      <w:proofErr w:type="spellEnd"/>
      <w:r w:rsidRPr="00F94329">
        <w:t xml:space="preserve"> pohľad na chudobu a sociálne vylúčenie;</w:t>
      </w:r>
    </w:p>
    <w:p w14:paraId="035D4483" w14:textId="1DDF681E" w:rsidR="00EF79E1" w:rsidRPr="00F94329" w:rsidRDefault="00EF79E1" w:rsidP="00EF79E1">
      <w:pPr>
        <w:spacing w:after="240"/>
        <w:ind w:left="567" w:hanging="567"/>
      </w:pPr>
      <w:r w:rsidRPr="00F94329">
        <w:t>67.</w:t>
      </w:r>
      <w:r w:rsidRPr="00F94329">
        <w:tab/>
        <w:t xml:space="preserve">zdôrazňuje, že stratégia v oblasti boja proti chudobe prinesie výsledky len vtedy, ak ju bude sprevádzať primerané financovanie na úrovni EÚ a vnútroštátnej úrovni; trvá na tom, že je potrebné zachovať a posilniť politiku súdržnosti, aby sa v rámci budúceho VFR naďalej podporovala hospodárska, sociálna a územná súdržnosť a ďalej sa bojovalo proti asymetriám medzi členskými štátmi a v členských štátoch EÚ; v tejto súvislosti požaduje primerané a účelovo viazané finančné prostriedky na posilnenie politík, ktoré prispievajú k odstráneniu chudoby, vrátane cielenej podpory pre marginalizované a zraniteľné skupiny; v tejto súvislosti zdôrazňuje zásadnú úlohu ESF+ pri podpore sociálneho začlenenia a boji proti chudobe, najmä poskytovaním pomoci najodkázanejším osobám a Európskej záruke pre deti, ako aj Európskeho fondu regionálneho rozvoja (EFRR) a Fondu pre azyl, migráciu a integráciu; zdôrazňuje, že je dôležité optimalizovať využívanie finančných prostriedkov EÚ vrátane Mechanizmu na podporu obnovy a odolnosti na financovanie konkrétnych opatrení na boj proti chudobe, </w:t>
      </w:r>
      <w:r w:rsidRPr="00F94329">
        <w:lastRenderedPageBreak/>
        <w:t xml:space="preserve">ako je cenovo dostupné a energeticky efektívne bývanie, prístup ku kvalitnému vzdelávaniu a starostlivosti v ranom detstve, </w:t>
      </w:r>
      <w:r w:rsidR="00AB4D8B" w:rsidRPr="00F94329">
        <w:t xml:space="preserve">napríklad prostredníctvom školského programu EÚ, </w:t>
      </w:r>
      <w:r w:rsidRPr="00F94329">
        <w:t>dostupná verejná doprava a cielená energetická podpora pre domácnosti s nízkymi príjmami;</w:t>
      </w:r>
      <w:r w:rsidR="00AB4D8B" w:rsidRPr="00F94329">
        <w:t xml:space="preserve"> zdôrazňuje, že treba zabezpečiť vyčlenenie finančných prostriedkov s dostatočnými zdrojmi pre potravinové banky, ktoré poskytujú materiálnu podporu vrátane potravinovej pomoci, aby mali primeranú operačnú kapacitu a schopnosť rýchlo reagovať na rastúcu úroveň potravinovej neistoty a materiálnej deprivácie; zdôrazňuje, že takúto podporu musia dopĺňať sprievodné opatrenia, ktoré podporujú sociálne začlenenie a cesty z chudoby v súlade s pravidlami ESF+;</w:t>
      </w:r>
    </w:p>
    <w:p w14:paraId="2C1A02EC" w14:textId="77777777" w:rsidR="00EF79E1" w:rsidRPr="00F94329" w:rsidRDefault="00EF79E1" w:rsidP="00EF79E1">
      <w:pPr>
        <w:spacing w:after="240"/>
        <w:ind w:left="567" w:hanging="567"/>
        <w:rPr>
          <w:bCs/>
          <w:iCs/>
        </w:rPr>
      </w:pPr>
      <w:r w:rsidRPr="00F94329">
        <w:t>68.</w:t>
      </w:r>
      <w:r w:rsidRPr="00F94329">
        <w:tab/>
        <w:t>pripomína tematické základné podmienky platné pre EFRR, ESF+ a Kohézny fond uvedené v prílohe IV k nariadeniu Európskeho parlamentu (EÚ) 2021/1060</w:t>
      </w:r>
      <w:r w:rsidRPr="00F94329">
        <w:rPr>
          <w:rStyle w:val="FootnoteReference"/>
          <w:bCs/>
          <w:iCs/>
        </w:rPr>
        <w:footnoteReference w:id="63"/>
      </w:r>
      <w:r w:rsidRPr="00F94329">
        <w:t>, ktorým sa stanovujú spoločné ustanovenia pre tieto fondy, najmä základnú podmienku 4.4. s názvom Národný strategický politický rámec pre sociálne začlenenie a znižovanie chudoby; zdôrazňuje, že je dôležité prepojiť stratégiu v oblasti boja proti chudobe a jej financovanie s vopred stanovenými špecifickými cieľmi; vyzýva Komisiu a Radu, aby zabezpečili, že spoločné ustanovenia EFRR a ESF+ budú lepšie odrážať tieto špecifické ciele, a aby stratégiu v oblasti boja proti chudobe, ako aj uplatňovanie hľadiska rodovej rovnosti začlenili do budúceho VFR;</w:t>
      </w:r>
    </w:p>
    <w:p w14:paraId="7CEEED73" w14:textId="77777777" w:rsidR="00EF79E1" w:rsidRPr="00F94329" w:rsidRDefault="00EF79E1" w:rsidP="00EF79E1">
      <w:pPr>
        <w:spacing w:after="240"/>
        <w:ind w:left="567" w:hanging="567"/>
        <w:rPr>
          <w:bCs/>
          <w:iCs/>
        </w:rPr>
      </w:pPr>
      <w:r w:rsidRPr="00F94329">
        <w:t>69.</w:t>
      </w:r>
      <w:r w:rsidRPr="00F94329">
        <w:tab/>
        <w:t>pripomína, že energetika a doprava sú okrem iných prvkov kľúčovými základnými službami, ku ktorým by mal mať prístup každý, a preto trvá na tom, aby sa osobitná pozornosť venovala sociálno-klimatickým plánom, ktoré sú členské štáty povinné vypracovať a vykonávať v rámci Sociálno-klimatického fondu, investovaniu do energetickej efektívnosti, obnovy bývania a prístupnosti a cenovej dostupnosti obnoviteľných zdrojov energie a dopravných systémov; vyzýva členské štáty, aby aktívne zapájali ľudí v zraniteľných situáciách, aby sa podpora mohla účinne dostať k tým, ktorí ju potrebujú najviac; vyzýva členské štáty, aby si vymieňali najlepšie postupy v boji proti energetickej chudobe, ako sú napríklad energetické poukážky a regulácia cien energie;</w:t>
      </w:r>
    </w:p>
    <w:p w14:paraId="75184D2F" w14:textId="77777777" w:rsidR="00EF79E1" w:rsidRPr="00F94329" w:rsidRDefault="00EF79E1" w:rsidP="00EF79E1">
      <w:pPr>
        <w:spacing w:after="240"/>
        <w:ind w:left="567" w:hanging="567"/>
      </w:pPr>
      <w:r w:rsidRPr="00F94329">
        <w:t>70.</w:t>
      </w:r>
      <w:r w:rsidRPr="00F94329">
        <w:tab/>
        <w:t>zdôrazňuje, že finančné prostriedky EÚ sú z dôvodu svojej zložitosti ťažko dostupné na miestnej úrovni a pre organizácie, ktoré majú menej technických zdrojov; zdôrazňuje, že treba zjednodušiť vykonávanie mechanizmov financovania EÚ a opatrenia na poskytovanie týchto finančných prostriedkov konečným príjemcom a vyškoliť zamestnancov príslušných verejných orgánov a organizácií; zdôrazňuje, že podľa nariadenia o ESF+ sa miera spolufinancovania na podporu najodkázanejších osôb musí udržiavať na úrovni rovnajúcej sa alebo podobnej 90 %, čo by malo uľahčiť prístup k tomuto financovaniu pre programy a činnosti určené na pomoc s odstraňovaním chudoby;</w:t>
      </w:r>
    </w:p>
    <w:p w14:paraId="04075D73" w14:textId="2998CA50" w:rsidR="007E3F23" w:rsidRPr="00F94329" w:rsidRDefault="007E3F23" w:rsidP="007E3F23">
      <w:pPr>
        <w:widowControl/>
        <w:spacing w:after="240"/>
        <w:jc w:val="center"/>
        <w:rPr>
          <w:bCs/>
          <w:iCs/>
        </w:rPr>
      </w:pPr>
      <w:r w:rsidRPr="00F94329">
        <w:rPr>
          <w:bCs/>
          <w:iCs/>
        </w:rPr>
        <w:t>°</w:t>
      </w:r>
    </w:p>
    <w:p w14:paraId="4C8DE48F" w14:textId="7A861DBC" w:rsidR="007E3F23" w:rsidRPr="00F94329" w:rsidRDefault="007E3F23" w:rsidP="007E3F23">
      <w:pPr>
        <w:widowControl/>
        <w:spacing w:after="240"/>
        <w:jc w:val="center"/>
        <w:rPr>
          <w:bCs/>
          <w:iCs/>
        </w:rPr>
      </w:pPr>
      <w:r w:rsidRPr="00F94329">
        <w:rPr>
          <w:bCs/>
          <w:iCs/>
        </w:rPr>
        <w:lastRenderedPageBreak/>
        <w:t>°     °</w:t>
      </w:r>
    </w:p>
    <w:p w14:paraId="5DDA3421" w14:textId="4E91A4B9" w:rsidR="00E365E1" w:rsidRPr="00F94329" w:rsidRDefault="00EF79E1" w:rsidP="000F23E2">
      <w:pPr>
        <w:pStyle w:val="NormalHanging12a"/>
      </w:pPr>
      <w:r w:rsidRPr="00F94329">
        <w:t>71.</w:t>
      </w:r>
      <w:r w:rsidRPr="00F94329">
        <w:tab/>
        <w:t>poveruje svoju predsedníčku, aby postúpila toto uznesenie Rade a Komisii.</w:t>
      </w:r>
    </w:p>
    <w:sectPr w:rsidR="00E365E1" w:rsidRPr="00F94329" w:rsidSect="00586BF8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footnotePr>
        <w:numRestart w:val="eachSect"/>
      </w:footnotePr>
      <w:endnotePr>
        <w:numFmt w:val="decimal"/>
      </w:endnotePr>
      <w:pgSz w:w="11906" w:h="16838" w:code="9"/>
      <w:pgMar w:top="1134" w:right="1418" w:bottom="1418" w:left="1418" w:header="1134" w:footer="567" w:gutter="0"/>
      <w:cols w:space="720"/>
      <w:noEndnote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785C515" w14:textId="77777777" w:rsidR="00F92A59" w:rsidRPr="00586BF8" w:rsidRDefault="00F92A59">
      <w:r w:rsidRPr="00586BF8">
        <w:separator/>
      </w:r>
    </w:p>
  </w:endnote>
  <w:endnote w:type="continuationSeparator" w:id="0">
    <w:p w14:paraId="35B6F7F7" w14:textId="77777777" w:rsidR="00F92A59" w:rsidRPr="00586BF8" w:rsidRDefault="00F92A59">
      <w:r w:rsidRPr="00586BF8"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Yu Gothic Light"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DokChampa">
    <w:altName w:val="Leelawadee UI"/>
    <w:charset w:val="DE"/>
    <w:family w:val="swiss"/>
    <w:pitch w:val="variable"/>
    <w:sig w:usb0="83000003" w:usb1="00000000" w:usb2="00000000" w:usb3="00000000" w:csb0="00010001" w:csb1="00000000"/>
  </w:font>
  <w:font w:name="Yu Mincho">
    <w:charset w:val="80"/>
    <w:family w:val="roman"/>
    <w:pitch w:val="variable"/>
    <w:sig w:usb0="800002E7" w:usb1="2AC7FCFF" w:usb2="00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A580402" w14:textId="77777777" w:rsidR="00064002" w:rsidRPr="00586BF8" w:rsidRDefault="00064002"/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1E58BB0" w14:textId="77777777" w:rsidR="00064002" w:rsidRPr="00586BF8" w:rsidRDefault="00064002"/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6D3B77D" w14:textId="77777777" w:rsidR="00064002" w:rsidRPr="00586BF8" w:rsidRDefault="00064002"/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F313FBA" w14:textId="77777777" w:rsidR="00F92A59" w:rsidRPr="00586BF8" w:rsidRDefault="00F92A59">
      <w:r w:rsidRPr="00586BF8">
        <w:separator/>
      </w:r>
    </w:p>
  </w:footnote>
  <w:footnote w:type="continuationSeparator" w:id="0">
    <w:p w14:paraId="312EBB93" w14:textId="77777777" w:rsidR="00F92A59" w:rsidRPr="00586BF8" w:rsidRDefault="00F92A59">
      <w:r w:rsidRPr="00586BF8">
        <w:continuationSeparator/>
      </w:r>
    </w:p>
  </w:footnote>
  <w:footnote w:id="1">
    <w:p w14:paraId="0834B12E" w14:textId="0E8A4751" w:rsidR="00EF79E1" w:rsidRPr="00586BF8" w:rsidRDefault="00EF79E1" w:rsidP="00586BF8">
      <w:pPr>
        <w:pStyle w:val="FootnoteText"/>
        <w:ind w:left="567" w:hanging="567"/>
        <w:rPr>
          <w:sz w:val="24"/>
          <w:lang w:val="sk-SK"/>
        </w:rPr>
      </w:pPr>
      <w:r w:rsidRPr="00586BF8">
        <w:rPr>
          <w:rStyle w:val="FootnoteReference"/>
          <w:sz w:val="24"/>
          <w:lang w:val="sk-SK"/>
        </w:rPr>
        <w:footnoteRef/>
      </w:r>
      <w:r w:rsidR="00586BF8" w:rsidRPr="00586BF8">
        <w:rPr>
          <w:sz w:val="24"/>
          <w:lang w:val="sk-SK"/>
        </w:rPr>
        <w:t xml:space="preserve"> </w:t>
      </w:r>
      <w:r w:rsidR="00586BF8" w:rsidRPr="00586BF8">
        <w:rPr>
          <w:sz w:val="24"/>
          <w:lang w:val="sk-SK"/>
        </w:rPr>
        <w:tab/>
      </w:r>
      <w:r w:rsidRPr="00586BF8">
        <w:rPr>
          <w:sz w:val="24"/>
          <w:lang w:val="sk-SK"/>
        </w:rPr>
        <w:t xml:space="preserve">Sachs, J. D., </w:t>
      </w:r>
      <w:proofErr w:type="spellStart"/>
      <w:r w:rsidRPr="00586BF8">
        <w:rPr>
          <w:sz w:val="24"/>
          <w:lang w:val="sk-SK"/>
        </w:rPr>
        <w:t>Lafortune</w:t>
      </w:r>
      <w:proofErr w:type="spellEnd"/>
      <w:r w:rsidRPr="00586BF8">
        <w:rPr>
          <w:sz w:val="24"/>
          <w:lang w:val="sk-SK"/>
        </w:rPr>
        <w:t xml:space="preserve">, G., </w:t>
      </w:r>
      <w:proofErr w:type="spellStart"/>
      <w:r w:rsidRPr="00586BF8">
        <w:rPr>
          <w:sz w:val="24"/>
          <w:lang w:val="sk-SK"/>
        </w:rPr>
        <w:t>Fuller</w:t>
      </w:r>
      <w:proofErr w:type="spellEnd"/>
      <w:r w:rsidRPr="00586BF8">
        <w:rPr>
          <w:sz w:val="24"/>
          <w:lang w:val="sk-SK"/>
        </w:rPr>
        <w:t xml:space="preserve">, G., </w:t>
      </w:r>
      <w:proofErr w:type="spellStart"/>
      <w:r w:rsidRPr="00586BF8">
        <w:rPr>
          <w:sz w:val="24"/>
          <w:lang w:val="sk-SK"/>
        </w:rPr>
        <w:t>Iablonovski</w:t>
      </w:r>
      <w:proofErr w:type="spellEnd"/>
      <w:r w:rsidRPr="00586BF8">
        <w:rPr>
          <w:sz w:val="24"/>
          <w:lang w:val="sk-SK"/>
        </w:rPr>
        <w:t xml:space="preserve">, G., </w:t>
      </w:r>
      <w:proofErr w:type="spellStart"/>
      <w:r w:rsidRPr="00586BF8">
        <w:rPr>
          <w:i/>
          <w:sz w:val="24"/>
          <w:lang w:val="sk-SK"/>
        </w:rPr>
        <w:t>Sustainable</w:t>
      </w:r>
      <w:proofErr w:type="spellEnd"/>
      <w:r w:rsidRPr="00586BF8">
        <w:rPr>
          <w:i/>
          <w:sz w:val="24"/>
          <w:lang w:val="sk-SK"/>
        </w:rPr>
        <w:t xml:space="preserve"> </w:t>
      </w:r>
      <w:proofErr w:type="spellStart"/>
      <w:r w:rsidRPr="00586BF8">
        <w:rPr>
          <w:i/>
          <w:sz w:val="24"/>
          <w:lang w:val="sk-SK"/>
        </w:rPr>
        <w:t>Development</w:t>
      </w:r>
      <w:proofErr w:type="spellEnd"/>
      <w:r w:rsidRPr="00586BF8">
        <w:rPr>
          <w:i/>
          <w:sz w:val="24"/>
          <w:lang w:val="sk-SK"/>
        </w:rPr>
        <w:t xml:space="preserve"> Report 2025 – </w:t>
      </w:r>
      <w:proofErr w:type="spellStart"/>
      <w:r w:rsidRPr="00586BF8">
        <w:rPr>
          <w:i/>
          <w:sz w:val="24"/>
          <w:lang w:val="sk-SK"/>
        </w:rPr>
        <w:t>Financing</w:t>
      </w:r>
      <w:proofErr w:type="spellEnd"/>
      <w:r w:rsidRPr="00586BF8">
        <w:rPr>
          <w:i/>
          <w:sz w:val="24"/>
          <w:lang w:val="sk-SK"/>
        </w:rPr>
        <w:t xml:space="preserve"> </w:t>
      </w:r>
      <w:proofErr w:type="spellStart"/>
      <w:r w:rsidRPr="00586BF8">
        <w:rPr>
          <w:i/>
          <w:sz w:val="24"/>
          <w:lang w:val="sk-SK"/>
        </w:rPr>
        <w:t>Sustainable</w:t>
      </w:r>
      <w:proofErr w:type="spellEnd"/>
      <w:r w:rsidRPr="00586BF8">
        <w:rPr>
          <w:i/>
          <w:sz w:val="24"/>
          <w:lang w:val="sk-SK"/>
        </w:rPr>
        <w:t xml:space="preserve"> </w:t>
      </w:r>
      <w:proofErr w:type="spellStart"/>
      <w:r w:rsidRPr="00586BF8">
        <w:rPr>
          <w:i/>
          <w:sz w:val="24"/>
          <w:lang w:val="sk-SK"/>
        </w:rPr>
        <w:t>Development</w:t>
      </w:r>
      <w:proofErr w:type="spellEnd"/>
      <w:r w:rsidRPr="00586BF8">
        <w:rPr>
          <w:i/>
          <w:sz w:val="24"/>
          <w:lang w:val="sk-SK"/>
        </w:rPr>
        <w:t xml:space="preserve"> to 2030 and </w:t>
      </w:r>
      <w:proofErr w:type="spellStart"/>
      <w:r w:rsidRPr="00586BF8">
        <w:rPr>
          <w:i/>
          <w:sz w:val="24"/>
          <w:lang w:val="sk-SK"/>
        </w:rPr>
        <w:t>Mid-Century</w:t>
      </w:r>
      <w:proofErr w:type="spellEnd"/>
      <w:r w:rsidRPr="00586BF8">
        <w:rPr>
          <w:sz w:val="24"/>
          <w:lang w:val="sk-SK"/>
        </w:rPr>
        <w:t xml:space="preserve">, Dublin </w:t>
      </w:r>
      <w:proofErr w:type="spellStart"/>
      <w:r w:rsidRPr="00586BF8">
        <w:rPr>
          <w:sz w:val="24"/>
          <w:lang w:val="sk-SK"/>
        </w:rPr>
        <w:t>University</w:t>
      </w:r>
      <w:proofErr w:type="spellEnd"/>
      <w:r w:rsidRPr="00586BF8">
        <w:rPr>
          <w:sz w:val="24"/>
          <w:lang w:val="sk-SK"/>
        </w:rPr>
        <w:t xml:space="preserve"> Press, Dublin, Írsko, 2025.</w:t>
      </w:r>
    </w:p>
  </w:footnote>
  <w:footnote w:id="2">
    <w:p w14:paraId="687DE855" w14:textId="1FAAAD6D" w:rsidR="00EF79E1" w:rsidRPr="00586BF8" w:rsidRDefault="00EF79E1" w:rsidP="00586BF8">
      <w:pPr>
        <w:pStyle w:val="FootnoteText"/>
        <w:ind w:left="567" w:hanging="567"/>
        <w:rPr>
          <w:sz w:val="24"/>
          <w:lang w:val="sk-SK"/>
        </w:rPr>
      </w:pPr>
      <w:r w:rsidRPr="00586BF8">
        <w:rPr>
          <w:rStyle w:val="FootnoteReference"/>
          <w:sz w:val="24"/>
          <w:lang w:val="sk-SK"/>
        </w:rPr>
        <w:footnoteRef/>
      </w:r>
      <w:r w:rsidR="00586BF8" w:rsidRPr="00586BF8">
        <w:rPr>
          <w:sz w:val="24"/>
          <w:lang w:val="sk-SK"/>
        </w:rPr>
        <w:t xml:space="preserve"> </w:t>
      </w:r>
      <w:r w:rsidR="00586BF8" w:rsidRPr="00586BF8">
        <w:rPr>
          <w:sz w:val="24"/>
          <w:lang w:val="sk-SK"/>
        </w:rPr>
        <w:tab/>
      </w:r>
      <w:r w:rsidRPr="00586BF8">
        <w:rPr>
          <w:sz w:val="24"/>
          <w:lang w:val="sk-SK"/>
        </w:rPr>
        <w:t xml:space="preserve">Ú. v. ES L 180, 19.7.2000, s. </w:t>
      </w:r>
      <w:r w:rsidRPr="00586BF8">
        <w:rPr>
          <w:sz w:val="24"/>
          <w:lang w:val="sk-SK"/>
        </w:rPr>
        <w:t>22, ELI: </w:t>
      </w:r>
      <w:hyperlink r:id="rId1" w:tooltip="Umožňuje prístup k tomuto dokumentu prostredníctvom identifikátora URI používaného v rámci ELI." w:history="1">
        <w:r w:rsidRPr="00586BF8">
          <w:rPr>
            <w:rStyle w:val="Hyperlink"/>
            <w:sz w:val="24"/>
            <w:lang w:val="sk-SK"/>
          </w:rPr>
          <w:t>http://data.europa.eu/eli/dir/2000/43/oj</w:t>
        </w:r>
      </w:hyperlink>
      <w:r w:rsidRPr="00586BF8">
        <w:rPr>
          <w:sz w:val="24"/>
          <w:lang w:val="sk-SK"/>
        </w:rPr>
        <w:t>.</w:t>
      </w:r>
    </w:p>
  </w:footnote>
  <w:footnote w:id="3">
    <w:p w14:paraId="4146EEAE" w14:textId="363F5DFB" w:rsidR="00EF79E1" w:rsidRPr="00586BF8" w:rsidRDefault="00EF79E1" w:rsidP="00586BF8">
      <w:pPr>
        <w:pStyle w:val="FootnoteText"/>
        <w:ind w:left="567" w:hanging="567"/>
        <w:rPr>
          <w:sz w:val="24"/>
          <w:lang w:val="sk-SK"/>
        </w:rPr>
      </w:pPr>
      <w:r w:rsidRPr="00586BF8">
        <w:rPr>
          <w:rStyle w:val="FootnoteReference"/>
          <w:sz w:val="24"/>
          <w:lang w:val="sk-SK"/>
        </w:rPr>
        <w:footnoteRef/>
      </w:r>
      <w:r w:rsidR="00586BF8" w:rsidRPr="00586BF8">
        <w:rPr>
          <w:sz w:val="24"/>
          <w:lang w:val="sk-SK"/>
        </w:rPr>
        <w:t xml:space="preserve"> </w:t>
      </w:r>
      <w:r w:rsidR="00586BF8" w:rsidRPr="00586BF8">
        <w:rPr>
          <w:sz w:val="24"/>
          <w:lang w:val="sk-SK"/>
        </w:rPr>
        <w:tab/>
      </w:r>
      <w:r w:rsidRPr="00586BF8">
        <w:rPr>
          <w:sz w:val="24"/>
          <w:lang w:val="sk-SK"/>
        </w:rPr>
        <w:t xml:space="preserve">Ú. v. ES L 303, 2.12.2000, s. </w:t>
      </w:r>
      <w:r w:rsidRPr="00586BF8">
        <w:rPr>
          <w:sz w:val="24"/>
          <w:lang w:val="sk-SK"/>
        </w:rPr>
        <w:t>16, ELI: </w:t>
      </w:r>
      <w:hyperlink r:id="rId2" w:tooltip="Umožňuje prístup k tomuto dokumentu prostredníctvom identifikátora URI používaného v rámci ELI." w:history="1">
        <w:r w:rsidRPr="00586BF8">
          <w:rPr>
            <w:rStyle w:val="Hyperlink"/>
            <w:sz w:val="24"/>
            <w:lang w:val="sk-SK"/>
          </w:rPr>
          <w:t>http://data.europa.eu/eli/dir/2000/78/oj</w:t>
        </w:r>
      </w:hyperlink>
      <w:r w:rsidRPr="00586BF8">
        <w:rPr>
          <w:sz w:val="24"/>
          <w:lang w:val="sk-SK"/>
        </w:rPr>
        <w:t>.</w:t>
      </w:r>
    </w:p>
  </w:footnote>
  <w:footnote w:id="4">
    <w:p w14:paraId="593F4EF8" w14:textId="39A7582F" w:rsidR="00EF79E1" w:rsidRPr="00586BF8" w:rsidRDefault="00EF79E1" w:rsidP="00586BF8">
      <w:pPr>
        <w:pStyle w:val="FootnoteText"/>
        <w:ind w:left="567" w:hanging="567"/>
        <w:rPr>
          <w:sz w:val="24"/>
          <w:lang w:val="sk-SK"/>
        </w:rPr>
      </w:pPr>
      <w:r w:rsidRPr="00586BF8">
        <w:rPr>
          <w:rStyle w:val="FootnoteReference"/>
          <w:sz w:val="24"/>
          <w:lang w:val="sk-SK"/>
        </w:rPr>
        <w:footnoteRef/>
      </w:r>
      <w:r w:rsidR="00586BF8" w:rsidRPr="00586BF8">
        <w:rPr>
          <w:sz w:val="24"/>
          <w:lang w:val="sk-SK"/>
        </w:rPr>
        <w:t xml:space="preserve"> </w:t>
      </w:r>
      <w:r w:rsidR="00586BF8" w:rsidRPr="00586BF8">
        <w:rPr>
          <w:sz w:val="24"/>
          <w:lang w:val="sk-SK"/>
        </w:rPr>
        <w:tab/>
      </w:r>
      <w:r w:rsidRPr="00586BF8">
        <w:rPr>
          <w:sz w:val="24"/>
          <w:lang w:val="sk-SK"/>
        </w:rPr>
        <w:t xml:space="preserve">Ú. v. EÚ L 188, 12.7.2019, s. </w:t>
      </w:r>
      <w:r w:rsidRPr="00586BF8">
        <w:rPr>
          <w:sz w:val="24"/>
          <w:lang w:val="sk-SK"/>
        </w:rPr>
        <w:t>79, ELI: </w:t>
      </w:r>
      <w:hyperlink r:id="rId3" w:tooltip="Umožňuje prístup k tomuto dokumentu prostredníctvom identifikátora URI používaného v rámci ELI." w:history="1">
        <w:r w:rsidRPr="00586BF8">
          <w:rPr>
            <w:rStyle w:val="Hyperlink"/>
            <w:sz w:val="24"/>
            <w:lang w:val="sk-SK"/>
          </w:rPr>
          <w:t>http://data.europa.eu/eli/dir/2019/1158/oj</w:t>
        </w:r>
      </w:hyperlink>
      <w:r w:rsidRPr="00586BF8">
        <w:rPr>
          <w:sz w:val="24"/>
          <w:lang w:val="sk-SK"/>
        </w:rPr>
        <w:t>.</w:t>
      </w:r>
    </w:p>
  </w:footnote>
  <w:footnote w:id="5">
    <w:p w14:paraId="6CC55E0D" w14:textId="5CB7D906" w:rsidR="00EF79E1" w:rsidRPr="00586BF8" w:rsidRDefault="00EF79E1" w:rsidP="00586BF8">
      <w:pPr>
        <w:pStyle w:val="FootnoteText"/>
        <w:ind w:left="567" w:hanging="567"/>
        <w:rPr>
          <w:sz w:val="24"/>
          <w:lang w:val="sk-SK"/>
        </w:rPr>
      </w:pPr>
      <w:r w:rsidRPr="00586BF8">
        <w:rPr>
          <w:rStyle w:val="FootnoteReference"/>
          <w:sz w:val="24"/>
          <w:lang w:val="sk-SK"/>
        </w:rPr>
        <w:footnoteRef/>
      </w:r>
      <w:r w:rsidR="00586BF8" w:rsidRPr="00586BF8">
        <w:rPr>
          <w:sz w:val="24"/>
          <w:lang w:val="sk-SK"/>
        </w:rPr>
        <w:t xml:space="preserve"> </w:t>
      </w:r>
      <w:r w:rsidR="00586BF8" w:rsidRPr="00586BF8">
        <w:rPr>
          <w:sz w:val="24"/>
          <w:lang w:val="sk-SK"/>
        </w:rPr>
        <w:tab/>
      </w:r>
      <w:r w:rsidRPr="00586BF8">
        <w:rPr>
          <w:sz w:val="24"/>
          <w:lang w:val="sk-SK"/>
        </w:rPr>
        <w:t>Ú. v. EÚ L 275, 25.10.2022, s. </w:t>
      </w:r>
      <w:r w:rsidRPr="00586BF8">
        <w:rPr>
          <w:sz w:val="24"/>
          <w:lang w:val="sk-SK"/>
        </w:rPr>
        <w:t>33, ELI: </w:t>
      </w:r>
      <w:hyperlink r:id="rId4" w:tooltip="Umožňuje prístup k tomuto dokumentu prostredníctvom identifikátora URI používaného v rámci ELI." w:history="1">
        <w:r w:rsidRPr="00586BF8">
          <w:rPr>
            <w:rStyle w:val="Hyperlink"/>
            <w:sz w:val="24"/>
            <w:lang w:val="sk-SK"/>
          </w:rPr>
          <w:t>http://data.europa.eu/eli/dir/2022/2041/oj</w:t>
        </w:r>
      </w:hyperlink>
      <w:r w:rsidRPr="00586BF8">
        <w:rPr>
          <w:sz w:val="24"/>
          <w:lang w:val="sk-SK"/>
        </w:rPr>
        <w:t>.</w:t>
      </w:r>
    </w:p>
  </w:footnote>
  <w:footnote w:id="6">
    <w:p w14:paraId="6AB61062" w14:textId="6B734BF2" w:rsidR="00EF79E1" w:rsidRPr="00586BF8" w:rsidRDefault="00EF79E1" w:rsidP="00586BF8">
      <w:pPr>
        <w:pStyle w:val="FootnoteText"/>
        <w:ind w:left="567" w:hanging="567"/>
        <w:rPr>
          <w:sz w:val="24"/>
          <w:lang w:val="sk-SK"/>
        </w:rPr>
      </w:pPr>
      <w:r w:rsidRPr="00586BF8">
        <w:rPr>
          <w:rStyle w:val="FootnoteReference"/>
          <w:sz w:val="24"/>
          <w:lang w:val="sk-SK"/>
        </w:rPr>
        <w:footnoteRef/>
      </w:r>
      <w:r w:rsidR="00586BF8" w:rsidRPr="00586BF8">
        <w:rPr>
          <w:sz w:val="24"/>
          <w:lang w:val="sk-SK"/>
        </w:rPr>
        <w:t xml:space="preserve"> </w:t>
      </w:r>
      <w:r w:rsidR="00586BF8" w:rsidRPr="00586BF8">
        <w:rPr>
          <w:sz w:val="24"/>
          <w:lang w:val="sk-SK"/>
        </w:rPr>
        <w:tab/>
      </w:r>
      <w:r w:rsidRPr="00586BF8">
        <w:rPr>
          <w:sz w:val="24"/>
          <w:lang w:val="sk-SK"/>
        </w:rPr>
        <w:t xml:space="preserve">Ú. v. EÚ L 132, 17.5.2023, s. </w:t>
      </w:r>
      <w:r w:rsidRPr="00586BF8">
        <w:rPr>
          <w:sz w:val="24"/>
          <w:lang w:val="sk-SK"/>
        </w:rPr>
        <w:t>21, ELI: </w:t>
      </w:r>
      <w:hyperlink r:id="rId5" w:tooltip="Umožňuje prístup k tomuto dokumentu prostredníctvom identifikátora URI používaného v rámci ELI." w:history="1">
        <w:r w:rsidRPr="00586BF8">
          <w:rPr>
            <w:rStyle w:val="Hyperlink"/>
            <w:sz w:val="24"/>
            <w:lang w:val="sk-SK"/>
          </w:rPr>
          <w:t>http://data.europa.eu/eli/dir/2023/970/oj</w:t>
        </w:r>
      </w:hyperlink>
      <w:r w:rsidRPr="00586BF8">
        <w:rPr>
          <w:sz w:val="24"/>
          <w:lang w:val="sk-SK"/>
        </w:rPr>
        <w:t>.</w:t>
      </w:r>
    </w:p>
  </w:footnote>
  <w:footnote w:id="7">
    <w:p w14:paraId="659F5C96" w14:textId="3CD16933" w:rsidR="00EF79E1" w:rsidRPr="00586BF8" w:rsidRDefault="00EF79E1" w:rsidP="00586BF8">
      <w:pPr>
        <w:pStyle w:val="FootnoteText"/>
        <w:ind w:left="567" w:hanging="567"/>
        <w:rPr>
          <w:sz w:val="24"/>
          <w:lang w:val="sk-SK"/>
        </w:rPr>
      </w:pPr>
      <w:r w:rsidRPr="00586BF8">
        <w:rPr>
          <w:rStyle w:val="FootnoteReference"/>
          <w:sz w:val="24"/>
          <w:lang w:val="sk-SK"/>
        </w:rPr>
        <w:footnoteRef/>
      </w:r>
      <w:r w:rsidR="00586BF8" w:rsidRPr="00586BF8">
        <w:rPr>
          <w:sz w:val="24"/>
          <w:lang w:val="sk-SK"/>
        </w:rPr>
        <w:t xml:space="preserve"> </w:t>
      </w:r>
      <w:r w:rsidR="00586BF8" w:rsidRPr="00586BF8">
        <w:rPr>
          <w:sz w:val="24"/>
          <w:lang w:val="sk-SK"/>
        </w:rPr>
        <w:tab/>
      </w:r>
      <w:r w:rsidRPr="00586BF8">
        <w:rPr>
          <w:sz w:val="24"/>
          <w:lang w:val="sk-SK"/>
        </w:rPr>
        <w:t>Ú. v. EÚ L 130, 16.5.2023, s. </w:t>
      </w:r>
      <w:r w:rsidRPr="00586BF8">
        <w:rPr>
          <w:sz w:val="24"/>
          <w:lang w:val="sk-SK"/>
        </w:rPr>
        <w:t>1, ELI: </w:t>
      </w:r>
      <w:hyperlink r:id="rId6" w:tooltip="Umožňuje prístup k tomuto dokumentu prostredníctvom identifikátora URI používaného v rámci ELI." w:history="1">
        <w:r w:rsidRPr="00586BF8">
          <w:rPr>
            <w:rStyle w:val="Hyperlink"/>
            <w:sz w:val="24"/>
            <w:lang w:val="sk-SK"/>
          </w:rPr>
          <w:t>http://data.europa.eu/eli/reg/2023/955/oj</w:t>
        </w:r>
      </w:hyperlink>
      <w:r w:rsidRPr="00586BF8">
        <w:rPr>
          <w:sz w:val="24"/>
          <w:lang w:val="sk-SK"/>
        </w:rPr>
        <w:t>.</w:t>
      </w:r>
    </w:p>
  </w:footnote>
  <w:footnote w:id="8">
    <w:p w14:paraId="2DAFD04B" w14:textId="2B14E2A5" w:rsidR="00EF79E1" w:rsidRPr="00586BF8" w:rsidRDefault="00EF79E1" w:rsidP="00586BF8">
      <w:pPr>
        <w:pStyle w:val="FootnoteText"/>
        <w:ind w:left="567" w:hanging="567"/>
        <w:rPr>
          <w:sz w:val="24"/>
          <w:lang w:val="sk-SK"/>
        </w:rPr>
      </w:pPr>
      <w:r w:rsidRPr="00586BF8">
        <w:rPr>
          <w:rStyle w:val="FootnoteReference"/>
          <w:sz w:val="24"/>
          <w:lang w:val="sk-SK"/>
        </w:rPr>
        <w:footnoteRef/>
      </w:r>
      <w:r w:rsidR="00586BF8" w:rsidRPr="00586BF8">
        <w:rPr>
          <w:sz w:val="24"/>
          <w:lang w:val="sk-SK"/>
        </w:rPr>
        <w:t xml:space="preserve"> </w:t>
      </w:r>
      <w:r w:rsidR="00586BF8" w:rsidRPr="00586BF8">
        <w:rPr>
          <w:sz w:val="24"/>
          <w:lang w:val="sk-SK"/>
        </w:rPr>
        <w:tab/>
      </w:r>
      <w:r w:rsidRPr="00586BF8">
        <w:rPr>
          <w:sz w:val="24"/>
          <w:lang w:val="sk-SK"/>
        </w:rPr>
        <w:t xml:space="preserve">Ú. v. </w:t>
      </w:r>
      <w:r w:rsidRPr="00586BF8">
        <w:rPr>
          <w:sz w:val="24"/>
          <w:lang w:val="sk-SK"/>
        </w:rPr>
        <w:t xml:space="preserve">EÚ L, 2024/1385, 24.5.2024, ELI: </w:t>
      </w:r>
      <w:hyperlink r:id="rId7" w:history="1">
        <w:r w:rsidRPr="00586BF8">
          <w:rPr>
            <w:rStyle w:val="Hyperlink"/>
            <w:sz w:val="24"/>
            <w:lang w:val="sk-SK"/>
          </w:rPr>
          <w:t>http://data.europa.eu/eli/dir/2024/1385/oj</w:t>
        </w:r>
      </w:hyperlink>
      <w:r w:rsidRPr="00586BF8">
        <w:rPr>
          <w:sz w:val="24"/>
          <w:lang w:val="sk-SK"/>
        </w:rPr>
        <w:t>.</w:t>
      </w:r>
    </w:p>
  </w:footnote>
  <w:footnote w:id="9">
    <w:p w14:paraId="4CD69301" w14:textId="666A1445" w:rsidR="00EF79E1" w:rsidRPr="00586BF8" w:rsidRDefault="00EF79E1" w:rsidP="00586BF8">
      <w:pPr>
        <w:pStyle w:val="FootnoteText"/>
        <w:ind w:left="567" w:hanging="567"/>
        <w:rPr>
          <w:sz w:val="24"/>
          <w:lang w:val="sk-SK"/>
        </w:rPr>
      </w:pPr>
      <w:r w:rsidRPr="00586BF8">
        <w:rPr>
          <w:rStyle w:val="FootnoteReference"/>
          <w:sz w:val="24"/>
          <w:lang w:val="sk-SK"/>
        </w:rPr>
        <w:footnoteRef/>
      </w:r>
      <w:r w:rsidR="00586BF8" w:rsidRPr="00586BF8">
        <w:rPr>
          <w:sz w:val="24"/>
          <w:lang w:val="sk-SK"/>
        </w:rPr>
        <w:t xml:space="preserve"> </w:t>
      </w:r>
      <w:r w:rsidR="00586BF8" w:rsidRPr="00586BF8">
        <w:rPr>
          <w:sz w:val="24"/>
          <w:lang w:val="sk-SK"/>
        </w:rPr>
        <w:tab/>
      </w:r>
      <w:r w:rsidRPr="00586BF8">
        <w:rPr>
          <w:sz w:val="24"/>
          <w:lang w:val="sk-SK"/>
        </w:rPr>
        <w:t>Ú. v. EÚ C 331, 17.8.2021, s. 5.</w:t>
      </w:r>
    </w:p>
  </w:footnote>
  <w:footnote w:id="10">
    <w:p w14:paraId="5ED26B52" w14:textId="0A22D5F3" w:rsidR="00EF79E1" w:rsidRPr="00586BF8" w:rsidRDefault="00EF79E1" w:rsidP="00586BF8">
      <w:pPr>
        <w:pStyle w:val="FootnoteText"/>
        <w:ind w:left="567" w:hanging="567"/>
        <w:rPr>
          <w:sz w:val="24"/>
          <w:lang w:val="sk-SK"/>
        </w:rPr>
      </w:pPr>
      <w:r w:rsidRPr="00586BF8">
        <w:rPr>
          <w:rStyle w:val="FootnoteReference"/>
          <w:sz w:val="24"/>
          <w:lang w:val="sk-SK"/>
        </w:rPr>
        <w:footnoteRef/>
      </w:r>
      <w:r w:rsidR="00586BF8" w:rsidRPr="00586BF8">
        <w:rPr>
          <w:sz w:val="24"/>
          <w:lang w:val="sk-SK"/>
        </w:rPr>
        <w:t xml:space="preserve"> </w:t>
      </w:r>
      <w:r w:rsidR="00586BF8" w:rsidRPr="00586BF8">
        <w:rPr>
          <w:sz w:val="24"/>
          <w:lang w:val="sk-SK"/>
        </w:rPr>
        <w:tab/>
      </w:r>
      <w:r w:rsidRPr="00586BF8">
        <w:rPr>
          <w:sz w:val="24"/>
          <w:lang w:val="sk-SK"/>
        </w:rPr>
        <w:t>Ú. v. EÚ C 456, 10.11.2021, s. 145.</w:t>
      </w:r>
    </w:p>
  </w:footnote>
  <w:footnote w:id="11">
    <w:p w14:paraId="496C2073" w14:textId="5BF27A6A" w:rsidR="00EF79E1" w:rsidRPr="00586BF8" w:rsidRDefault="00EF79E1" w:rsidP="00586BF8">
      <w:pPr>
        <w:pStyle w:val="FootnoteText"/>
        <w:ind w:left="567" w:hanging="567"/>
        <w:rPr>
          <w:sz w:val="24"/>
          <w:lang w:val="sk-SK"/>
        </w:rPr>
      </w:pPr>
      <w:r w:rsidRPr="00586BF8">
        <w:rPr>
          <w:rStyle w:val="FootnoteReference"/>
          <w:sz w:val="24"/>
          <w:lang w:val="sk-SK"/>
        </w:rPr>
        <w:footnoteRef/>
      </w:r>
      <w:r w:rsidR="00586BF8" w:rsidRPr="00586BF8">
        <w:rPr>
          <w:sz w:val="24"/>
          <w:lang w:val="sk-SK"/>
        </w:rPr>
        <w:t xml:space="preserve"> </w:t>
      </w:r>
      <w:r w:rsidR="00586BF8" w:rsidRPr="00586BF8">
        <w:rPr>
          <w:sz w:val="24"/>
          <w:lang w:val="sk-SK"/>
        </w:rPr>
        <w:tab/>
      </w:r>
      <w:r w:rsidRPr="00586BF8">
        <w:rPr>
          <w:sz w:val="24"/>
          <w:lang w:val="sk-SK"/>
        </w:rPr>
        <w:t>Ú. v. EÚ C 465, 17.11.2021, s. 62.</w:t>
      </w:r>
    </w:p>
  </w:footnote>
  <w:footnote w:id="12">
    <w:p w14:paraId="5425B8B0" w14:textId="786F89C1" w:rsidR="00EF79E1" w:rsidRPr="00586BF8" w:rsidRDefault="00EF79E1" w:rsidP="00586BF8">
      <w:pPr>
        <w:pStyle w:val="FootnoteText"/>
        <w:ind w:left="567" w:hanging="567"/>
        <w:rPr>
          <w:sz w:val="24"/>
          <w:lang w:val="sk-SK"/>
        </w:rPr>
      </w:pPr>
      <w:r w:rsidRPr="00586BF8">
        <w:rPr>
          <w:rStyle w:val="FootnoteReference"/>
          <w:sz w:val="24"/>
          <w:lang w:val="sk-SK"/>
        </w:rPr>
        <w:footnoteRef/>
      </w:r>
      <w:r w:rsidR="00586BF8" w:rsidRPr="00586BF8">
        <w:rPr>
          <w:sz w:val="24"/>
          <w:lang w:val="sk-SK"/>
        </w:rPr>
        <w:t xml:space="preserve"> </w:t>
      </w:r>
      <w:r w:rsidR="00586BF8" w:rsidRPr="00586BF8">
        <w:rPr>
          <w:sz w:val="24"/>
          <w:lang w:val="sk-SK"/>
        </w:rPr>
        <w:tab/>
      </w:r>
      <w:r w:rsidRPr="00586BF8">
        <w:rPr>
          <w:sz w:val="24"/>
          <w:lang w:val="sk-SK"/>
        </w:rPr>
        <w:t>Ú. v. EÚ C 474, 24.11.2021, s. 146.</w:t>
      </w:r>
    </w:p>
  </w:footnote>
  <w:footnote w:id="13">
    <w:p w14:paraId="462B1AC5" w14:textId="4EB7ABB7" w:rsidR="00EF79E1" w:rsidRPr="00586BF8" w:rsidRDefault="00EF79E1" w:rsidP="00586BF8">
      <w:pPr>
        <w:pStyle w:val="FootnoteText"/>
        <w:ind w:left="567" w:hanging="567"/>
        <w:rPr>
          <w:sz w:val="24"/>
          <w:lang w:val="sk-SK"/>
        </w:rPr>
      </w:pPr>
      <w:r w:rsidRPr="00586BF8">
        <w:rPr>
          <w:rStyle w:val="FootnoteReference"/>
          <w:sz w:val="24"/>
          <w:lang w:val="sk-SK"/>
        </w:rPr>
        <w:footnoteRef/>
      </w:r>
      <w:r w:rsidR="00586BF8" w:rsidRPr="00586BF8">
        <w:rPr>
          <w:sz w:val="24"/>
          <w:lang w:val="sk-SK"/>
        </w:rPr>
        <w:t xml:space="preserve"> </w:t>
      </w:r>
      <w:r w:rsidR="00586BF8" w:rsidRPr="00586BF8">
        <w:rPr>
          <w:sz w:val="24"/>
          <w:lang w:val="sk-SK"/>
        </w:rPr>
        <w:tab/>
      </w:r>
      <w:r w:rsidRPr="00586BF8">
        <w:rPr>
          <w:sz w:val="24"/>
          <w:lang w:val="sk-SK"/>
        </w:rPr>
        <w:t>Ú. v. EÚ C 506, 15.12.2021, s. 94.</w:t>
      </w:r>
    </w:p>
  </w:footnote>
  <w:footnote w:id="14">
    <w:p w14:paraId="7EAEC171" w14:textId="730B047F" w:rsidR="00EF79E1" w:rsidRPr="00586BF8" w:rsidRDefault="00EF79E1" w:rsidP="00586BF8">
      <w:pPr>
        <w:pStyle w:val="FootnoteText"/>
        <w:ind w:left="567" w:hanging="567"/>
        <w:rPr>
          <w:sz w:val="24"/>
          <w:lang w:val="sk-SK"/>
        </w:rPr>
      </w:pPr>
      <w:r w:rsidRPr="00586BF8">
        <w:rPr>
          <w:rStyle w:val="FootnoteReference"/>
          <w:sz w:val="24"/>
          <w:lang w:val="sk-SK"/>
        </w:rPr>
        <w:footnoteRef/>
      </w:r>
      <w:r w:rsidR="00586BF8" w:rsidRPr="00586BF8">
        <w:rPr>
          <w:sz w:val="24"/>
          <w:lang w:val="sk-SK"/>
        </w:rPr>
        <w:t xml:space="preserve"> </w:t>
      </w:r>
      <w:r w:rsidR="00586BF8" w:rsidRPr="00586BF8">
        <w:rPr>
          <w:sz w:val="24"/>
          <w:lang w:val="sk-SK"/>
        </w:rPr>
        <w:tab/>
      </w:r>
      <w:r w:rsidRPr="00586BF8">
        <w:rPr>
          <w:sz w:val="24"/>
          <w:lang w:val="sk-SK"/>
        </w:rPr>
        <w:t>Ú. v. EÚ C 47, 7.2.2023, s. 2.</w:t>
      </w:r>
    </w:p>
  </w:footnote>
  <w:footnote w:id="15">
    <w:p w14:paraId="11401001" w14:textId="275BF4CE" w:rsidR="00EF79E1" w:rsidRPr="00586BF8" w:rsidRDefault="00EF79E1" w:rsidP="00586BF8">
      <w:pPr>
        <w:pStyle w:val="FootnoteText"/>
        <w:ind w:left="567" w:hanging="567"/>
        <w:rPr>
          <w:sz w:val="24"/>
          <w:lang w:val="sk-SK"/>
        </w:rPr>
      </w:pPr>
      <w:r w:rsidRPr="00586BF8">
        <w:rPr>
          <w:rStyle w:val="FootnoteReference"/>
          <w:sz w:val="24"/>
          <w:lang w:val="sk-SK"/>
        </w:rPr>
        <w:footnoteRef/>
      </w:r>
      <w:r w:rsidR="00586BF8" w:rsidRPr="00586BF8">
        <w:rPr>
          <w:sz w:val="24"/>
          <w:lang w:val="sk-SK"/>
        </w:rPr>
        <w:t xml:space="preserve"> </w:t>
      </w:r>
      <w:r w:rsidR="00586BF8" w:rsidRPr="00586BF8">
        <w:rPr>
          <w:sz w:val="24"/>
          <w:lang w:val="sk-SK"/>
        </w:rPr>
        <w:tab/>
      </w:r>
      <w:r w:rsidRPr="00586BF8">
        <w:rPr>
          <w:sz w:val="24"/>
          <w:lang w:val="sk-SK"/>
        </w:rPr>
        <w:t>Ú. v. EÚ C 132, 14.4.2023, s. 29.</w:t>
      </w:r>
    </w:p>
  </w:footnote>
  <w:footnote w:id="16">
    <w:p w14:paraId="61B2A4E4" w14:textId="49E6761A" w:rsidR="00EF79E1" w:rsidRPr="00586BF8" w:rsidRDefault="00EF79E1" w:rsidP="00586BF8">
      <w:pPr>
        <w:pStyle w:val="FootnoteText"/>
        <w:ind w:left="567" w:hanging="567"/>
        <w:rPr>
          <w:sz w:val="24"/>
          <w:lang w:val="sk-SK"/>
        </w:rPr>
      </w:pPr>
      <w:r w:rsidRPr="00586BF8">
        <w:rPr>
          <w:rStyle w:val="FootnoteReference"/>
          <w:sz w:val="24"/>
          <w:lang w:val="sk-SK"/>
        </w:rPr>
        <w:footnoteRef/>
      </w:r>
      <w:r w:rsidR="00586BF8" w:rsidRPr="00586BF8">
        <w:rPr>
          <w:sz w:val="24"/>
          <w:lang w:val="sk-SK"/>
        </w:rPr>
        <w:t xml:space="preserve"> </w:t>
      </w:r>
      <w:r w:rsidR="00586BF8" w:rsidRPr="00586BF8">
        <w:rPr>
          <w:sz w:val="24"/>
          <w:lang w:val="sk-SK"/>
        </w:rPr>
        <w:tab/>
      </w:r>
      <w:r w:rsidRPr="00586BF8">
        <w:rPr>
          <w:sz w:val="24"/>
          <w:lang w:val="sk-SK"/>
        </w:rPr>
        <w:t>Ú. v. </w:t>
      </w:r>
      <w:r w:rsidRPr="00586BF8">
        <w:rPr>
          <w:sz w:val="24"/>
          <w:lang w:val="sk-SK"/>
        </w:rPr>
        <w:t xml:space="preserve">EÚ C, C/2023/400, 23.11.2023, ELI: </w:t>
      </w:r>
      <w:hyperlink r:id="rId8" w:history="1">
        <w:r w:rsidRPr="00586BF8">
          <w:rPr>
            <w:rStyle w:val="Hyperlink"/>
            <w:sz w:val="24"/>
            <w:lang w:val="sk-SK"/>
          </w:rPr>
          <w:t>http://data.europa.eu/eli/C/2023/400/oj</w:t>
        </w:r>
      </w:hyperlink>
      <w:r w:rsidRPr="00586BF8">
        <w:rPr>
          <w:sz w:val="24"/>
          <w:lang w:val="sk-SK"/>
        </w:rPr>
        <w:t>.</w:t>
      </w:r>
    </w:p>
  </w:footnote>
  <w:footnote w:id="17">
    <w:p w14:paraId="1D6CB751" w14:textId="22AE9EA6" w:rsidR="00EF79E1" w:rsidRPr="00586BF8" w:rsidRDefault="00EF79E1" w:rsidP="00586BF8">
      <w:pPr>
        <w:pStyle w:val="FootnoteText"/>
        <w:ind w:left="567" w:hanging="567"/>
        <w:rPr>
          <w:sz w:val="24"/>
          <w:lang w:val="sk-SK"/>
        </w:rPr>
      </w:pPr>
      <w:r w:rsidRPr="00586BF8">
        <w:rPr>
          <w:rStyle w:val="FootnoteReference"/>
          <w:sz w:val="24"/>
          <w:lang w:val="sk-SK"/>
        </w:rPr>
        <w:footnoteRef/>
      </w:r>
      <w:r w:rsidR="00586BF8" w:rsidRPr="00586BF8">
        <w:rPr>
          <w:sz w:val="24"/>
          <w:lang w:val="sk-SK"/>
        </w:rPr>
        <w:t xml:space="preserve"> </w:t>
      </w:r>
      <w:r w:rsidR="00586BF8" w:rsidRPr="00586BF8">
        <w:rPr>
          <w:sz w:val="24"/>
          <w:lang w:val="sk-SK"/>
        </w:rPr>
        <w:tab/>
      </w:r>
      <w:r w:rsidRPr="00586BF8">
        <w:rPr>
          <w:sz w:val="24"/>
          <w:lang w:val="sk-SK"/>
        </w:rPr>
        <w:t>Ú. v. </w:t>
      </w:r>
      <w:r w:rsidRPr="00586BF8">
        <w:rPr>
          <w:sz w:val="24"/>
          <w:lang w:val="sk-SK"/>
        </w:rPr>
        <w:t xml:space="preserve">EÚ C, C/2023/1063, 15.12.2023, ELI: </w:t>
      </w:r>
      <w:hyperlink r:id="rId9" w:history="1">
        <w:r w:rsidRPr="00586BF8">
          <w:rPr>
            <w:rStyle w:val="Hyperlink"/>
            <w:sz w:val="24"/>
            <w:lang w:val="sk-SK"/>
          </w:rPr>
          <w:t>http://data.europa.eu/eli/C/2023/1063/oj</w:t>
        </w:r>
      </w:hyperlink>
      <w:r w:rsidRPr="00586BF8">
        <w:rPr>
          <w:sz w:val="24"/>
          <w:lang w:val="sk-SK"/>
        </w:rPr>
        <w:t>.</w:t>
      </w:r>
    </w:p>
  </w:footnote>
  <w:footnote w:id="18">
    <w:p w14:paraId="6EC154E5" w14:textId="16A7B9B2" w:rsidR="00EF79E1" w:rsidRPr="00586BF8" w:rsidRDefault="00EF79E1" w:rsidP="00586BF8">
      <w:pPr>
        <w:pStyle w:val="FootnoteText"/>
        <w:ind w:left="567" w:hanging="567"/>
        <w:rPr>
          <w:sz w:val="24"/>
          <w:lang w:val="sk-SK"/>
        </w:rPr>
      </w:pPr>
      <w:r w:rsidRPr="00586BF8">
        <w:rPr>
          <w:rStyle w:val="FootnoteReference"/>
          <w:sz w:val="24"/>
          <w:lang w:val="sk-SK"/>
        </w:rPr>
        <w:footnoteRef/>
      </w:r>
      <w:r w:rsidR="00586BF8" w:rsidRPr="00586BF8">
        <w:rPr>
          <w:sz w:val="24"/>
          <w:lang w:val="sk-SK"/>
        </w:rPr>
        <w:t xml:space="preserve"> </w:t>
      </w:r>
      <w:r w:rsidR="00586BF8" w:rsidRPr="00586BF8">
        <w:rPr>
          <w:sz w:val="24"/>
          <w:lang w:val="sk-SK"/>
        </w:rPr>
        <w:tab/>
      </w:r>
      <w:r w:rsidRPr="00586BF8">
        <w:rPr>
          <w:sz w:val="24"/>
          <w:lang w:val="sk-SK"/>
        </w:rPr>
        <w:t xml:space="preserve">Ú. v. </w:t>
      </w:r>
      <w:r w:rsidRPr="00586BF8">
        <w:rPr>
          <w:sz w:val="24"/>
          <w:lang w:val="sk-SK"/>
        </w:rPr>
        <w:t xml:space="preserve">EÚ C, C/2024/4211, 24.7.2024, ELI: </w:t>
      </w:r>
      <w:hyperlink r:id="rId10" w:history="1">
        <w:r w:rsidRPr="00586BF8">
          <w:rPr>
            <w:rStyle w:val="Hyperlink"/>
            <w:sz w:val="24"/>
            <w:lang w:val="sk-SK"/>
          </w:rPr>
          <w:t>http://data.europa.eu/eli/C/2024/4211/oj</w:t>
        </w:r>
      </w:hyperlink>
      <w:r w:rsidRPr="00586BF8">
        <w:rPr>
          <w:sz w:val="24"/>
          <w:lang w:val="sk-SK"/>
        </w:rPr>
        <w:t>.</w:t>
      </w:r>
    </w:p>
  </w:footnote>
  <w:footnote w:id="19">
    <w:p w14:paraId="09E2D76C" w14:textId="79158782" w:rsidR="00EF79E1" w:rsidRPr="00586BF8" w:rsidRDefault="00EF79E1" w:rsidP="00586BF8">
      <w:pPr>
        <w:pStyle w:val="FootnoteText"/>
        <w:ind w:left="567" w:hanging="567"/>
        <w:rPr>
          <w:sz w:val="24"/>
          <w:lang w:val="sk-SK"/>
        </w:rPr>
      </w:pPr>
      <w:r w:rsidRPr="00586BF8">
        <w:rPr>
          <w:rStyle w:val="FootnoteReference"/>
          <w:sz w:val="24"/>
          <w:lang w:val="sk-SK"/>
        </w:rPr>
        <w:footnoteRef/>
      </w:r>
      <w:r w:rsidR="00586BF8" w:rsidRPr="00586BF8">
        <w:rPr>
          <w:sz w:val="24"/>
          <w:lang w:val="sk-SK"/>
        </w:rPr>
        <w:t xml:space="preserve"> </w:t>
      </w:r>
      <w:r w:rsidR="00586BF8" w:rsidRPr="00586BF8">
        <w:rPr>
          <w:sz w:val="24"/>
          <w:lang w:val="sk-SK"/>
        </w:rPr>
        <w:tab/>
      </w:r>
      <w:r w:rsidRPr="00586BF8">
        <w:rPr>
          <w:sz w:val="24"/>
          <w:lang w:val="sk-SK"/>
        </w:rPr>
        <w:t xml:space="preserve">Ú. v. </w:t>
      </w:r>
      <w:r w:rsidRPr="00586BF8">
        <w:rPr>
          <w:sz w:val="24"/>
          <w:lang w:val="sk-SK"/>
        </w:rPr>
        <w:t xml:space="preserve">EÚ C, C/2024/4212, 24.7.2024, ELI: </w:t>
      </w:r>
      <w:hyperlink r:id="rId11" w:history="1">
        <w:r w:rsidRPr="00586BF8">
          <w:rPr>
            <w:rStyle w:val="Hyperlink"/>
            <w:sz w:val="24"/>
            <w:lang w:val="sk-SK"/>
          </w:rPr>
          <w:t>http://data.europa.eu/eli/C/2024/4212/oj</w:t>
        </w:r>
      </w:hyperlink>
      <w:r w:rsidRPr="00586BF8">
        <w:rPr>
          <w:sz w:val="24"/>
          <w:lang w:val="sk-SK"/>
        </w:rPr>
        <w:t>.</w:t>
      </w:r>
    </w:p>
  </w:footnote>
  <w:footnote w:id="20">
    <w:p w14:paraId="5E6EF205" w14:textId="77482115" w:rsidR="00EF79E1" w:rsidRPr="00586BF8" w:rsidRDefault="00EF79E1" w:rsidP="00586BF8">
      <w:pPr>
        <w:pStyle w:val="FootnoteText"/>
        <w:ind w:left="567" w:hanging="567"/>
        <w:rPr>
          <w:sz w:val="24"/>
          <w:lang w:val="sk-SK"/>
        </w:rPr>
      </w:pPr>
      <w:r w:rsidRPr="00586BF8">
        <w:rPr>
          <w:rStyle w:val="FootnoteReference"/>
          <w:sz w:val="24"/>
          <w:lang w:val="sk-SK"/>
        </w:rPr>
        <w:footnoteRef/>
      </w:r>
      <w:r w:rsidR="00586BF8" w:rsidRPr="00586BF8">
        <w:rPr>
          <w:sz w:val="24"/>
          <w:lang w:val="sk-SK"/>
        </w:rPr>
        <w:t xml:space="preserve"> </w:t>
      </w:r>
      <w:r w:rsidR="00586BF8" w:rsidRPr="00586BF8">
        <w:rPr>
          <w:sz w:val="24"/>
          <w:lang w:val="sk-SK"/>
        </w:rPr>
        <w:tab/>
      </w:r>
      <w:r w:rsidRPr="00586BF8">
        <w:rPr>
          <w:sz w:val="24"/>
          <w:lang w:val="sk-SK"/>
        </w:rPr>
        <w:t xml:space="preserve">Ú. v. </w:t>
      </w:r>
      <w:r w:rsidRPr="00586BF8">
        <w:rPr>
          <w:sz w:val="24"/>
          <w:lang w:val="sk-SK"/>
        </w:rPr>
        <w:t xml:space="preserve">EÚ C, C/2024/4224, 24.7.2024, ELI: </w:t>
      </w:r>
      <w:hyperlink r:id="rId12" w:history="1">
        <w:r w:rsidRPr="00586BF8">
          <w:rPr>
            <w:rStyle w:val="Hyperlink"/>
            <w:sz w:val="24"/>
            <w:lang w:val="sk-SK"/>
          </w:rPr>
          <w:t>http://data.europa.eu/eli/C/2024/4224/oj</w:t>
        </w:r>
      </w:hyperlink>
      <w:r w:rsidRPr="00586BF8">
        <w:rPr>
          <w:sz w:val="24"/>
          <w:lang w:val="sk-SK"/>
        </w:rPr>
        <w:t>.</w:t>
      </w:r>
    </w:p>
  </w:footnote>
  <w:footnote w:id="21">
    <w:p w14:paraId="614794F6" w14:textId="5B1FC75D" w:rsidR="00EF79E1" w:rsidRPr="00586BF8" w:rsidRDefault="00EF79E1" w:rsidP="00586BF8">
      <w:pPr>
        <w:pStyle w:val="FootnoteText"/>
        <w:ind w:left="567" w:hanging="567"/>
        <w:rPr>
          <w:sz w:val="24"/>
          <w:lang w:val="sk-SK"/>
        </w:rPr>
      </w:pPr>
      <w:r w:rsidRPr="00586BF8">
        <w:rPr>
          <w:rStyle w:val="FootnoteReference"/>
          <w:sz w:val="24"/>
          <w:lang w:val="sk-SK"/>
        </w:rPr>
        <w:footnoteRef/>
      </w:r>
      <w:r w:rsidR="00586BF8" w:rsidRPr="00586BF8">
        <w:rPr>
          <w:sz w:val="24"/>
          <w:lang w:val="sk-SK"/>
        </w:rPr>
        <w:t xml:space="preserve"> </w:t>
      </w:r>
      <w:r w:rsidR="00586BF8" w:rsidRPr="00586BF8">
        <w:rPr>
          <w:sz w:val="24"/>
          <w:lang w:val="sk-SK"/>
        </w:rPr>
        <w:tab/>
      </w:r>
      <w:r w:rsidRPr="00586BF8">
        <w:rPr>
          <w:sz w:val="24"/>
          <w:lang w:val="sk-SK"/>
        </w:rPr>
        <w:t>Ú. v. EÚ C 189, 5.6.2019, s. 4.</w:t>
      </w:r>
    </w:p>
  </w:footnote>
  <w:footnote w:id="22">
    <w:p w14:paraId="122A97D5" w14:textId="6D0EFC32" w:rsidR="00EF79E1" w:rsidRPr="00586BF8" w:rsidRDefault="00EF79E1" w:rsidP="00586BF8">
      <w:pPr>
        <w:pStyle w:val="FootnoteText"/>
        <w:ind w:left="567" w:hanging="567"/>
        <w:rPr>
          <w:sz w:val="24"/>
          <w:lang w:val="sk-SK"/>
        </w:rPr>
      </w:pPr>
      <w:r w:rsidRPr="00586BF8">
        <w:rPr>
          <w:rStyle w:val="FootnoteReference"/>
          <w:sz w:val="24"/>
          <w:lang w:val="sk-SK"/>
        </w:rPr>
        <w:footnoteRef/>
      </w:r>
      <w:r w:rsidR="00586BF8" w:rsidRPr="00586BF8">
        <w:rPr>
          <w:sz w:val="24"/>
          <w:lang w:val="sk-SK"/>
        </w:rPr>
        <w:t xml:space="preserve"> </w:t>
      </w:r>
      <w:r w:rsidR="00586BF8" w:rsidRPr="00586BF8">
        <w:rPr>
          <w:sz w:val="24"/>
          <w:lang w:val="sk-SK"/>
        </w:rPr>
        <w:tab/>
      </w:r>
      <w:r w:rsidRPr="00586BF8">
        <w:rPr>
          <w:sz w:val="24"/>
          <w:lang w:val="sk-SK"/>
        </w:rPr>
        <w:t>Ú. v. EÚ L 59, 2.3.2013, s. 5.</w:t>
      </w:r>
    </w:p>
  </w:footnote>
  <w:footnote w:id="23">
    <w:p w14:paraId="070F8087" w14:textId="2C0E8393" w:rsidR="00EF79E1" w:rsidRPr="00586BF8" w:rsidRDefault="00EF79E1" w:rsidP="00586BF8">
      <w:pPr>
        <w:pStyle w:val="FootnoteText"/>
        <w:ind w:left="567" w:hanging="567"/>
        <w:rPr>
          <w:sz w:val="24"/>
          <w:lang w:val="sk-SK"/>
        </w:rPr>
      </w:pPr>
      <w:r w:rsidRPr="00586BF8">
        <w:rPr>
          <w:rStyle w:val="FootnoteReference"/>
          <w:sz w:val="24"/>
          <w:lang w:val="sk-SK"/>
        </w:rPr>
        <w:footnoteRef/>
      </w:r>
      <w:r w:rsidR="00586BF8" w:rsidRPr="00586BF8">
        <w:rPr>
          <w:sz w:val="24"/>
          <w:lang w:val="sk-SK"/>
        </w:rPr>
        <w:t xml:space="preserve"> </w:t>
      </w:r>
      <w:r w:rsidR="00586BF8" w:rsidRPr="00586BF8">
        <w:rPr>
          <w:sz w:val="24"/>
          <w:lang w:val="sk-SK"/>
        </w:rPr>
        <w:tab/>
      </w:r>
      <w:r w:rsidRPr="00586BF8">
        <w:rPr>
          <w:sz w:val="24"/>
          <w:lang w:val="sk-SK"/>
        </w:rPr>
        <w:t xml:space="preserve">Ú. v. </w:t>
      </w:r>
      <w:r w:rsidRPr="00586BF8">
        <w:rPr>
          <w:sz w:val="24"/>
          <w:lang w:val="sk-SK"/>
        </w:rPr>
        <w:t xml:space="preserve">EÚ L, 2024/1238, 14.5.2024, ELI: </w:t>
      </w:r>
      <w:hyperlink r:id="rId13" w:history="1">
        <w:r w:rsidRPr="00586BF8">
          <w:rPr>
            <w:rStyle w:val="Hyperlink"/>
            <w:sz w:val="24"/>
            <w:lang w:val="sk-SK"/>
          </w:rPr>
          <w:t>http://data.europa.eu/eli/reco/2024/1238/oj</w:t>
        </w:r>
      </w:hyperlink>
      <w:r w:rsidRPr="00586BF8">
        <w:rPr>
          <w:sz w:val="24"/>
          <w:lang w:val="sk-SK"/>
        </w:rPr>
        <w:t>.</w:t>
      </w:r>
    </w:p>
  </w:footnote>
  <w:footnote w:id="24">
    <w:p w14:paraId="78C26CB8" w14:textId="2FBC6EC4" w:rsidR="00EF79E1" w:rsidRPr="00586BF8" w:rsidRDefault="00EF79E1" w:rsidP="00586BF8">
      <w:pPr>
        <w:pStyle w:val="FootnoteText"/>
        <w:ind w:left="567" w:hanging="567"/>
        <w:rPr>
          <w:sz w:val="24"/>
          <w:lang w:val="sk-SK"/>
        </w:rPr>
      </w:pPr>
      <w:r w:rsidRPr="00586BF8">
        <w:rPr>
          <w:rStyle w:val="FootnoteReference"/>
          <w:sz w:val="24"/>
          <w:lang w:val="sk-SK"/>
        </w:rPr>
        <w:footnoteRef/>
      </w:r>
      <w:r w:rsidR="00586BF8" w:rsidRPr="00586BF8">
        <w:rPr>
          <w:sz w:val="24"/>
          <w:lang w:val="sk-SK"/>
        </w:rPr>
        <w:t xml:space="preserve"> </w:t>
      </w:r>
      <w:r w:rsidR="00586BF8" w:rsidRPr="00586BF8">
        <w:rPr>
          <w:sz w:val="24"/>
          <w:lang w:val="sk-SK"/>
        </w:rPr>
        <w:tab/>
      </w:r>
      <w:r w:rsidRPr="00586BF8">
        <w:rPr>
          <w:sz w:val="24"/>
          <w:lang w:val="sk-SK"/>
        </w:rPr>
        <w:t xml:space="preserve">Ú. v. EÚ L 223, 22.6.2021, s. </w:t>
      </w:r>
      <w:r w:rsidRPr="00586BF8">
        <w:rPr>
          <w:sz w:val="24"/>
          <w:lang w:val="sk-SK"/>
        </w:rPr>
        <w:t xml:space="preserve">14, ELI: </w:t>
      </w:r>
      <w:hyperlink r:id="rId14" w:history="1">
        <w:r w:rsidRPr="00586BF8">
          <w:rPr>
            <w:rStyle w:val="Hyperlink"/>
            <w:sz w:val="24"/>
            <w:lang w:val="sk-SK"/>
          </w:rPr>
          <w:t>http://data.europa.eu/eli/reco/2021/1004/oj</w:t>
        </w:r>
      </w:hyperlink>
      <w:r w:rsidRPr="00586BF8">
        <w:rPr>
          <w:sz w:val="24"/>
          <w:lang w:val="sk-SK"/>
        </w:rPr>
        <w:t>.</w:t>
      </w:r>
    </w:p>
  </w:footnote>
  <w:footnote w:id="25">
    <w:p w14:paraId="55D1B917" w14:textId="65012D53" w:rsidR="00EF79E1" w:rsidRPr="00586BF8" w:rsidRDefault="00EF79E1" w:rsidP="00586BF8">
      <w:pPr>
        <w:pStyle w:val="FootnoteText"/>
        <w:ind w:left="567" w:hanging="567"/>
        <w:rPr>
          <w:sz w:val="24"/>
          <w:lang w:val="sk-SK"/>
        </w:rPr>
      </w:pPr>
      <w:r w:rsidRPr="00586BF8">
        <w:rPr>
          <w:rStyle w:val="FootnoteReference"/>
          <w:sz w:val="24"/>
          <w:lang w:val="sk-SK"/>
        </w:rPr>
        <w:footnoteRef/>
      </w:r>
      <w:r w:rsidR="00586BF8" w:rsidRPr="00586BF8">
        <w:rPr>
          <w:sz w:val="24"/>
          <w:lang w:val="sk-SK"/>
        </w:rPr>
        <w:t xml:space="preserve"> </w:t>
      </w:r>
      <w:r w:rsidR="00586BF8" w:rsidRPr="00586BF8">
        <w:rPr>
          <w:sz w:val="24"/>
          <w:lang w:val="sk-SK"/>
        </w:rPr>
        <w:tab/>
      </w:r>
      <w:r w:rsidRPr="00586BF8">
        <w:rPr>
          <w:sz w:val="24"/>
          <w:lang w:val="sk-SK"/>
        </w:rPr>
        <w:t>Ú. v. EÚ C 93, 19.3.2021, s. 1.</w:t>
      </w:r>
    </w:p>
  </w:footnote>
  <w:footnote w:id="26">
    <w:p w14:paraId="69B69712" w14:textId="77DB8836" w:rsidR="00EF79E1" w:rsidRPr="00586BF8" w:rsidRDefault="00EF79E1" w:rsidP="00586BF8">
      <w:pPr>
        <w:pStyle w:val="FootnoteText"/>
        <w:ind w:left="567" w:hanging="567"/>
        <w:rPr>
          <w:sz w:val="24"/>
          <w:lang w:val="sk-SK"/>
        </w:rPr>
      </w:pPr>
      <w:r w:rsidRPr="00586BF8">
        <w:rPr>
          <w:rStyle w:val="FootnoteReference"/>
          <w:sz w:val="24"/>
          <w:lang w:val="sk-SK"/>
        </w:rPr>
        <w:footnoteRef/>
      </w:r>
      <w:r w:rsidR="00586BF8" w:rsidRPr="00586BF8">
        <w:rPr>
          <w:sz w:val="24"/>
          <w:lang w:val="sk-SK"/>
        </w:rPr>
        <w:t xml:space="preserve"> </w:t>
      </w:r>
      <w:r w:rsidR="00586BF8" w:rsidRPr="00586BF8">
        <w:rPr>
          <w:sz w:val="24"/>
          <w:lang w:val="sk-SK"/>
        </w:rPr>
        <w:tab/>
      </w:r>
      <w:r w:rsidRPr="00586BF8">
        <w:rPr>
          <w:sz w:val="24"/>
          <w:lang w:val="sk-SK"/>
        </w:rPr>
        <w:t>Ú. v. EÚ C 387, 15.11.2019, s. 1.</w:t>
      </w:r>
    </w:p>
  </w:footnote>
  <w:footnote w:id="27">
    <w:p w14:paraId="1CCE8713" w14:textId="3A27EB7C" w:rsidR="00EF79E1" w:rsidRPr="00586BF8" w:rsidRDefault="00EF79E1" w:rsidP="00586BF8">
      <w:pPr>
        <w:pStyle w:val="FootnoteText"/>
        <w:ind w:left="567" w:hanging="567"/>
        <w:rPr>
          <w:sz w:val="24"/>
          <w:lang w:val="sk-SK"/>
        </w:rPr>
      </w:pPr>
      <w:r w:rsidRPr="00586BF8">
        <w:rPr>
          <w:rStyle w:val="FootnoteReference"/>
          <w:sz w:val="24"/>
          <w:lang w:val="sk-SK"/>
        </w:rPr>
        <w:footnoteRef/>
      </w:r>
      <w:r w:rsidR="00586BF8" w:rsidRPr="00586BF8">
        <w:rPr>
          <w:sz w:val="24"/>
          <w:lang w:val="sk-SK"/>
        </w:rPr>
        <w:t xml:space="preserve"> </w:t>
      </w:r>
      <w:r w:rsidR="00586BF8" w:rsidRPr="00586BF8">
        <w:rPr>
          <w:sz w:val="24"/>
          <w:lang w:val="sk-SK"/>
        </w:rPr>
        <w:tab/>
      </w:r>
      <w:r w:rsidRPr="00586BF8">
        <w:rPr>
          <w:sz w:val="24"/>
          <w:lang w:val="sk-SK"/>
        </w:rPr>
        <w:t>Ú. v. EÚ C 41, 3.2.2023, s. 1.</w:t>
      </w:r>
    </w:p>
  </w:footnote>
  <w:footnote w:id="28">
    <w:p w14:paraId="3A20AF35" w14:textId="1614F707" w:rsidR="00EF79E1" w:rsidRPr="00586BF8" w:rsidRDefault="00EF79E1" w:rsidP="00586BF8">
      <w:pPr>
        <w:pStyle w:val="FootnoteText"/>
        <w:ind w:left="567" w:hanging="567"/>
        <w:rPr>
          <w:sz w:val="24"/>
          <w:lang w:val="sk-SK"/>
        </w:rPr>
      </w:pPr>
      <w:r w:rsidRPr="00586BF8">
        <w:rPr>
          <w:rStyle w:val="FootnoteReference"/>
          <w:sz w:val="24"/>
          <w:lang w:val="sk-SK"/>
        </w:rPr>
        <w:footnoteRef/>
      </w:r>
      <w:r w:rsidR="00586BF8" w:rsidRPr="00586BF8">
        <w:rPr>
          <w:sz w:val="24"/>
          <w:lang w:val="sk-SK"/>
        </w:rPr>
        <w:t xml:space="preserve"> </w:t>
      </w:r>
      <w:r w:rsidR="00586BF8" w:rsidRPr="00586BF8">
        <w:rPr>
          <w:sz w:val="24"/>
          <w:lang w:val="sk-SK"/>
        </w:rPr>
        <w:tab/>
      </w:r>
      <w:r w:rsidRPr="00586BF8">
        <w:rPr>
          <w:sz w:val="24"/>
          <w:lang w:val="sk-SK"/>
        </w:rPr>
        <w:t>Ú. v. </w:t>
      </w:r>
      <w:r w:rsidRPr="00586BF8">
        <w:rPr>
          <w:sz w:val="24"/>
          <w:lang w:val="sk-SK"/>
        </w:rPr>
        <w:t xml:space="preserve">EÚ C, C/2025/6322, 3.12.2025, ELI: </w:t>
      </w:r>
      <w:hyperlink r:id="rId15" w:history="1">
        <w:r w:rsidRPr="00586BF8">
          <w:rPr>
            <w:rStyle w:val="Hyperlink"/>
            <w:sz w:val="24"/>
            <w:lang w:val="sk-SK"/>
          </w:rPr>
          <w:t>http://data.europa.eu/eli/C/2025/6322/oj</w:t>
        </w:r>
      </w:hyperlink>
      <w:r w:rsidRPr="00586BF8">
        <w:rPr>
          <w:sz w:val="24"/>
          <w:lang w:val="sk-SK"/>
        </w:rPr>
        <w:t>.</w:t>
      </w:r>
    </w:p>
  </w:footnote>
  <w:footnote w:id="29">
    <w:p w14:paraId="12EE4CCA" w14:textId="16797CAB" w:rsidR="00EF79E1" w:rsidRPr="00586BF8" w:rsidRDefault="00EF79E1" w:rsidP="00586BF8">
      <w:pPr>
        <w:pStyle w:val="FootnoteText"/>
        <w:ind w:left="567" w:hanging="567"/>
        <w:rPr>
          <w:sz w:val="24"/>
          <w:lang w:val="sk-SK"/>
        </w:rPr>
      </w:pPr>
      <w:r w:rsidRPr="00586BF8">
        <w:rPr>
          <w:rStyle w:val="FootnoteReference"/>
          <w:sz w:val="24"/>
          <w:lang w:val="sk-SK"/>
        </w:rPr>
        <w:footnoteRef/>
      </w:r>
      <w:r w:rsidR="00586BF8" w:rsidRPr="00586BF8">
        <w:rPr>
          <w:sz w:val="24"/>
          <w:lang w:val="sk-SK"/>
        </w:rPr>
        <w:t xml:space="preserve"> </w:t>
      </w:r>
      <w:r w:rsidR="00586BF8" w:rsidRPr="00586BF8">
        <w:rPr>
          <w:sz w:val="24"/>
          <w:lang w:val="sk-SK"/>
        </w:rPr>
        <w:tab/>
      </w:r>
      <w:proofErr w:type="spellStart"/>
      <w:r w:rsidRPr="00586BF8">
        <w:rPr>
          <w:sz w:val="24"/>
          <w:lang w:val="sk-SK"/>
        </w:rPr>
        <w:t>Eurostat</w:t>
      </w:r>
      <w:proofErr w:type="spellEnd"/>
      <w:r w:rsidRPr="00586BF8">
        <w:rPr>
          <w:sz w:val="24"/>
          <w:lang w:val="sk-SK"/>
        </w:rPr>
        <w:t xml:space="preserve">, </w:t>
      </w:r>
      <w:r w:rsidRPr="00586BF8">
        <w:rPr>
          <w:i/>
          <w:iCs/>
          <w:sz w:val="24"/>
          <w:lang w:val="sk-SK"/>
        </w:rPr>
        <w:t xml:space="preserve">Severe </w:t>
      </w:r>
      <w:proofErr w:type="spellStart"/>
      <w:r w:rsidRPr="00586BF8">
        <w:rPr>
          <w:i/>
          <w:iCs/>
          <w:sz w:val="24"/>
          <w:lang w:val="sk-SK"/>
        </w:rPr>
        <w:t>material</w:t>
      </w:r>
      <w:proofErr w:type="spellEnd"/>
      <w:r w:rsidRPr="00586BF8">
        <w:rPr>
          <w:i/>
          <w:iCs/>
          <w:sz w:val="24"/>
          <w:lang w:val="sk-SK"/>
        </w:rPr>
        <w:t xml:space="preserve"> and </w:t>
      </w:r>
      <w:proofErr w:type="spellStart"/>
      <w:r w:rsidRPr="00586BF8">
        <w:rPr>
          <w:i/>
          <w:iCs/>
          <w:sz w:val="24"/>
          <w:lang w:val="sk-SK"/>
        </w:rPr>
        <w:t>social</w:t>
      </w:r>
      <w:proofErr w:type="spellEnd"/>
      <w:r w:rsidRPr="00586BF8">
        <w:rPr>
          <w:i/>
          <w:iCs/>
          <w:sz w:val="24"/>
          <w:lang w:val="sk-SK"/>
        </w:rPr>
        <w:t xml:space="preserve"> </w:t>
      </w:r>
      <w:proofErr w:type="spellStart"/>
      <w:r w:rsidRPr="00586BF8">
        <w:rPr>
          <w:i/>
          <w:iCs/>
          <w:sz w:val="24"/>
          <w:lang w:val="sk-SK"/>
        </w:rPr>
        <w:t>deprivation</w:t>
      </w:r>
      <w:proofErr w:type="spellEnd"/>
      <w:r w:rsidRPr="00586BF8">
        <w:rPr>
          <w:i/>
          <w:iCs/>
          <w:sz w:val="24"/>
          <w:lang w:val="sk-SK"/>
        </w:rPr>
        <w:t xml:space="preserve"> rate by </w:t>
      </w:r>
      <w:proofErr w:type="spellStart"/>
      <w:r w:rsidRPr="00586BF8">
        <w:rPr>
          <w:i/>
          <w:iCs/>
          <w:sz w:val="24"/>
          <w:lang w:val="sk-SK"/>
        </w:rPr>
        <w:t>age</w:t>
      </w:r>
      <w:proofErr w:type="spellEnd"/>
      <w:r w:rsidRPr="00586BF8">
        <w:rPr>
          <w:i/>
          <w:iCs/>
          <w:sz w:val="24"/>
          <w:lang w:val="sk-SK"/>
        </w:rPr>
        <w:t xml:space="preserve"> and sex</w:t>
      </w:r>
      <w:r w:rsidRPr="00586BF8">
        <w:rPr>
          <w:sz w:val="24"/>
          <w:lang w:val="sk-SK"/>
        </w:rPr>
        <w:t xml:space="preserve">, prehliadač údajov </w:t>
      </w:r>
      <w:proofErr w:type="spellStart"/>
      <w:r w:rsidRPr="00586BF8">
        <w:rPr>
          <w:sz w:val="24"/>
          <w:lang w:val="sk-SK"/>
        </w:rPr>
        <w:t>Eurostatu</w:t>
      </w:r>
      <w:proofErr w:type="spellEnd"/>
      <w:r w:rsidRPr="00586BF8">
        <w:rPr>
          <w:sz w:val="24"/>
          <w:lang w:val="sk-SK"/>
        </w:rPr>
        <w:t xml:space="preserve">, 14. novembra 2025, konzultované 9. </w:t>
      </w:r>
      <w:r w:rsidRPr="00586BF8">
        <w:rPr>
          <w:sz w:val="24"/>
          <w:lang w:val="sk-SK"/>
        </w:rPr>
        <w:t xml:space="preserve">decembra 2025, </w:t>
      </w:r>
      <w:hyperlink r:id="rId16" w:history="1">
        <w:r w:rsidRPr="00586BF8">
          <w:rPr>
            <w:rStyle w:val="Hyperlink"/>
            <w:sz w:val="24"/>
            <w:lang w:val="sk-SK"/>
          </w:rPr>
          <w:t>https://ec.europa.eu/eurostat/databrowser/view/ilc_mdsd11/default/table?lang=en</w:t>
        </w:r>
      </w:hyperlink>
    </w:p>
  </w:footnote>
  <w:footnote w:id="30">
    <w:p w14:paraId="5B048E43" w14:textId="03A652DE" w:rsidR="00EF79E1" w:rsidRPr="00586BF8" w:rsidRDefault="00EF79E1" w:rsidP="00586BF8">
      <w:pPr>
        <w:pStyle w:val="FootnoteText"/>
        <w:ind w:left="567" w:hanging="567"/>
        <w:rPr>
          <w:sz w:val="24"/>
          <w:lang w:val="sk-SK"/>
        </w:rPr>
      </w:pPr>
      <w:r w:rsidRPr="00586BF8">
        <w:rPr>
          <w:rStyle w:val="FootnoteReference"/>
          <w:sz w:val="24"/>
          <w:lang w:val="sk-SK"/>
        </w:rPr>
        <w:footnoteRef/>
      </w:r>
      <w:r w:rsidR="00586BF8" w:rsidRPr="00586BF8">
        <w:rPr>
          <w:sz w:val="24"/>
          <w:lang w:val="sk-SK"/>
        </w:rPr>
        <w:t xml:space="preserve"> </w:t>
      </w:r>
      <w:r w:rsidR="00586BF8" w:rsidRPr="00586BF8">
        <w:rPr>
          <w:sz w:val="24"/>
          <w:lang w:val="sk-SK"/>
        </w:rPr>
        <w:tab/>
      </w:r>
      <w:proofErr w:type="spellStart"/>
      <w:r w:rsidRPr="00586BF8">
        <w:rPr>
          <w:sz w:val="24"/>
          <w:lang w:val="sk-SK"/>
        </w:rPr>
        <w:t>Eurostat</w:t>
      </w:r>
      <w:proofErr w:type="spellEnd"/>
      <w:r w:rsidRPr="00586BF8">
        <w:rPr>
          <w:sz w:val="24"/>
          <w:lang w:val="sk-SK"/>
        </w:rPr>
        <w:t xml:space="preserve">, </w:t>
      </w:r>
      <w:r w:rsidRPr="00586BF8">
        <w:rPr>
          <w:i/>
          <w:iCs/>
          <w:sz w:val="24"/>
          <w:lang w:val="sk-SK"/>
        </w:rPr>
        <w:t>At-risk-of-</w:t>
      </w:r>
      <w:proofErr w:type="spellStart"/>
      <w:r w:rsidRPr="00586BF8">
        <w:rPr>
          <w:i/>
          <w:iCs/>
          <w:sz w:val="24"/>
          <w:lang w:val="sk-SK"/>
        </w:rPr>
        <w:t>poverty</w:t>
      </w:r>
      <w:proofErr w:type="spellEnd"/>
      <w:r w:rsidRPr="00586BF8">
        <w:rPr>
          <w:i/>
          <w:iCs/>
          <w:sz w:val="24"/>
          <w:lang w:val="sk-SK"/>
        </w:rPr>
        <w:t xml:space="preserve"> rate by </w:t>
      </w:r>
      <w:proofErr w:type="spellStart"/>
      <w:r w:rsidRPr="00586BF8">
        <w:rPr>
          <w:i/>
          <w:iCs/>
          <w:sz w:val="24"/>
          <w:lang w:val="sk-SK"/>
        </w:rPr>
        <w:t>poverty</w:t>
      </w:r>
      <w:proofErr w:type="spellEnd"/>
      <w:r w:rsidRPr="00586BF8">
        <w:rPr>
          <w:i/>
          <w:iCs/>
          <w:sz w:val="24"/>
          <w:lang w:val="sk-SK"/>
        </w:rPr>
        <w:t xml:space="preserve"> </w:t>
      </w:r>
      <w:proofErr w:type="spellStart"/>
      <w:r w:rsidRPr="00586BF8">
        <w:rPr>
          <w:i/>
          <w:iCs/>
          <w:sz w:val="24"/>
          <w:lang w:val="sk-SK"/>
        </w:rPr>
        <w:t>threshold</w:t>
      </w:r>
      <w:proofErr w:type="spellEnd"/>
      <w:r w:rsidRPr="00586BF8">
        <w:rPr>
          <w:i/>
          <w:iCs/>
          <w:sz w:val="24"/>
          <w:lang w:val="sk-SK"/>
        </w:rPr>
        <w:t xml:space="preserve"> and </w:t>
      </w:r>
      <w:proofErr w:type="spellStart"/>
      <w:r w:rsidRPr="00586BF8">
        <w:rPr>
          <w:i/>
          <w:iCs/>
          <w:sz w:val="24"/>
          <w:lang w:val="sk-SK"/>
        </w:rPr>
        <w:t>household</w:t>
      </w:r>
      <w:proofErr w:type="spellEnd"/>
      <w:r w:rsidRPr="00586BF8">
        <w:rPr>
          <w:i/>
          <w:iCs/>
          <w:sz w:val="24"/>
          <w:lang w:val="sk-SK"/>
        </w:rPr>
        <w:t xml:space="preserve"> type</w:t>
      </w:r>
      <w:r w:rsidRPr="00586BF8">
        <w:rPr>
          <w:sz w:val="24"/>
          <w:lang w:val="sk-SK"/>
        </w:rPr>
        <w:t xml:space="preserve">, prehliadač údajov </w:t>
      </w:r>
      <w:proofErr w:type="spellStart"/>
      <w:r w:rsidRPr="00586BF8">
        <w:rPr>
          <w:sz w:val="24"/>
          <w:lang w:val="sk-SK"/>
        </w:rPr>
        <w:t>Eurostatu</w:t>
      </w:r>
      <w:proofErr w:type="spellEnd"/>
      <w:r w:rsidRPr="00586BF8">
        <w:rPr>
          <w:sz w:val="24"/>
          <w:lang w:val="sk-SK"/>
        </w:rPr>
        <w:t xml:space="preserve">, 14. novembra 2025, konzultované 9. </w:t>
      </w:r>
      <w:r w:rsidRPr="00586BF8">
        <w:rPr>
          <w:sz w:val="24"/>
          <w:lang w:val="sk-SK"/>
        </w:rPr>
        <w:t xml:space="preserve">decembra 2025, </w:t>
      </w:r>
      <w:hyperlink r:id="rId17" w:history="1">
        <w:r w:rsidRPr="00586BF8">
          <w:rPr>
            <w:rStyle w:val="Hyperlink"/>
            <w:sz w:val="24"/>
            <w:lang w:val="sk-SK"/>
          </w:rPr>
          <w:t>https://ec.europa.eu/eurostat/databrowser/view/ilc_li03/default/table?lang=en</w:t>
        </w:r>
      </w:hyperlink>
      <w:r w:rsidRPr="00586BF8">
        <w:rPr>
          <w:sz w:val="24"/>
          <w:lang w:val="sk-SK"/>
        </w:rPr>
        <w:t>.</w:t>
      </w:r>
    </w:p>
  </w:footnote>
  <w:footnote w:id="31">
    <w:p w14:paraId="58D298F9" w14:textId="24E2E9B8" w:rsidR="00EF79E1" w:rsidRPr="00586BF8" w:rsidRDefault="00EF79E1" w:rsidP="00586BF8">
      <w:pPr>
        <w:pStyle w:val="FootnoteText"/>
        <w:ind w:left="567" w:hanging="567"/>
        <w:rPr>
          <w:sz w:val="24"/>
          <w:lang w:val="sk-SK"/>
        </w:rPr>
      </w:pPr>
      <w:r w:rsidRPr="00586BF8">
        <w:rPr>
          <w:rStyle w:val="FootnoteReference"/>
          <w:sz w:val="24"/>
          <w:lang w:val="sk-SK"/>
        </w:rPr>
        <w:footnoteRef/>
      </w:r>
      <w:r w:rsidR="00586BF8" w:rsidRPr="00586BF8">
        <w:rPr>
          <w:sz w:val="24"/>
          <w:lang w:val="sk-SK"/>
        </w:rPr>
        <w:t xml:space="preserve"> </w:t>
      </w:r>
      <w:r w:rsidR="00586BF8" w:rsidRPr="00586BF8">
        <w:rPr>
          <w:sz w:val="24"/>
          <w:lang w:val="sk-SK"/>
        </w:rPr>
        <w:tab/>
      </w:r>
      <w:r w:rsidRPr="00586BF8">
        <w:rPr>
          <w:sz w:val="24"/>
          <w:lang w:val="sk-SK"/>
        </w:rPr>
        <w:t xml:space="preserve">Európska komisia, Generálne riaditeľstvo pre zamestnanosť, sociálne záležitosti a začlenenie, </w:t>
      </w:r>
      <w:proofErr w:type="spellStart"/>
      <w:r w:rsidRPr="00586BF8">
        <w:rPr>
          <w:i/>
          <w:sz w:val="24"/>
          <w:lang w:val="sk-SK"/>
        </w:rPr>
        <w:t>Employment</w:t>
      </w:r>
      <w:proofErr w:type="spellEnd"/>
      <w:r w:rsidRPr="00586BF8">
        <w:rPr>
          <w:i/>
          <w:sz w:val="24"/>
          <w:lang w:val="sk-SK"/>
        </w:rPr>
        <w:t xml:space="preserve"> and </w:t>
      </w:r>
      <w:proofErr w:type="spellStart"/>
      <w:r w:rsidRPr="00586BF8">
        <w:rPr>
          <w:i/>
          <w:sz w:val="24"/>
          <w:lang w:val="sk-SK"/>
        </w:rPr>
        <w:t>social</w:t>
      </w:r>
      <w:proofErr w:type="spellEnd"/>
      <w:r w:rsidRPr="00586BF8">
        <w:rPr>
          <w:i/>
          <w:sz w:val="24"/>
          <w:lang w:val="sk-SK"/>
        </w:rPr>
        <w:t xml:space="preserve"> </w:t>
      </w:r>
      <w:proofErr w:type="spellStart"/>
      <w:r w:rsidRPr="00586BF8">
        <w:rPr>
          <w:i/>
          <w:sz w:val="24"/>
          <w:lang w:val="sk-SK"/>
        </w:rPr>
        <w:t>developments</w:t>
      </w:r>
      <w:proofErr w:type="spellEnd"/>
      <w:r w:rsidRPr="00586BF8">
        <w:rPr>
          <w:i/>
          <w:sz w:val="24"/>
          <w:lang w:val="sk-SK"/>
        </w:rPr>
        <w:t xml:space="preserve"> in </w:t>
      </w:r>
      <w:proofErr w:type="spellStart"/>
      <w:r w:rsidRPr="00586BF8">
        <w:rPr>
          <w:i/>
          <w:sz w:val="24"/>
          <w:lang w:val="sk-SK"/>
        </w:rPr>
        <w:t>Europe</w:t>
      </w:r>
      <w:proofErr w:type="spellEnd"/>
      <w:r w:rsidRPr="00586BF8">
        <w:rPr>
          <w:i/>
          <w:sz w:val="24"/>
          <w:lang w:val="sk-SK"/>
        </w:rPr>
        <w:t xml:space="preserve"> 2024</w:t>
      </w:r>
      <w:r w:rsidRPr="00586BF8">
        <w:rPr>
          <w:sz w:val="24"/>
          <w:lang w:val="sk-SK"/>
        </w:rPr>
        <w:t>, Úrad pre vydávanie publikácií Európskej únie, 2024.</w:t>
      </w:r>
    </w:p>
  </w:footnote>
  <w:footnote w:id="32">
    <w:p w14:paraId="2243733B" w14:textId="4A5FEB84" w:rsidR="00EF79E1" w:rsidRPr="00586BF8" w:rsidRDefault="00EF79E1" w:rsidP="00586BF8">
      <w:pPr>
        <w:pStyle w:val="FootnoteText"/>
        <w:ind w:left="567" w:hanging="567"/>
        <w:rPr>
          <w:sz w:val="24"/>
          <w:lang w:val="sk-SK"/>
        </w:rPr>
      </w:pPr>
      <w:r w:rsidRPr="00586BF8">
        <w:rPr>
          <w:rStyle w:val="FootnoteReference"/>
          <w:sz w:val="24"/>
          <w:lang w:val="sk-SK"/>
        </w:rPr>
        <w:footnoteRef/>
      </w:r>
      <w:r w:rsidR="00586BF8" w:rsidRPr="00586BF8">
        <w:rPr>
          <w:sz w:val="24"/>
          <w:lang w:val="sk-SK"/>
        </w:rPr>
        <w:t xml:space="preserve"> </w:t>
      </w:r>
      <w:r w:rsidR="00586BF8" w:rsidRPr="00586BF8">
        <w:rPr>
          <w:sz w:val="24"/>
          <w:lang w:val="sk-SK"/>
        </w:rPr>
        <w:tab/>
      </w:r>
      <w:r w:rsidRPr="00586BF8">
        <w:rPr>
          <w:sz w:val="24"/>
          <w:lang w:val="sk-SK"/>
        </w:rPr>
        <w:t xml:space="preserve">Európska komisia, Generálne riaditeľstvo pre vzdelávanie, mládež, šport a kultúru, </w:t>
      </w:r>
      <w:proofErr w:type="spellStart"/>
      <w:r w:rsidRPr="00586BF8">
        <w:rPr>
          <w:i/>
          <w:sz w:val="24"/>
          <w:lang w:val="sk-SK"/>
        </w:rPr>
        <w:t>Education</w:t>
      </w:r>
      <w:proofErr w:type="spellEnd"/>
      <w:r w:rsidRPr="00586BF8">
        <w:rPr>
          <w:i/>
          <w:sz w:val="24"/>
          <w:lang w:val="sk-SK"/>
        </w:rPr>
        <w:t xml:space="preserve"> and </w:t>
      </w:r>
      <w:proofErr w:type="spellStart"/>
      <w:r w:rsidRPr="00586BF8">
        <w:rPr>
          <w:i/>
          <w:sz w:val="24"/>
          <w:lang w:val="sk-SK"/>
        </w:rPr>
        <w:t>training</w:t>
      </w:r>
      <w:proofErr w:type="spellEnd"/>
      <w:r w:rsidRPr="00586BF8">
        <w:rPr>
          <w:i/>
          <w:sz w:val="24"/>
          <w:lang w:val="sk-SK"/>
        </w:rPr>
        <w:t xml:space="preserve"> monitor 2024 – </w:t>
      </w:r>
      <w:proofErr w:type="spellStart"/>
      <w:r w:rsidRPr="00586BF8">
        <w:rPr>
          <w:i/>
          <w:sz w:val="24"/>
          <w:lang w:val="sk-SK"/>
        </w:rPr>
        <w:t>Comparative</w:t>
      </w:r>
      <w:proofErr w:type="spellEnd"/>
      <w:r w:rsidRPr="00586BF8">
        <w:rPr>
          <w:i/>
          <w:sz w:val="24"/>
          <w:lang w:val="sk-SK"/>
        </w:rPr>
        <w:t xml:space="preserve"> report</w:t>
      </w:r>
      <w:r w:rsidRPr="00586BF8">
        <w:rPr>
          <w:sz w:val="24"/>
          <w:lang w:val="sk-SK"/>
        </w:rPr>
        <w:t>, Úrad pre vydávanie publikácií Európskej únie, 2024.</w:t>
      </w:r>
    </w:p>
  </w:footnote>
  <w:footnote w:id="33">
    <w:p w14:paraId="10A8720F" w14:textId="58B19DCE" w:rsidR="00EF79E1" w:rsidRPr="00586BF8" w:rsidRDefault="00EF79E1" w:rsidP="00586BF8">
      <w:pPr>
        <w:pStyle w:val="FootnoteText"/>
        <w:ind w:left="567" w:hanging="567"/>
        <w:rPr>
          <w:sz w:val="24"/>
          <w:lang w:val="sk-SK"/>
        </w:rPr>
      </w:pPr>
      <w:r w:rsidRPr="00586BF8">
        <w:rPr>
          <w:rStyle w:val="FootnoteReference"/>
          <w:sz w:val="24"/>
          <w:lang w:val="sk-SK"/>
        </w:rPr>
        <w:footnoteRef/>
      </w:r>
      <w:r w:rsidR="00586BF8" w:rsidRPr="00586BF8">
        <w:rPr>
          <w:sz w:val="24"/>
          <w:lang w:val="sk-SK"/>
        </w:rPr>
        <w:t xml:space="preserve"> </w:t>
      </w:r>
      <w:r w:rsidR="00586BF8" w:rsidRPr="00586BF8">
        <w:rPr>
          <w:sz w:val="24"/>
          <w:lang w:val="sk-SK"/>
        </w:rPr>
        <w:tab/>
      </w:r>
      <w:proofErr w:type="spellStart"/>
      <w:r w:rsidRPr="00586BF8">
        <w:rPr>
          <w:sz w:val="24"/>
          <w:lang w:val="sk-SK"/>
        </w:rPr>
        <w:t>Briefing</w:t>
      </w:r>
      <w:proofErr w:type="spellEnd"/>
      <w:r w:rsidRPr="00586BF8">
        <w:rPr>
          <w:sz w:val="24"/>
          <w:lang w:val="sk-SK"/>
        </w:rPr>
        <w:t xml:space="preserve"> – </w:t>
      </w:r>
      <w:proofErr w:type="spellStart"/>
      <w:r w:rsidRPr="00586BF8">
        <w:rPr>
          <w:i/>
          <w:iCs/>
          <w:sz w:val="24"/>
          <w:lang w:val="sk-SK"/>
        </w:rPr>
        <w:t>The</w:t>
      </w:r>
      <w:proofErr w:type="spellEnd"/>
      <w:r w:rsidRPr="00586BF8">
        <w:rPr>
          <w:i/>
          <w:iCs/>
          <w:sz w:val="24"/>
          <w:lang w:val="sk-SK"/>
        </w:rPr>
        <w:t xml:space="preserve"> </w:t>
      </w:r>
      <w:proofErr w:type="spellStart"/>
      <w:r w:rsidRPr="00586BF8">
        <w:rPr>
          <w:i/>
          <w:iCs/>
          <w:sz w:val="24"/>
          <w:lang w:val="sk-SK"/>
        </w:rPr>
        <w:t>gender</w:t>
      </w:r>
      <w:proofErr w:type="spellEnd"/>
      <w:r w:rsidRPr="00586BF8">
        <w:rPr>
          <w:i/>
          <w:iCs/>
          <w:sz w:val="24"/>
          <w:lang w:val="sk-SK"/>
        </w:rPr>
        <w:t xml:space="preserve"> </w:t>
      </w:r>
      <w:proofErr w:type="spellStart"/>
      <w:r w:rsidRPr="00586BF8">
        <w:rPr>
          <w:i/>
          <w:iCs/>
          <w:sz w:val="24"/>
          <w:lang w:val="sk-SK"/>
        </w:rPr>
        <w:t>gap</w:t>
      </w:r>
      <w:proofErr w:type="spellEnd"/>
      <w:r w:rsidRPr="00586BF8">
        <w:rPr>
          <w:i/>
          <w:iCs/>
          <w:sz w:val="24"/>
          <w:lang w:val="sk-SK"/>
        </w:rPr>
        <w:t xml:space="preserve"> in </w:t>
      </w:r>
      <w:proofErr w:type="spellStart"/>
      <w:r w:rsidRPr="00586BF8">
        <w:rPr>
          <w:i/>
          <w:iCs/>
          <w:sz w:val="24"/>
          <w:lang w:val="sk-SK"/>
        </w:rPr>
        <w:t>pensions</w:t>
      </w:r>
      <w:proofErr w:type="spellEnd"/>
      <w:r w:rsidRPr="00586BF8">
        <w:rPr>
          <w:i/>
          <w:iCs/>
          <w:sz w:val="24"/>
          <w:lang w:val="sk-SK"/>
        </w:rPr>
        <w:t xml:space="preserve"> in </w:t>
      </w:r>
      <w:proofErr w:type="spellStart"/>
      <w:r w:rsidRPr="00586BF8">
        <w:rPr>
          <w:i/>
          <w:iCs/>
          <w:sz w:val="24"/>
          <w:lang w:val="sk-SK"/>
        </w:rPr>
        <w:t>the</w:t>
      </w:r>
      <w:proofErr w:type="spellEnd"/>
      <w:r w:rsidRPr="00586BF8">
        <w:rPr>
          <w:i/>
          <w:iCs/>
          <w:sz w:val="24"/>
          <w:lang w:val="sk-SK"/>
        </w:rPr>
        <w:t xml:space="preserve"> EU</w:t>
      </w:r>
      <w:r w:rsidRPr="00586BF8">
        <w:rPr>
          <w:sz w:val="24"/>
          <w:lang w:val="sk-SK"/>
        </w:rPr>
        <w:t>, Európsky parlament, generálne riaditeľstvo pre vnútorné politiky, tematická sekcia pre politiky v oblastiach hospodárstva, vedy a kvality života, júl 2019.</w:t>
      </w:r>
    </w:p>
  </w:footnote>
  <w:footnote w:id="34">
    <w:p w14:paraId="292C51D6" w14:textId="607EE6F4" w:rsidR="00EF79E1" w:rsidRPr="00586BF8" w:rsidRDefault="00EF79E1" w:rsidP="00586BF8">
      <w:pPr>
        <w:pStyle w:val="FootnoteText"/>
        <w:ind w:left="567" w:hanging="567"/>
        <w:rPr>
          <w:sz w:val="24"/>
          <w:lang w:val="sk-SK"/>
        </w:rPr>
      </w:pPr>
      <w:r w:rsidRPr="00586BF8">
        <w:rPr>
          <w:rStyle w:val="FootnoteReference"/>
          <w:sz w:val="24"/>
          <w:lang w:val="sk-SK"/>
        </w:rPr>
        <w:footnoteRef/>
      </w:r>
      <w:r w:rsidR="00586BF8" w:rsidRPr="00586BF8">
        <w:rPr>
          <w:sz w:val="24"/>
          <w:lang w:val="sk-SK"/>
        </w:rPr>
        <w:t xml:space="preserve"> </w:t>
      </w:r>
      <w:r w:rsidR="00586BF8" w:rsidRPr="00586BF8">
        <w:rPr>
          <w:sz w:val="24"/>
          <w:lang w:val="sk-SK"/>
        </w:rPr>
        <w:tab/>
      </w:r>
      <w:hyperlink r:id="rId18" w:history="1">
        <w:r w:rsidRPr="00586BF8">
          <w:rPr>
            <w:rStyle w:val="Hyperlink"/>
            <w:sz w:val="24"/>
            <w:lang w:val="sk-SK"/>
          </w:rPr>
          <w:t>https://eige.europa.eu/publications-resources/toolkits-guides/gender-equality-index-2021-report/gender-differences-household-chores</w:t>
        </w:r>
      </w:hyperlink>
      <w:r w:rsidRPr="00586BF8">
        <w:rPr>
          <w:sz w:val="24"/>
          <w:lang w:val="sk-SK"/>
        </w:rPr>
        <w:t>.</w:t>
      </w:r>
    </w:p>
  </w:footnote>
  <w:footnote w:id="35">
    <w:p w14:paraId="244C54E9" w14:textId="6477FC38" w:rsidR="00EF79E1" w:rsidRPr="00586BF8" w:rsidRDefault="00EF79E1" w:rsidP="00586BF8">
      <w:pPr>
        <w:pStyle w:val="FootnoteText"/>
        <w:ind w:left="567" w:hanging="567"/>
        <w:rPr>
          <w:sz w:val="24"/>
          <w:lang w:val="sk-SK"/>
        </w:rPr>
      </w:pPr>
      <w:r w:rsidRPr="00586BF8">
        <w:rPr>
          <w:rStyle w:val="FootnoteReference"/>
          <w:sz w:val="24"/>
          <w:lang w:val="sk-SK"/>
        </w:rPr>
        <w:footnoteRef/>
      </w:r>
      <w:r w:rsidR="00586BF8" w:rsidRPr="00586BF8">
        <w:rPr>
          <w:sz w:val="24"/>
          <w:lang w:val="sk-SK"/>
        </w:rPr>
        <w:t xml:space="preserve"> </w:t>
      </w:r>
      <w:r w:rsidR="00586BF8" w:rsidRPr="00586BF8">
        <w:rPr>
          <w:sz w:val="24"/>
          <w:lang w:val="sk-SK"/>
        </w:rPr>
        <w:tab/>
      </w:r>
      <w:proofErr w:type="spellStart"/>
      <w:r w:rsidRPr="00586BF8">
        <w:rPr>
          <w:sz w:val="24"/>
          <w:lang w:val="sk-SK"/>
        </w:rPr>
        <w:t>Eurostat</w:t>
      </w:r>
      <w:proofErr w:type="spellEnd"/>
      <w:r w:rsidRPr="00586BF8">
        <w:rPr>
          <w:sz w:val="24"/>
          <w:lang w:val="sk-SK"/>
        </w:rPr>
        <w:t xml:space="preserve">, </w:t>
      </w:r>
      <w:r w:rsidRPr="00586BF8">
        <w:rPr>
          <w:i/>
          <w:iCs/>
          <w:sz w:val="24"/>
          <w:lang w:val="sk-SK"/>
        </w:rPr>
        <w:t xml:space="preserve">Severe </w:t>
      </w:r>
      <w:proofErr w:type="spellStart"/>
      <w:r w:rsidRPr="00586BF8">
        <w:rPr>
          <w:i/>
          <w:iCs/>
          <w:sz w:val="24"/>
          <w:lang w:val="sk-SK"/>
        </w:rPr>
        <w:t>material</w:t>
      </w:r>
      <w:proofErr w:type="spellEnd"/>
      <w:r w:rsidRPr="00586BF8">
        <w:rPr>
          <w:i/>
          <w:iCs/>
          <w:sz w:val="24"/>
          <w:lang w:val="sk-SK"/>
        </w:rPr>
        <w:t xml:space="preserve"> and </w:t>
      </w:r>
      <w:proofErr w:type="spellStart"/>
      <w:r w:rsidRPr="00586BF8">
        <w:rPr>
          <w:i/>
          <w:iCs/>
          <w:sz w:val="24"/>
          <w:lang w:val="sk-SK"/>
        </w:rPr>
        <w:t>social</w:t>
      </w:r>
      <w:proofErr w:type="spellEnd"/>
      <w:r w:rsidRPr="00586BF8">
        <w:rPr>
          <w:i/>
          <w:iCs/>
          <w:sz w:val="24"/>
          <w:lang w:val="sk-SK"/>
        </w:rPr>
        <w:t xml:space="preserve"> </w:t>
      </w:r>
      <w:proofErr w:type="spellStart"/>
      <w:r w:rsidRPr="00586BF8">
        <w:rPr>
          <w:i/>
          <w:iCs/>
          <w:sz w:val="24"/>
          <w:lang w:val="sk-SK"/>
        </w:rPr>
        <w:t>deprivation</w:t>
      </w:r>
      <w:proofErr w:type="spellEnd"/>
      <w:r w:rsidRPr="00586BF8">
        <w:rPr>
          <w:i/>
          <w:iCs/>
          <w:sz w:val="24"/>
          <w:lang w:val="sk-SK"/>
        </w:rPr>
        <w:t xml:space="preserve"> rate by </w:t>
      </w:r>
      <w:proofErr w:type="spellStart"/>
      <w:r w:rsidRPr="00586BF8">
        <w:rPr>
          <w:i/>
          <w:iCs/>
          <w:sz w:val="24"/>
          <w:lang w:val="sk-SK"/>
        </w:rPr>
        <w:t>age</w:t>
      </w:r>
      <w:proofErr w:type="spellEnd"/>
      <w:r w:rsidRPr="00586BF8">
        <w:rPr>
          <w:i/>
          <w:iCs/>
          <w:sz w:val="24"/>
          <w:lang w:val="sk-SK"/>
        </w:rPr>
        <w:t xml:space="preserve"> and sex</w:t>
      </w:r>
      <w:r w:rsidRPr="00586BF8">
        <w:rPr>
          <w:sz w:val="24"/>
          <w:lang w:val="sk-SK"/>
        </w:rPr>
        <w:t xml:space="preserve">, prehliadač údajov </w:t>
      </w:r>
      <w:proofErr w:type="spellStart"/>
      <w:r w:rsidRPr="00586BF8">
        <w:rPr>
          <w:sz w:val="24"/>
          <w:lang w:val="sk-SK"/>
        </w:rPr>
        <w:t>Eurostatu</w:t>
      </w:r>
      <w:proofErr w:type="spellEnd"/>
      <w:r w:rsidRPr="00586BF8">
        <w:rPr>
          <w:sz w:val="24"/>
          <w:lang w:val="sk-SK"/>
        </w:rPr>
        <w:t xml:space="preserve">, 14. novembra 2025, konzultované 9. </w:t>
      </w:r>
      <w:r w:rsidRPr="00586BF8">
        <w:rPr>
          <w:sz w:val="24"/>
          <w:lang w:val="sk-SK"/>
        </w:rPr>
        <w:t xml:space="preserve">decembra 2025, </w:t>
      </w:r>
      <w:hyperlink r:id="rId19" w:history="1">
        <w:r w:rsidRPr="00586BF8">
          <w:rPr>
            <w:rStyle w:val="Hyperlink"/>
            <w:sz w:val="24"/>
            <w:lang w:val="sk-SK"/>
          </w:rPr>
          <w:t>https://ec.europa.eu/eurostat/databrowser/view/ilc_mdsd11/default/table?lang=en</w:t>
        </w:r>
      </w:hyperlink>
    </w:p>
  </w:footnote>
  <w:footnote w:id="36">
    <w:p w14:paraId="1F624424" w14:textId="1479BC2A" w:rsidR="00EF79E1" w:rsidRPr="00586BF8" w:rsidRDefault="00EF79E1" w:rsidP="00586BF8">
      <w:pPr>
        <w:pStyle w:val="FootnoteText"/>
        <w:ind w:left="567" w:hanging="567"/>
        <w:rPr>
          <w:sz w:val="24"/>
          <w:lang w:val="sk-SK"/>
        </w:rPr>
      </w:pPr>
      <w:r w:rsidRPr="00586BF8">
        <w:rPr>
          <w:rStyle w:val="FootnoteReference"/>
          <w:sz w:val="24"/>
          <w:lang w:val="sk-SK"/>
        </w:rPr>
        <w:footnoteRef/>
      </w:r>
      <w:r w:rsidR="00586BF8" w:rsidRPr="00586BF8">
        <w:rPr>
          <w:sz w:val="24"/>
          <w:lang w:val="sk-SK"/>
        </w:rPr>
        <w:t xml:space="preserve"> </w:t>
      </w:r>
      <w:r w:rsidR="00586BF8" w:rsidRPr="00586BF8">
        <w:rPr>
          <w:sz w:val="24"/>
          <w:lang w:val="sk-SK"/>
        </w:rPr>
        <w:tab/>
      </w:r>
      <w:proofErr w:type="spellStart"/>
      <w:r w:rsidRPr="00586BF8">
        <w:rPr>
          <w:sz w:val="24"/>
          <w:lang w:val="sk-SK"/>
        </w:rPr>
        <w:t>Eurostat</w:t>
      </w:r>
      <w:proofErr w:type="spellEnd"/>
      <w:r w:rsidRPr="00586BF8">
        <w:rPr>
          <w:sz w:val="24"/>
          <w:lang w:val="sk-SK"/>
        </w:rPr>
        <w:t xml:space="preserve">, </w:t>
      </w:r>
      <w:proofErr w:type="spellStart"/>
      <w:r w:rsidRPr="00586BF8">
        <w:rPr>
          <w:i/>
          <w:iCs/>
          <w:sz w:val="24"/>
          <w:lang w:val="sk-SK"/>
        </w:rPr>
        <w:t>Persons</w:t>
      </w:r>
      <w:proofErr w:type="spellEnd"/>
      <w:r w:rsidRPr="00586BF8">
        <w:rPr>
          <w:i/>
          <w:iCs/>
          <w:sz w:val="24"/>
          <w:lang w:val="sk-SK"/>
        </w:rPr>
        <w:t xml:space="preserve"> at risk of </w:t>
      </w:r>
      <w:proofErr w:type="spellStart"/>
      <w:r w:rsidRPr="00586BF8">
        <w:rPr>
          <w:i/>
          <w:iCs/>
          <w:sz w:val="24"/>
          <w:lang w:val="sk-SK"/>
        </w:rPr>
        <w:t>poverty</w:t>
      </w:r>
      <w:proofErr w:type="spellEnd"/>
      <w:r w:rsidRPr="00586BF8">
        <w:rPr>
          <w:i/>
          <w:iCs/>
          <w:sz w:val="24"/>
          <w:lang w:val="sk-SK"/>
        </w:rPr>
        <w:t xml:space="preserve"> or </w:t>
      </w:r>
      <w:proofErr w:type="spellStart"/>
      <w:r w:rsidRPr="00586BF8">
        <w:rPr>
          <w:i/>
          <w:iCs/>
          <w:sz w:val="24"/>
          <w:lang w:val="sk-SK"/>
        </w:rPr>
        <w:t>social</w:t>
      </w:r>
      <w:proofErr w:type="spellEnd"/>
      <w:r w:rsidRPr="00586BF8">
        <w:rPr>
          <w:i/>
          <w:iCs/>
          <w:sz w:val="24"/>
          <w:lang w:val="sk-SK"/>
        </w:rPr>
        <w:t xml:space="preserve"> </w:t>
      </w:r>
      <w:proofErr w:type="spellStart"/>
      <w:r w:rsidRPr="00586BF8">
        <w:rPr>
          <w:i/>
          <w:iCs/>
          <w:sz w:val="24"/>
          <w:lang w:val="sk-SK"/>
        </w:rPr>
        <w:t>exclusion</w:t>
      </w:r>
      <w:proofErr w:type="spellEnd"/>
      <w:r w:rsidRPr="00586BF8">
        <w:rPr>
          <w:i/>
          <w:iCs/>
          <w:sz w:val="24"/>
          <w:lang w:val="sk-SK"/>
        </w:rPr>
        <w:t xml:space="preserve"> by </w:t>
      </w:r>
      <w:proofErr w:type="spellStart"/>
      <w:r w:rsidRPr="00586BF8">
        <w:rPr>
          <w:i/>
          <w:iCs/>
          <w:sz w:val="24"/>
          <w:lang w:val="sk-SK"/>
        </w:rPr>
        <w:t>age</w:t>
      </w:r>
      <w:proofErr w:type="spellEnd"/>
      <w:r w:rsidRPr="00586BF8">
        <w:rPr>
          <w:i/>
          <w:iCs/>
          <w:sz w:val="24"/>
          <w:lang w:val="sk-SK"/>
        </w:rPr>
        <w:t xml:space="preserve"> and sex</w:t>
      </w:r>
      <w:r w:rsidRPr="00586BF8">
        <w:rPr>
          <w:sz w:val="24"/>
          <w:lang w:val="sk-SK"/>
        </w:rPr>
        <w:t xml:space="preserve">, prehliadač údajov </w:t>
      </w:r>
      <w:proofErr w:type="spellStart"/>
      <w:r w:rsidRPr="00586BF8">
        <w:rPr>
          <w:sz w:val="24"/>
          <w:lang w:val="sk-SK"/>
        </w:rPr>
        <w:t>Eurostatu</w:t>
      </w:r>
      <w:proofErr w:type="spellEnd"/>
      <w:r w:rsidRPr="00586BF8">
        <w:rPr>
          <w:sz w:val="24"/>
          <w:lang w:val="sk-SK"/>
        </w:rPr>
        <w:t>, 14. novembra 2025, konzultované 9. </w:t>
      </w:r>
      <w:r w:rsidRPr="00586BF8">
        <w:rPr>
          <w:sz w:val="24"/>
          <w:lang w:val="sk-SK"/>
        </w:rPr>
        <w:t xml:space="preserve">decembra 2025, </w:t>
      </w:r>
      <w:hyperlink r:id="rId20" w:history="1">
        <w:r w:rsidRPr="00586BF8">
          <w:rPr>
            <w:rStyle w:val="Hyperlink"/>
            <w:sz w:val="24"/>
            <w:lang w:val="sk-SK"/>
          </w:rPr>
          <w:t>https://ec.europa.eu/eurostat/databrowser/view/ilc_peps01n__custom_17280682/bookmark/table?lang=en&amp;bookmarkId=1136c1ef-3d9f-4fda-82fb-cf7423eac65e&amp;&amp;page=time:2024</w:t>
        </w:r>
      </w:hyperlink>
      <w:r w:rsidRPr="00586BF8">
        <w:rPr>
          <w:sz w:val="24"/>
          <w:lang w:val="sk-SK"/>
        </w:rPr>
        <w:t>.</w:t>
      </w:r>
    </w:p>
  </w:footnote>
  <w:footnote w:id="37">
    <w:p w14:paraId="17DCD639" w14:textId="79382A92" w:rsidR="00EF79E1" w:rsidRPr="00586BF8" w:rsidRDefault="00EF79E1" w:rsidP="00586BF8">
      <w:pPr>
        <w:pStyle w:val="FootnoteText"/>
        <w:ind w:left="567" w:hanging="567"/>
        <w:rPr>
          <w:sz w:val="24"/>
          <w:lang w:val="sk-SK"/>
        </w:rPr>
      </w:pPr>
      <w:r w:rsidRPr="00586BF8">
        <w:rPr>
          <w:rStyle w:val="FootnoteReference"/>
          <w:sz w:val="24"/>
          <w:lang w:val="sk-SK"/>
        </w:rPr>
        <w:footnoteRef/>
      </w:r>
      <w:r w:rsidR="00586BF8" w:rsidRPr="00586BF8">
        <w:rPr>
          <w:sz w:val="24"/>
          <w:lang w:val="sk-SK"/>
        </w:rPr>
        <w:t xml:space="preserve"> </w:t>
      </w:r>
      <w:r w:rsidR="00586BF8" w:rsidRPr="00586BF8">
        <w:rPr>
          <w:sz w:val="24"/>
          <w:lang w:val="sk-SK"/>
        </w:rPr>
        <w:tab/>
      </w:r>
      <w:proofErr w:type="spellStart"/>
      <w:r w:rsidRPr="00586BF8">
        <w:rPr>
          <w:sz w:val="24"/>
          <w:lang w:val="sk-SK"/>
        </w:rPr>
        <w:t>Eurostat</w:t>
      </w:r>
      <w:proofErr w:type="spellEnd"/>
      <w:r w:rsidRPr="00586BF8">
        <w:rPr>
          <w:sz w:val="24"/>
          <w:lang w:val="sk-SK"/>
        </w:rPr>
        <w:t xml:space="preserve">, </w:t>
      </w:r>
      <w:proofErr w:type="spellStart"/>
      <w:r w:rsidRPr="00586BF8">
        <w:rPr>
          <w:i/>
          <w:iCs/>
          <w:sz w:val="24"/>
          <w:lang w:val="sk-SK"/>
        </w:rPr>
        <w:t>Subjective</w:t>
      </w:r>
      <w:proofErr w:type="spellEnd"/>
      <w:r w:rsidRPr="00586BF8">
        <w:rPr>
          <w:i/>
          <w:iCs/>
          <w:sz w:val="24"/>
          <w:lang w:val="sk-SK"/>
        </w:rPr>
        <w:t xml:space="preserve"> </w:t>
      </w:r>
      <w:proofErr w:type="spellStart"/>
      <w:r w:rsidRPr="00586BF8">
        <w:rPr>
          <w:i/>
          <w:iCs/>
          <w:sz w:val="24"/>
          <w:lang w:val="sk-SK"/>
        </w:rPr>
        <w:t>poverty</w:t>
      </w:r>
      <w:proofErr w:type="spellEnd"/>
      <w:r w:rsidRPr="00586BF8">
        <w:rPr>
          <w:i/>
          <w:iCs/>
          <w:sz w:val="24"/>
          <w:lang w:val="sk-SK"/>
        </w:rPr>
        <w:t xml:space="preserve"> by </w:t>
      </w:r>
      <w:proofErr w:type="spellStart"/>
      <w:r w:rsidRPr="00586BF8">
        <w:rPr>
          <w:i/>
          <w:iCs/>
          <w:sz w:val="24"/>
          <w:lang w:val="sk-SK"/>
        </w:rPr>
        <w:t>age</w:t>
      </w:r>
      <w:proofErr w:type="spellEnd"/>
      <w:r w:rsidRPr="00586BF8">
        <w:rPr>
          <w:i/>
          <w:iCs/>
          <w:sz w:val="24"/>
          <w:lang w:val="sk-SK"/>
        </w:rPr>
        <w:t xml:space="preserve"> and sex</w:t>
      </w:r>
      <w:r w:rsidRPr="00586BF8">
        <w:rPr>
          <w:sz w:val="24"/>
          <w:lang w:val="sk-SK"/>
        </w:rPr>
        <w:t xml:space="preserve">, prehliadač údajov </w:t>
      </w:r>
      <w:proofErr w:type="spellStart"/>
      <w:r w:rsidRPr="00586BF8">
        <w:rPr>
          <w:sz w:val="24"/>
          <w:lang w:val="sk-SK"/>
        </w:rPr>
        <w:t>Eurostatu</w:t>
      </w:r>
      <w:proofErr w:type="spellEnd"/>
      <w:r w:rsidRPr="00586BF8">
        <w:rPr>
          <w:sz w:val="24"/>
          <w:lang w:val="sk-SK"/>
        </w:rPr>
        <w:t>, 14. novembra 2025, konzultované 9. </w:t>
      </w:r>
      <w:r w:rsidRPr="00586BF8">
        <w:rPr>
          <w:sz w:val="24"/>
          <w:lang w:val="sk-SK"/>
        </w:rPr>
        <w:t xml:space="preserve">decembra 2025, </w:t>
      </w:r>
      <w:hyperlink r:id="rId21" w:history="1">
        <w:r w:rsidRPr="00586BF8">
          <w:rPr>
            <w:rStyle w:val="Hyperlink"/>
            <w:sz w:val="24"/>
            <w:lang w:val="sk-SK"/>
          </w:rPr>
          <w:t>https://ec.europa.eu/eurostat/databrowser/view/ilc_sbjp01__custom_17284289/bookmark/table?lang=en&amp;&amp;bookmarkId=7d0decb7-866a-4494-b901-58a61bebd575&amp;&amp;page=time:2024</w:t>
        </w:r>
      </w:hyperlink>
      <w:r w:rsidRPr="00586BF8">
        <w:rPr>
          <w:sz w:val="24"/>
          <w:lang w:val="sk-SK"/>
        </w:rPr>
        <w:t>.</w:t>
      </w:r>
    </w:p>
  </w:footnote>
  <w:footnote w:id="38">
    <w:p w14:paraId="0E130494" w14:textId="1D17E0B9" w:rsidR="00EF79E1" w:rsidRPr="00586BF8" w:rsidRDefault="00EF79E1" w:rsidP="00586BF8">
      <w:pPr>
        <w:pStyle w:val="FootnoteText"/>
        <w:ind w:left="567" w:hanging="567"/>
        <w:rPr>
          <w:sz w:val="24"/>
          <w:lang w:val="sk-SK"/>
        </w:rPr>
      </w:pPr>
      <w:r w:rsidRPr="00586BF8">
        <w:rPr>
          <w:rStyle w:val="FootnoteReference"/>
          <w:sz w:val="24"/>
          <w:lang w:val="sk-SK"/>
        </w:rPr>
        <w:footnoteRef/>
      </w:r>
      <w:r w:rsidR="00586BF8" w:rsidRPr="00586BF8">
        <w:rPr>
          <w:sz w:val="24"/>
          <w:lang w:val="sk-SK"/>
        </w:rPr>
        <w:t xml:space="preserve"> </w:t>
      </w:r>
      <w:r w:rsidR="00586BF8" w:rsidRPr="00586BF8">
        <w:rPr>
          <w:sz w:val="24"/>
          <w:lang w:val="sk-SK"/>
        </w:rPr>
        <w:tab/>
      </w:r>
      <w:proofErr w:type="spellStart"/>
      <w:r w:rsidRPr="00586BF8">
        <w:rPr>
          <w:sz w:val="24"/>
          <w:lang w:val="sk-SK"/>
        </w:rPr>
        <w:t>Eurostat</w:t>
      </w:r>
      <w:proofErr w:type="spellEnd"/>
      <w:r w:rsidRPr="00586BF8">
        <w:rPr>
          <w:sz w:val="24"/>
          <w:lang w:val="sk-SK"/>
        </w:rPr>
        <w:t xml:space="preserve">, </w:t>
      </w:r>
      <w:proofErr w:type="spellStart"/>
      <w:r w:rsidRPr="00586BF8">
        <w:rPr>
          <w:i/>
          <w:iCs/>
          <w:sz w:val="24"/>
          <w:lang w:val="sk-SK"/>
        </w:rPr>
        <w:t>Persons</w:t>
      </w:r>
      <w:proofErr w:type="spellEnd"/>
      <w:r w:rsidRPr="00586BF8">
        <w:rPr>
          <w:i/>
          <w:iCs/>
          <w:sz w:val="24"/>
          <w:lang w:val="sk-SK"/>
        </w:rPr>
        <w:t xml:space="preserve"> at risk of </w:t>
      </w:r>
      <w:proofErr w:type="spellStart"/>
      <w:r w:rsidRPr="00586BF8">
        <w:rPr>
          <w:i/>
          <w:iCs/>
          <w:sz w:val="24"/>
          <w:lang w:val="sk-SK"/>
        </w:rPr>
        <w:t>poverty</w:t>
      </w:r>
      <w:proofErr w:type="spellEnd"/>
      <w:r w:rsidRPr="00586BF8">
        <w:rPr>
          <w:i/>
          <w:iCs/>
          <w:sz w:val="24"/>
          <w:lang w:val="sk-SK"/>
        </w:rPr>
        <w:t xml:space="preserve"> or </w:t>
      </w:r>
      <w:proofErr w:type="spellStart"/>
      <w:r w:rsidRPr="00586BF8">
        <w:rPr>
          <w:i/>
          <w:iCs/>
          <w:sz w:val="24"/>
          <w:lang w:val="sk-SK"/>
        </w:rPr>
        <w:t>social</w:t>
      </w:r>
      <w:proofErr w:type="spellEnd"/>
      <w:r w:rsidRPr="00586BF8">
        <w:rPr>
          <w:i/>
          <w:iCs/>
          <w:sz w:val="24"/>
          <w:lang w:val="sk-SK"/>
        </w:rPr>
        <w:t xml:space="preserve"> </w:t>
      </w:r>
      <w:proofErr w:type="spellStart"/>
      <w:r w:rsidRPr="00586BF8">
        <w:rPr>
          <w:i/>
          <w:iCs/>
          <w:sz w:val="24"/>
          <w:lang w:val="sk-SK"/>
        </w:rPr>
        <w:t>exclusion</w:t>
      </w:r>
      <w:proofErr w:type="spellEnd"/>
      <w:r w:rsidRPr="00586BF8">
        <w:rPr>
          <w:i/>
          <w:iCs/>
          <w:sz w:val="24"/>
          <w:lang w:val="sk-SK"/>
        </w:rPr>
        <w:t xml:space="preserve"> by </w:t>
      </w:r>
      <w:proofErr w:type="spellStart"/>
      <w:r w:rsidRPr="00586BF8">
        <w:rPr>
          <w:i/>
          <w:iCs/>
          <w:sz w:val="24"/>
          <w:lang w:val="sk-SK"/>
        </w:rPr>
        <w:t>age</w:t>
      </w:r>
      <w:proofErr w:type="spellEnd"/>
      <w:r w:rsidRPr="00586BF8">
        <w:rPr>
          <w:i/>
          <w:iCs/>
          <w:sz w:val="24"/>
          <w:lang w:val="sk-SK"/>
        </w:rPr>
        <w:t xml:space="preserve"> and sex</w:t>
      </w:r>
      <w:r w:rsidRPr="00586BF8">
        <w:rPr>
          <w:sz w:val="24"/>
          <w:lang w:val="sk-SK"/>
        </w:rPr>
        <w:t xml:space="preserve">, prehliadač údajov </w:t>
      </w:r>
      <w:proofErr w:type="spellStart"/>
      <w:r w:rsidRPr="00586BF8">
        <w:rPr>
          <w:sz w:val="24"/>
          <w:lang w:val="sk-SK"/>
        </w:rPr>
        <w:t>Eurostatu</w:t>
      </w:r>
      <w:proofErr w:type="spellEnd"/>
      <w:r w:rsidRPr="00586BF8">
        <w:rPr>
          <w:sz w:val="24"/>
          <w:lang w:val="sk-SK"/>
        </w:rPr>
        <w:t>, 14. novembra 2025, konzultované 9. </w:t>
      </w:r>
      <w:r w:rsidRPr="00586BF8">
        <w:rPr>
          <w:sz w:val="24"/>
          <w:lang w:val="sk-SK"/>
        </w:rPr>
        <w:t xml:space="preserve">decembra 2025, </w:t>
      </w:r>
      <w:hyperlink r:id="rId22" w:history="1">
        <w:r w:rsidRPr="00586BF8">
          <w:rPr>
            <w:rStyle w:val="Hyperlink"/>
            <w:sz w:val="24"/>
            <w:lang w:val="sk-SK"/>
          </w:rPr>
          <w:t>https://ec.europa.eu/eurostat/databrowser/view/ilc_peps01n__custom_17280682/bookmark/table?lang=en&amp;bookmarkId=1136c1ef-3d9f-4fda-82fb-cf7423eac65e&amp;&amp;page=time:2024</w:t>
        </w:r>
      </w:hyperlink>
      <w:r w:rsidRPr="00586BF8">
        <w:rPr>
          <w:sz w:val="24"/>
          <w:lang w:val="sk-SK"/>
        </w:rPr>
        <w:t>.</w:t>
      </w:r>
    </w:p>
  </w:footnote>
  <w:footnote w:id="39">
    <w:p w14:paraId="0AA35A44" w14:textId="12F7107D" w:rsidR="00EF79E1" w:rsidRPr="00586BF8" w:rsidRDefault="00EF79E1" w:rsidP="00586BF8">
      <w:pPr>
        <w:pStyle w:val="FootnoteText"/>
        <w:ind w:left="567" w:hanging="567"/>
        <w:rPr>
          <w:bCs/>
          <w:iCs/>
          <w:sz w:val="24"/>
          <w:lang w:val="sk-SK"/>
        </w:rPr>
      </w:pPr>
      <w:r w:rsidRPr="00586BF8">
        <w:rPr>
          <w:rStyle w:val="FootnoteReference"/>
          <w:sz w:val="24"/>
          <w:lang w:val="sk-SK"/>
        </w:rPr>
        <w:footnoteRef/>
      </w:r>
      <w:r w:rsidR="00586BF8" w:rsidRPr="00586BF8">
        <w:rPr>
          <w:sz w:val="24"/>
          <w:lang w:val="sk-SK"/>
        </w:rPr>
        <w:t xml:space="preserve"> </w:t>
      </w:r>
      <w:r w:rsidR="00586BF8" w:rsidRPr="00586BF8">
        <w:rPr>
          <w:sz w:val="24"/>
          <w:lang w:val="sk-SK"/>
        </w:rPr>
        <w:tab/>
      </w:r>
      <w:r w:rsidRPr="00586BF8">
        <w:rPr>
          <w:sz w:val="24"/>
          <w:lang w:val="sk-SK"/>
        </w:rPr>
        <w:t xml:space="preserve">Európsky inštitút pre rodovú rovnosť, </w:t>
      </w:r>
      <w:proofErr w:type="spellStart"/>
      <w:r w:rsidRPr="00586BF8">
        <w:rPr>
          <w:i/>
          <w:sz w:val="24"/>
          <w:lang w:val="sk-SK"/>
        </w:rPr>
        <w:t>Financial</w:t>
      </w:r>
      <w:proofErr w:type="spellEnd"/>
      <w:r w:rsidRPr="00586BF8">
        <w:rPr>
          <w:i/>
          <w:sz w:val="24"/>
          <w:lang w:val="sk-SK"/>
        </w:rPr>
        <w:t xml:space="preserve"> </w:t>
      </w:r>
      <w:proofErr w:type="spellStart"/>
      <w:r w:rsidRPr="00586BF8">
        <w:rPr>
          <w:i/>
          <w:sz w:val="24"/>
          <w:lang w:val="sk-SK"/>
        </w:rPr>
        <w:t>independence</w:t>
      </w:r>
      <w:proofErr w:type="spellEnd"/>
      <w:r w:rsidRPr="00586BF8">
        <w:rPr>
          <w:i/>
          <w:sz w:val="24"/>
          <w:lang w:val="sk-SK"/>
        </w:rPr>
        <w:t xml:space="preserve"> and </w:t>
      </w:r>
      <w:proofErr w:type="spellStart"/>
      <w:r w:rsidRPr="00586BF8">
        <w:rPr>
          <w:i/>
          <w:sz w:val="24"/>
          <w:lang w:val="sk-SK"/>
        </w:rPr>
        <w:t>gender</w:t>
      </w:r>
      <w:proofErr w:type="spellEnd"/>
      <w:r w:rsidRPr="00586BF8">
        <w:rPr>
          <w:i/>
          <w:sz w:val="24"/>
          <w:lang w:val="sk-SK"/>
        </w:rPr>
        <w:t xml:space="preserve"> </w:t>
      </w:r>
      <w:proofErr w:type="spellStart"/>
      <w:r w:rsidRPr="00586BF8">
        <w:rPr>
          <w:i/>
          <w:sz w:val="24"/>
          <w:lang w:val="sk-SK"/>
        </w:rPr>
        <w:t>equality</w:t>
      </w:r>
      <w:proofErr w:type="spellEnd"/>
      <w:r w:rsidRPr="00586BF8">
        <w:rPr>
          <w:i/>
          <w:sz w:val="24"/>
          <w:lang w:val="sk-SK"/>
        </w:rPr>
        <w:t xml:space="preserve">: </w:t>
      </w:r>
      <w:proofErr w:type="spellStart"/>
      <w:r w:rsidRPr="00586BF8">
        <w:rPr>
          <w:i/>
          <w:sz w:val="24"/>
          <w:lang w:val="sk-SK"/>
        </w:rPr>
        <w:t>Joining</w:t>
      </w:r>
      <w:proofErr w:type="spellEnd"/>
      <w:r w:rsidRPr="00586BF8">
        <w:rPr>
          <w:i/>
          <w:sz w:val="24"/>
          <w:lang w:val="sk-SK"/>
        </w:rPr>
        <w:t xml:space="preserve"> </w:t>
      </w:r>
      <w:proofErr w:type="spellStart"/>
      <w:r w:rsidRPr="00586BF8">
        <w:rPr>
          <w:i/>
          <w:sz w:val="24"/>
          <w:lang w:val="sk-SK"/>
        </w:rPr>
        <w:t>the</w:t>
      </w:r>
      <w:proofErr w:type="spellEnd"/>
      <w:r w:rsidRPr="00586BF8">
        <w:rPr>
          <w:i/>
          <w:sz w:val="24"/>
          <w:lang w:val="sk-SK"/>
        </w:rPr>
        <w:t xml:space="preserve"> </w:t>
      </w:r>
      <w:proofErr w:type="spellStart"/>
      <w:r w:rsidRPr="00586BF8">
        <w:rPr>
          <w:i/>
          <w:sz w:val="24"/>
          <w:lang w:val="sk-SK"/>
        </w:rPr>
        <w:t>dots</w:t>
      </w:r>
      <w:proofErr w:type="spellEnd"/>
      <w:r w:rsidRPr="00586BF8">
        <w:rPr>
          <w:i/>
          <w:sz w:val="24"/>
          <w:lang w:val="sk-SK"/>
        </w:rPr>
        <w:t xml:space="preserve"> </w:t>
      </w:r>
      <w:proofErr w:type="spellStart"/>
      <w:r w:rsidRPr="00586BF8">
        <w:rPr>
          <w:i/>
          <w:sz w:val="24"/>
          <w:lang w:val="sk-SK"/>
        </w:rPr>
        <w:t>between</w:t>
      </w:r>
      <w:proofErr w:type="spellEnd"/>
      <w:r w:rsidRPr="00586BF8">
        <w:rPr>
          <w:i/>
          <w:sz w:val="24"/>
          <w:lang w:val="sk-SK"/>
        </w:rPr>
        <w:t xml:space="preserve"> </w:t>
      </w:r>
      <w:proofErr w:type="spellStart"/>
      <w:r w:rsidRPr="00586BF8">
        <w:rPr>
          <w:i/>
          <w:sz w:val="24"/>
          <w:lang w:val="sk-SK"/>
        </w:rPr>
        <w:t>income</w:t>
      </w:r>
      <w:proofErr w:type="spellEnd"/>
      <w:r w:rsidRPr="00586BF8">
        <w:rPr>
          <w:i/>
          <w:sz w:val="24"/>
          <w:lang w:val="sk-SK"/>
        </w:rPr>
        <w:t xml:space="preserve">, </w:t>
      </w:r>
      <w:proofErr w:type="spellStart"/>
      <w:r w:rsidRPr="00586BF8">
        <w:rPr>
          <w:i/>
          <w:sz w:val="24"/>
          <w:lang w:val="sk-SK"/>
        </w:rPr>
        <w:t>wealth</w:t>
      </w:r>
      <w:proofErr w:type="spellEnd"/>
      <w:r w:rsidRPr="00586BF8">
        <w:rPr>
          <w:i/>
          <w:sz w:val="24"/>
          <w:lang w:val="sk-SK"/>
        </w:rPr>
        <w:t xml:space="preserve">, and </w:t>
      </w:r>
      <w:proofErr w:type="spellStart"/>
      <w:r w:rsidRPr="00586BF8">
        <w:rPr>
          <w:i/>
          <w:sz w:val="24"/>
          <w:lang w:val="sk-SK"/>
        </w:rPr>
        <w:t>power</w:t>
      </w:r>
      <w:proofErr w:type="spellEnd"/>
      <w:r w:rsidRPr="00586BF8">
        <w:rPr>
          <w:sz w:val="24"/>
          <w:lang w:val="sk-SK"/>
        </w:rPr>
        <w:t xml:space="preserve">, Úrad pre vydávanie publikácií Európskej únie, Luxemburg, 2024, </w:t>
      </w:r>
      <w:hyperlink r:id="rId23" w:history="1">
        <w:r w:rsidRPr="00586BF8">
          <w:rPr>
            <w:rStyle w:val="Hyperlink"/>
            <w:sz w:val="24"/>
            <w:lang w:val="sk-SK"/>
          </w:rPr>
          <w:t>https://eige.europa.eu/sites/default/files/documents/financial-independence-and-gender-equality.pdf</w:t>
        </w:r>
      </w:hyperlink>
      <w:r w:rsidRPr="00586BF8">
        <w:rPr>
          <w:sz w:val="24"/>
          <w:lang w:val="sk-SK"/>
        </w:rPr>
        <w:t>.</w:t>
      </w:r>
    </w:p>
  </w:footnote>
  <w:footnote w:id="40">
    <w:p w14:paraId="37CA9488" w14:textId="5B3216B4" w:rsidR="00EF79E1" w:rsidRPr="00586BF8" w:rsidRDefault="00EF79E1" w:rsidP="00586BF8">
      <w:pPr>
        <w:pStyle w:val="FootnoteText"/>
        <w:ind w:left="567" w:hanging="567"/>
        <w:rPr>
          <w:sz w:val="24"/>
          <w:lang w:val="sk-SK"/>
        </w:rPr>
      </w:pPr>
      <w:r w:rsidRPr="00586BF8">
        <w:rPr>
          <w:rStyle w:val="FootnoteReference"/>
          <w:bCs/>
          <w:iCs/>
          <w:sz w:val="24"/>
          <w:lang w:val="sk-SK"/>
        </w:rPr>
        <w:footnoteRef/>
      </w:r>
      <w:r w:rsidR="00586BF8" w:rsidRPr="00586BF8">
        <w:rPr>
          <w:sz w:val="24"/>
          <w:lang w:val="sk-SK"/>
        </w:rPr>
        <w:t xml:space="preserve"> </w:t>
      </w:r>
      <w:r w:rsidR="00586BF8" w:rsidRPr="00586BF8">
        <w:rPr>
          <w:sz w:val="24"/>
          <w:lang w:val="sk-SK"/>
        </w:rPr>
        <w:tab/>
      </w:r>
      <w:r w:rsidRPr="00586BF8">
        <w:rPr>
          <w:sz w:val="24"/>
          <w:lang w:val="sk-SK"/>
        </w:rPr>
        <w:t xml:space="preserve">Európsky inštitút pre rodovú rovnosť, </w:t>
      </w:r>
      <w:proofErr w:type="spellStart"/>
      <w:r w:rsidRPr="00586BF8">
        <w:rPr>
          <w:i/>
          <w:iCs/>
          <w:sz w:val="24"/>
          <w:lang w:val="sk-SK"/>
        </w:rPr>
        <w:t>Gender-based</w:t>
      </w:r>
      <w:proofErr w:type="spellEnd"/>
      <w:r w:rsidRPr="00586BF8">
        <w:rPr>
          <w:i/>
          <w:iCs/>
          <w:sz w:val="24"/>
          <w:lang w:val="sk-SK"/>
        </w:rPr>
        <w:t xml:space="preserve"> </w:t>
      </w:r>
      <w:proofErr w:type="spellStart"/>
      <w:r w:rsidRPr="00586BF8">
        <w:rPr>
          <w:i/>
          <w:iCs/>
          <w:sz w:val="24"/>
          <w:lang w:val="sk-SK"/>
        </w:rPr>
        <w:t>violence</w:t>
      </w:r>
      <w:proofErr w:type="spellEnd"/>
      <w:r w:rsidRPr="00586BF8">
        <w:rPr>
          <w:i/>
          <w:iCs/>
          <w:sz w:val="24"/>
          <w:lang w:val="sk-SK"/>
        </w:rPr>
        <w:t xml:space="preserve"> </w:t>
      </w:r>
      <w:proofErr w:type="spellStart"/>
      <w:r w:rsidRPr="00586BF8">
        <w:rPr>
          <w:i/>
          <w:iCs/>
          <w:sz w:val="24"/>
          <w:lang w:val="sk-SK"/>
        </w:rPr>
        <w:t>survey</w:t>
      </w:r>
      <w:proofErr w:type="spellEnd"/>
      <w:r w:rsidRPr="00586BF8">
        <w:rPr>
          <w:sz w:val="24"/>
          <w:lang w:val="sk-SK"/>
        </w:rPr>
        <w:t xml:space="preserve">, </w:t>
      </w:r>
      <w:hyperlink r:id="rId24" w:history="1">
        <w:r w:rsidRPr="00586BF8">
          <w:rPr>
            <w:rStyle w:val="Hyperlink"/>
            <w:sz w:val="24"/>
            <w:lang w:val="sk-SK"/>
          </w:rPr>
          <w:t>https://eige.europa.eu/newsroom/eu-gender-based-violence-survey?language_content_entity=en</w:t>
        </w:r>
      </w:hyperlink>
      <w:r w:rsidRPr="00586BF8">
        <w:rPr>
          <w:sz w:val="24"/>
          <w:lang w:val="sk-SK"/>
        </w:rPr>
        <w:t>.</w:t>
      </w:r>
    </w:p>
  </w:footnote>
  <w:footnote w:id="41">
    <w:p w14:paraId="71B0F73A" w14:textId="632DF68C" w:rsidR="00EF79E1" w:rsidRPr="00586BF8" w:rsidRDefault="00EF79E1" w:rsidP="00586BF8">
      <w:pPr>
        <w:pStyle w:val="FootnoteText"/>
        <w:ind w:left="567" w:hanging="567"/>
        <w:rPr>
          <w:sz w:val="24"/>
          <w:lang w:val="sk-SK"/>
        </w:rPr>
      </w:pPr>
      <w:r w:rsidRPr="00586BF8">
        <w:rPr>
          <w:rStyle w:val="FootnoteReference"/>
          <w:sz w:val="24"/>
          <w:lang w:val="sk-SK"/>
        </w:rPr>
        <w:footnoteRef/>
      </w:r>
      <w:r w:rsidR="00586BF8" w:rsidRPr="00586BF8">
        <w:rPr>
          <w:sz w:val="24"/>
          <w:lang w:val="sk-SK"/>
        </w:rPr>
        <w:t xml:space="preserve"> </w:t>
      </w:r>
      <w:r w:rsidR="00586BF8" w:rsidRPr="00586BF8">
        <w:rPr>
          <w:sz w:val="24"/>
          <w:lang w:val="sk-SK"/>
        </w:rPr>
        <w:tab/>
      </w:r>
      <w:r w:rsidRPr="00586BF8">
        <w:rPr>
          <w:sz w:val="24"/>
          <w:lang w:val="sk-SK"/>
        </w:rPr>
        <w:t xml:space="preserve">Európske fórum zdravotného postihnutia, </w:t>
      </w:r>
      <w:r w:rsidRPr="00586BF8">
        <w:rPr>
          <w:i/>
          <w:sz w:val="24"/>
          <w:lang w:val="sk-SK"/>
        </w:rPr>
        <w:t xml:space="preserve">EDF 7th </w:t>
      </w:r>
      <w:proofErr w:type="spellStart"/>
      <w:r w:rsidRPr="00586BF8">
        <w:rPr>
          <w:i/>
          <w:sz w:val="24"/>
          <w:lang w:val="sk-SK"/>
        </w:rPr>
        <w:t>Human</w:t>
      </w:r>
      <w:proofErr w:type="spellEnd"/>
      <w:r w:rsidRPr="00586BF8">
        <w:rPr>
          <w:i/>
          <w:sz w:val="24"/>
          <w:lang w:val="sk-SK"/>
        </w:rPr>
        <w:t xml:space="preserve"> </w:t>
      </w:r>
      <w:proofErr w:type="spellStart"/>
      <w:r w:rsidRPr="00586BF8">
        <w:rPr>
          <w:i/>
          <w:sz w:val="24"/>
          <w:lang w:val="sk-SK"/>
        </w:rPr>
        <w:t>Rights</w:t>
      </w:r>
      <w:proofErr w:type="spellEnd"/>
      <w:r w:rsidRPr="00586BF8">
        <w:rPr>
          <w:i/>
          <w:sz w:val="24"/>
          <w:lang w:val="sk-SK"/>
        </w:rPr>
        <w:t xml:space="preserve"> Report. </w:t>
      </w:r>
      <w:proofErr w:type="spellStart"/>
      <w:r w:rsidRPr="00586BF8">
        <w:rPr>
          <w:i/>
          <w:sz w:val="24"/>
          <w:lang w:val="sk-SK"/>
        </w:rPr>
        <w:t>The</w:t>
      </w:r>
      <w:proofErr w:type="spellEnd"/>
      <w:r w:rsidRPr="00586BF8">
        <w:rPr>
          <w:i/>
          <w:sz w:val="24"/>
          <w:lang w:val="sk-SK"/>
        </w:rPr>
        <w:t xml:space="preserve"> </w:t>
      </w:r>
      <w:proofErr w:type="spellStart"/>
      <w:r w:rsidRPr="00586BF8">
        <w:rPr>
          <w:i/>
          <w:sz w:val="24"/>
          <w:lang w:val="sk-SK"/>
        </w:rPr>
        <w:t>Right</w:t>
      </w:r>
      <w:proofErr w:type="spellEnd"/>
      <w:r w:rsidRPr="00586BF8">
        <w:rPr>
          <w:i/>
          <w:sz w:val="24"/>
          <w:lang w:val="sk-SK"/>
        </w:rPr>
        <w:t xml:space="preserve"> to </w:t>
      </w:r>
      <w:proofErr w:type="spellStart"/>
      <w:r w:rsidRPr="00586BF8">
        <w:rPr>
          <w:i/>
          <w:sz w:val="24"/>
          <w:lang w:val="sk-SK"/>
        </w:rPr>
        <w:t>work</w:t>
      </w:r>
      <w:proofErr w:type="spellEnd"/>
      <w:r w:rsidRPr="00586BF8">
        <w:rPr>
          <w:i/>
          <w:sz w:val="24"/>
          <w:lang w:val="sk-SK"/>
        </w:rPr>
        <w:t xml:space="preserve">: </w:t>
      </w:r>
      <w:proofErr w:type="spellStart"/>
      <w:r w:rsidRPr="00586BF8">
        <w:rPr>
          <w:i/>
          <w:iCs/>
          <w:sz w:val="24"/>
          <w:lang w:val="sk-SK"/>
        </w:rPr>
        <w:t>The</w:t>
      </w:r>
      <w:proofErr w:type="spellEnd"/>
      <w:r w:rsidRPr="00586BF8">
        <w:rPr>
          <w:i/>
          <w:iCs/>
          <w:sz w:val="24"/>
          <w:lang w:val="sk-SK"/>
        </w:rPr>
        <w:t xml:space="preserve"> </w:t>
      </w:r>
      <w:proofErr w:type="spellStart"/>
      <w:r w:rsidRPr="00586BF8">
        <w:rPr>
          <w:i/>
          <w:iCs/>
          <w:sz w:val="24"/>
          <w:lang w:val="sk-SK"/>
        </w:rPr>
        <w:t>employment</w:t>
      </w:r>
      <w:proofErr w:type="spellEnd"/>
      <w:r w:rsidRPr="00586BF8">
        <w:rPr>
          <w:i/>
          <w:iCs/>
          <w:sz w:val="24"/>
          <w:lang w:val="sk-SK"/>
        </w:rPr>
        <w:t xml:space="preserve"> </w:t>
      </w:r>
      <w:proofErr w:type="spellStart"/>
      <w:r w:rsidRPr="00586BF8">
        <w:rPr>
          <w:i/>
          <w:iCs/>
          <w:sz w:val="24"/>
          <w:lang w:val="sk-SK"/>
        </w:rPr>
        <w:t>situation</w:t>
      </w:r>
      <w:proofErr w:type="spellEnd"/>
      <w:r w:rsidRPr="00586BF8">
        <w:rPr>
          <w:i/>
          <w:iCs/>
          <w:sz w:val="24"/>
          <w:lang w:val="sk-SK"/>
        </w:rPr>
        <w:t xml:space="preserve"> of </w:t>
      </w:r>
      <w:proofErr w:type="spellStart"/>
      <w:r w:rsidRPr="00586BF8">
        <w:rPr>
          <w:i/>
          <w:iCs/>
          <w:sz w:val="24"/>
          <w:lang w:val="sk-SK"/>
        </w:rPr>
        <w:t>persons</w:t>
      </w:r>
      <w:proofErr w:type="spellEnd"/>
      <w:r w:rsidRPr="00586BF8">
        <w:rPr>
          <w:i/>
          <w:iCs/>
          <w:sz w:val="24"/>
          <w:lang w:val="sk-SK"/>
        </w:rPr>
        <w:t xml:space="preserve"> </w:t>
      </w:r>
      <w:proofErr w:type="spellStart"/>
      <w:r w:rsidRPr="00586BF8">
        <w:rPr>
          <w:i/>
          <w:iCs/>
          <w:sz w:val="24"/>
          <w:lang w:val="sk-SK"/>
        </w:rPr>
        <w:t>with</w:t>
      </w:r>
      <w:proofErr w:type="spellEnd"/>
      <w:r w:rsidRPr="00586BF8">
        <w:rPr>
          <w:i/>
          <w:iCs/>
          <w:sz w:val="24"/>
          <w:lang w:val="sk-SK"/>
        </w:rPr>
        <w:t xml:space="preserve"> </w:t>
      </w:r>
      <w:proofErr w:type="spellStart"/>
      <w:r w:rsidRPr="00586BF8">
        <w:rPr>
          <w:i/>
          <w:iCs/>
          <w:sz w:val="24"/>
          <w:lang w:val="sk-SK"/>
        </w:rPr>
        <w:t>disabilities</w:t>
      </w:r>
      <w:proofErr w:type="spellEnd"/>
      <w:r w:rsidRPr="00586BF8">
        <w:rPr>
          <w:i/>
          <w:iCs/>
          <w:sz w:val="24"/>
          <w:lang w:val="sk-SK"/>
        </w:rPr>
        <w:t xml:space="preserve"> in </w:t>
      </w:r>
      <w:proofErr w:type="spellStart"/>
      <w:r w:rsidRPr="00586BF8">
        <w:rPr>
          <w:i/>
          <w:iCs/>
          <w:sz w:val="24"/>
          <w:lang w:val="sk-SK"/>
        </w:rPr>
        <w:t>Europe</w:t>
      </w:r>
      <w:proofErr w:type="spellEnd"/>
      <w:r w:rsidRPr="00586BF8">
        <w:rPr>
          <w:sz w:val="24"/>
          <w:lang w:val="sk-SK"/>
        </w:rPr>
        <w:t xml:space="preserve">, 2023, </w:t>
      </w:r>
      <w:hyperlink r:id="rId25" w:history="1">
        <w:r w:rsidRPr="00586BF8">
          <w:rPr>
            <w:rStyle w:val="Hyperlink"/>
            <w:sz w:val="24"/>
            <w:lang w:val="sk-SK"/>
          </w:rPr>
          <w:t>https://www.edf-feph.org/publications/human-rights-report-2023-the-right-to-work/</w:t>
        </w:r>
      </w:hyperlink>
      <w:r w:rsidRPr="00586BF8">
        <w:rPr>
          <w:sz w:val="24"/>
          <w:lang w:val="sk-SK"/>
        </w:rPr>
        <w:t>.</w:t>
      </w:r>
    </w:p>
  </w:footnote>
  <w:footnote w:id="42">
    <w:p w14:paraId="2D095366" w14:textId="5815DB3A" w:rsidR="00EF79E1" w:rsidRPr="00586BF8" w:rsidRDefault="00EF79E1" w:rsidP="00586BF8">
      <w:pPr>
        <w:pStyle w:val="FootnoteText"/>
        <w:ind w:left="567" w:hanging="567"/>
        <w:rPr>
          <w:sz w:val="24"/>
          <w:lang w:val="sk-SK"/>
        </w:rPr>
      </w:pPr>
      <w:r w:rsidRPr="00586BF8">
        <w:rPr>
          <w:rStyle w:val="FootnoteReference"/>
          <w:sz w:val="24"/>
          <w:lang w:val="sk-SK"/>
        </w:rPr>
        <w:footnoteRef/>
      </w:r>
      <w:r w:rsidR="00586BF8" w:rsidRPr="00586BF8">
        <w:rPr>
          <w:sz w:val="24"/>
          <w:lang w:val="sk-SK"/>
        </w:rPr>
        <w:t xml:space="preserve"> </w:t>
      </w:r>
      <w:r w:rsidR="00586BF8" w:rsidRPr="00586BF8">
        <w:rPr>
          <w:sz w:val="24"/>
          <w:lang w:val="sk-SK"/>
        </w:rPr>
        <w:tab/>
      </w:r>
      <w:r w:rsidRPr="00586BF8">
        <w:rPr>
          <w:sz w:val="24"/>
          <w:lang w:val="sk-SK"/>
        </w:rPr>
        <w:t xml:space="preserve">Agentúra Európskej únie pre základné práva, </w:t>
      </w:r>
      <w:proofErr w:type="spellStart"/>
      <w:r w:rsidRPr="00586BF8">
        <w:rPr>
          <w:i/>
          <w:sz w:val="24"/>
          <w:lang w:val="sk-SK"/>
        </w:rPr>
        <w:t>Roma</w:t>
      </w:r>
      <w:proofErr w:type="spellEnd"/>
      <w:r w:rsidRPr="00586BF8">
        <w:rPr>
          <w:i/>
          <w:sz w:val="24"/>
          <w:lang w:val="sk-SK"/>
        </w:rPr>
        <w:t xml:space="preserve"> </w:t>
      </w:r>
      <w:proofErr w:type="spellStart"/>
      <w:r w:rsidRPr="00586BF8">
        <w:rPr>
          <w:i/>
          <w:sz w:val="24"/>
          <w:lang w:val="sk-SK"/>
        </w:rPr>
        <w:t>Survey</w:t>
      </w:r>
      <w:proofErr w:type="spellEnd"/>
      <w:r w:rsidRPr="00586BF8">
        <w:rPr>
          <w:i/>
          <w:sz w:val="24"/>
          <w:lang w:val="sk-SK"/>
        </w:rPr>
        <w:t xml:space="preserve"> – </w:t>
      </w:r>
      <w:proofErr w:type="spellStart"/>
      <w:r w:rsidRPr="00586BF8">
        <w:rPr>
          <w:i/>
          <w:sz w:val="24"/>
          <w:lang w:val="sk-SK"/>
        </w:rPr>
        <w:t>Data</w:t>
      </w:r>
      <w:proofErr w:type="spellEnd"/>
      <w:r w:rsidRPr="00586BF8">
        <w:rPr>
          <w:i/>
          <w:sz w:val="24"/>
          <w:lang w:val="sk-SK"/>
        </w:rPr>
        <w:t xml:space="preserve"> in </w:t>
      </w:r>
      <w:proofErr w:type="spellStart"/>
      <w:r w:rsidRPr="00586BF8">
        <w:rPr>
          <w:i/>
          <w:sz w:val="24"/>
          <w:lang w:val="sk-SK"/>
        </w:rPr>
        <w:t>focus</w:t>
      </w:r>
      <w:proofErr w:type="spellEnd"/>
      <w:r w:rsidRPr="00586BF8">
        <w:rPr>
          <w:i/>
          <w:sz w:val="24"/>
          <w:lang w:val="sk-SK"/>
        </w:rPr>
        <w:t xml:space="preserve">: </w:t>
      </w:r>
      <w:proofErr w:type="spellStart"/>
      <w:r w:rsidRPr="00586BF8">
        <w:rPr>
          <w:i/>
          <w:sz w:val="24"/>
          <w:lang w:val="sk-SK"/>
        </w:rPr>
        <w:t>Discrimination</w:t>
      </w:r>
      <w:proofErr w:type="spellEnd"/>
      <w:r w:rsidRPr="00586BF8">
        <w:rPr>
          <w:i/>
          <w:sz w:val="24"/>
          <w:lang w:val="sk-SK"/>
        </w:rPr>
        <w:t xml:space="preserve"> </w:t>
      </w:r>
      <w:proofErr w:type="spellStart"/>
      <w:r w:rsidRPr="00586BF8">
        <w:rPr>
          <w:i/>
          <w:sz w:val="24"/>
          <w:lang w:val="sk-SK"/>
        </w:rPr>
        <w:t>against</w:t>
      </w:r>
      <w:proofErr w:type="spellEnd"/>
      <w:r w:rsidRPr="00586BF8">
        <w:rPr>
          <w:i/>
          <w:sz w:val="24"/>
          <w:lang w:val="sk-SK"/>
        </w:rPr>
        <w:t xml:space="preserve"> and </w:t>
      </w:r>
      <w:proofErr w:type="spellStart"/>
      <w:r w:rsidRPr="00586BF8">
        <w:rPr>
          <w:i/>
          <w:sz w:val="24"/>
          <w:lang w:val="sk-SK"/>
        </w:rPr>
        <w:t>living</w:t>
      </w:r>
      <w:proofErr w:type="spellEnd"/>
      <w:r w:rsidRPr="00586BF8">
        <w:rPr>
          <w:i/>
          <w:sz w:val="24"/>
          <w:lang w:val="sk-SK"/>
        </w:rPr>
        <w:t xml:space="preserve"> </w:t>
      </w:r>
      <w:proofErr w:type="spellStart"/>
      <w:r w:rsidRPr="00586BF8">
        <w:rPr>
          <w:i/>
          <w:sz w:val="24"/>
          <w:lang w:val="sk-SK"/>
        </w:rPr>
        <w:t>conditions</w:t>
      </w:r>
      <w:proofErr w:type="spellEnd"/>
      <w:r w:rsidRPr="00586BF8">
        <w:rPr>
          <w:i/>
          <w:sz w:val="24"/>
          <w:lang w:val="sk-SK"/>
        </w:rPr>
        <w:t xml:space="preserve"> of </w:t>
      </w:r>
      <w:proofErr w:type="spellStart"/>
      <w:r w:rsidRPr="00586BF8">
        <w:rPr>
          <w:i/>
          <w:sz w:val="24"/>
          <w:lang w:val="sk-SK"/>
        </w:rPr>
        <w:t>Roma</w:t>
      </w:r>
      <w:proofErr w:type="spellEnd"/>
      <w:r w:rsidRPr="00586BF8">
        <w:rPr>
          <w:i/>
          <w:sz w:val="24"/>
          <w:lang w:val="sk-SK"/>
        </w:rPr>
        <w:t xml:space="preserve"> </w:t>
      </w:r>
      <w:proofErr w:type="spellStart"/>
      <w:r w:rsidRPr="00586BF8">
        <w:rPr>
          <w:i/>
          <w:sz w:val="24"/>
          <w:lang w:val="sk-SK"/>
        </w:rPr>
        <w:t>women</w:t>
      </w:r>
      <w:proofErr w:type="spellEnd"/>
      <w:r w:rsidRPr="00586BF8">
        <w:rPr>
          <w:i/>
          <w:sz w:val="24"/>
          <w:lang w:val="sk-SK"/>
        </w:rPr>
        <w:t xml:space="preserve"> in 11 </w:t>
      </w:r>
      <w:proofErr w:type="spellStart"/>
      <w:r w:rsidRPr="00586BF8">
        <w:rPr>
          <w:i/>
          <w:sz w:val="24"/>
          <w:lang w:val="sk-SK"/>
        </w:rPr>
        <w:t>Member</w:t>
      </w:r>
      <w:proofErr w:type="spellEnd"/>
      <w:r w:rsidRPr="00586BF8">
        <w:rPr>
          <w:i/>
          <w:sz w:val="24"/>
          <w:lang w:val="sk-SK"/>
        </w:rPr>
        <w:t xml:space="preserve"> </w:t>
      </w:r>
      <w:proofErr w:type="spellStart"/>
      <w:r w:rsidRPr="00586BF8">
        <w:rPr>
          <w:i/>
          <w:sz w:val="24"/>
          <w:lang w:val="sk-SK"/>
        </w:rPr>
        <w:t>States</w:t>
      </w:r>
      <w:proofErr w:type="spellEnd"/>
      <w:r w:rsidRPr="00586BF8">
        <w:rPr>
          <w:sz w:val="24"/>
          <w:lang w:val="sk-SK"/>
        </w:rPr>
        <w:t xml:space="preserve">, 2014, </w:t>
      </w:r>
      <w:hyperlink r:id="rId26" w:history="1">
        <w:r w:rsidRPr="00586BF8">
          <w:rPr>
            <w:rStyle w:val="Hyperlink"/>
            <w:sz w:val="24"/>
            <w:lang w:val="sk-SK"/>
          </w:rPr>
          <w:t>https://fra.europa.eu/sites/default/files/fra_uploads/fra-2014-roma-survey-dif-women-2_en.pdf</w:t>
        </w:r>
      </w:hyperlink>
      <w:r w:rsidRPr="00586BF8">
        <w:rPr>
          <w:sz w:val="24"/>
          <w:lang w:val="sk-SK"/>
        </w:rPr>
        <w:t>.</w:t>
      </w:r>
    </w:p>
  </w:footnote>
  <w:footnote w:id="43">
    <w:p w14:paraId="59D1361D" w14:textId="56AFC1CC" w:rsidR="00EF79E1" w:rsidRPr="00586BF8" w:rsidRDefault="00EF79E1" w:rsidP="00586BF8">
      <w:pPr>
        <w:pStyle w:val="FootnoteText"/>
        <w:ind w:left="567" w:hanging="567"/>
        <w:rPr>
          <w:sz w:val="24"/>
          <w:lang w:val="sk-SK"/>
        </w:rPr>
      </w:pPr>
      <w:r w:rsidRPr="00586BF8">
        <w:rPr>
          <w:rStyle w:val="FootnoteReference"/>
          <w:sz w:val="24"/>
          <w:lang w:val="sk-SK"/>
        </w:rPr>
        <w:footnoteRef/>
      </w:r>
      <w:r w:rsidR="00586BF8" w:rsidRPr="00586BF8">
        <w:rPr>
          <w:sz w:val="24"/>
          <w:lang w:val="sk-SK"/>
        </w:rPr>
        <w:t xml:space="preserve"> </w:t>
      </w:r>
      <w:r w:rsidR="00586BF8" w:rsidRPr="00586BF8">
        <w:rPr>
          <w:sz w:val="24"/>
          <w:lang w:val="sk-SK"/>
        </w:rPr>
        <w:tab/>
      </w:r>
      <w:r w:rsidRPr="00586BF8">
        <w:rPr>
          <w:sz w:val="24"/>
          <w:lang w:val="sk-SK"/>
        </w:rPr>
        <w:t xml:space="preserve">Agentúra Európskej únie pre základné práva, </w:t>
      </w:r>
      <w:proofErr w:type="spellStart"/>
      <w:r w:rsidRPr="00586BF8">
        <w:rPr>
          <w:i/>
          <w:sz w:val="24"/>
          <w:lang w:val="sk-SK"/>
        </w:rPr>
        <w:t>Roma</w:t>
      </w:r>
      <w:proofErr w:type="spellEnd"/>
      <w:r w:rsidRPr="00586BF8">
        <w:rPr>
          <w:i/>
          <w:sz w:val="24"/>
          <w:lang w:val="sk-SK"/>
        </w:rPr>
        <w:t xml:space="preserve"> </w:t>
      </w:r>
      <w:proofErr w:type="spellStart"/>
      <w:r w:rsidRPr="00586BF8">
        <w:rPr>
          <w:i/>
          <w:sz w:val="24"/>
          <w:lang w:val="sk-SK"/>
        </w:rPr>
        <w:t>survey</w:t>
      </w:r>
      <w:proofErr w:type="spellEnd"/>
      <w:r w:rsidRPr="00586BF8">
        <w:rPr>
          <w:i/>
          <w:sz w:val="24"/>
          <w:lang w:val="sk-SK"/>
        </w:rPr>
        <w:t xml:space="preserve"> 2021 – </w:t>
      </w:r>
      <w:proofErr w:type="spellStart"/>
      <w:r w:rsidRPr="00586BF8">
        <w:rPr>
          <w:i/>
          <w:sz w:val="24"/>
          <w:lang w:val="sk-SK"/>
        </w:rPr>
        <w:t>Roma</w:t>
      </w:r>
      <w:proofErr w:type="spellEnd"/>
      <w:r w:rsidRPr="00586BF8">
        <w:rPr>
          <w:i/>
          <w:sz w:val="24"/>
          <w:lang w:val="sk-SK"/>
        </w:rPr>
        <w:t xml:space="preserve"> in 10 </w:t>
      </w:r>
      <w:proofErr w:type="spellStart"/>
      <w:r w:rsidRPr="00586BF8">
        <w:rPr>
          <w:i/>
          <w:sz w:val="24"/>
          <w:lang w:val="sk-SK"/>
        </w:rPr>
        <w:t>European</w:t>
      </w:r>
      <w:proofErr w:type="spellEnd"/>
      <w:r w:rsidRPr="00586BF8">
        <w:rPr>
          <w:i/>
          <w:sz w:val="24"/>
          <w:lang w:val="sk-SK"/>
        </w:rPr>
        <w:t xml:space="preserve"> </w:t>
      </w:r>
      <w:proofErr w:type="spellStart"/>
      <w:r w:rsidRPr="00586BF8">
        <w:rPr>
          <w:i/>
          <w:sz w:val="24"/>
          <w:lang w:val="sk-SK"/>
        </w:rPr>
        <w:t>Countries</w:t>
      </w:r>
      <w:proofErr w:type="spellEnd"/>
      <w:r w:rsidRPr="00586BF8">
        <w:rPr>
          <w:i/>
          <w:sz w:val="24"/>
          <w:lang w:val="sk-SK"/>
        </w:rPr>
        <w:t xml:space="preserve">: </w:t>
      </w:r>
      <w:proofErr w:type="spellStart"/>
      <w:r w:rsidRPr="00586BF8">
        <w:rPr>
          <w:i/>
          <w:sz w:val="24"/>
          <w:lang w:val="sk-SK"/>
        </w:rPr>
        <w:t>Main</w:t>
      </w:r>
      <w:proofErr w:type="spellEnd"/>
      <w:r w:rsidRPr="00586BF8">
        <w:rPr>
          <w:i/>
          <w:sz w:val="24"/>
          <w:lang w:val="sk-SK"/>
        </w:rPr>
        <w:t xml:space="preserve"> </w:t>
      </w:r>
      <w:proofErr w:type="spellStart"/>
      <w:r w:rsidRPr="00586BF8">
        <w:rPr>
          <w:i/>
          <w:sz w:val="24"/>
          <w:lang w:val="sk-SK"/>
        </w:rPr>
        <w:t>results</w:t>
      </w:r>
      <w:proofErr w:type="spellEnd"/>
      <w:r w:rsidRPr="00586BF8">
        <w:rPr>
          <w:sz w:val="24"/>
          <w:lang w:val="sk-SK"/>
        </w:rPr>
        <w:t xml:space="preserve">, 2021, </w:t>
      </w:r>
      <w:hyperlink r:id="rId27" w:history="1">
        <w:r w:rsidRPr="00586BF8">
          <w:rPr>
            <w:rStyle w:val="Hyperlink"/>
            <w:sz w:val="24"/>
            <w:lang w:val="sk-SK"/>
          </w:rPr>
          <w:t>https://fra.europa.eu/sites/default/files/fra_uploads/fra-2022-roma-survey-2021-main-results2_en.pdf</w:t>
        </w:r>
      </w:hyperlink>
      <w:r w:rsidRPr="00586BF8">
        <w:rPr>
          <w:sz w:val="24"/>
          <w:lang w:val="sk-SK"/>
        </w:rPr>
        <w:t xml:space="preserve">. </w:t>
      </w:r>
    </w:p>
  </w:footnote>
  <w:footnote w:id="44">
    <w:p w14:paraId="4A15CA01" w14:textId="3CE45D7C" w:rsidR="00EF79E1" w:rsidRPr="00586BF8" w:rsidRDefault="00EF79E1" w:rsidP="00586BF8">
      <w:pPr>
        <w:pStyle w:val="FootnoteText"/>
        <w:ind w:left="567" w:hanging="567"/>
        <w:rPr>
          <w:bCs/>
          <w:i/>
          <w:sz w:val="24"/>
          <w:vertAlign w:val="superscript"/>
          <w:lang w:val="sk-SK"/>
        </w:rPr>
      </w:pPr>
      <w:r w:rsidRPr="00586BF8">
        <w:rPr>
          <w:rStyle w:val="FootnoteReference"/>
          <w:sz w:val="24"/>
          <w:lang w:val="sk-SK"/>
        </w:rPr>
        <w:footnoteRef/>
      </w:r>
      <w:r w:rsidR="00586BF8" w:rsidRPr="00586BF8">
        <w:rPr>
          <w:sz w:val="24"/>
          <w:lang w:val="sk-SK"/>
        </w:rPr>
        <w:t xml:space="preserve"> </w:t>
      </w:r>
      <w:r w:rsidR="00586BF8" w:rsidRPr="00586BF8">
        <w:rPr>
          <w:sz w:val="24"/>
          <w:lang w:val="sk-SK"/>
        </w:rPr>
        <w:tab/>
      </w:r>
      <w:r w:rsidRPr="00586BF8">
        <w:rPr>
          <w:sz w:val="24"/>
          <w:lang w:val="sk-SK"/>
        </w:rPr>
        <w:t xml:space="preserve">Agentúra Európskej únie pre základné práva, </w:t>
      </w:r>
      <w:r w:rsidRPr="00586BF8">
        <w:rPr>
          <w:i/>
          <w:iCs/>
          <w:sz w:val="24"/>
          <w:lang w:val="sk-SK"/>
        </w:rPr>
        <w:t>Druhý prieskum Európskej únie týkajúci sa menšín</w:t>
      </w:r>
      <w:r w:rsidRPr="00586BF8">
        <w:rPr>
          <w:i/>
          <w:sz w:val="24"/>
          <w:lang w:val="sk-SK"/>
        </w:rPr>
        <w:t xml:space="preserve"> </w:t>
      </w:r>
    </w:p>
    <w:p w14:paraId="40F36F8A" w14:textId="1FE32934" w:rsidR="00EF79E1" w:rsidRPr="00586BF8" w:rsidRDefault="00586BF8" w:rsidP="00586BF8">
      <w:pPr>
        <w:pStyle w:val="FootnoteText"/>
        <w:ind w:left="567" w:hanging="567"/>
        <w:rPr>
          <w:sz w:val="24"/>
          <w:lang w:val="sk-SK"/>
        </w:rPr>
      </w:pPr>
      <w:r w:rsidRPr="00586BF8">
        <w:rPr>
          <w:i/>
          <w:sz w:val="24"/>
          <w:lang w:val="sk-SK"/>
        </w:rPr>
        <w:t xml:space="preserve"> </w:t>
      </w:r>
      <w:r w:rsidRPr="00586BF8">
        <w:rPr>
          <w:i/>
          <w:sz w:val="24"/>
          <w:lang w:val="sk-SK"/>
        </w:rPr>
        <w:tab/>
      </w:r>
      <w:r w:rsidR="00EF79E1" w:rsidRPr="00586BF8">
        <w:rPr>
          <w:i/>
          <w:sz w:val="24"/>
          <w:lang w:val="sk-SK"/>
        </w:rPr>
        <w:t xml:space="preserve">a diskriminácie: </w:t>
      </w:r>
      <w:r w:rsidR="00EF79E1" w:rsidRPr="00586BF8">
        <w:rPr>
          <w:i/>
          <w:iCs/>
          <w:sz w:val="24"/>
          <w:lang w:val="sk-SK"/>
        </w:rPr>
        <w:t>Rómovia – vybrané výsledky</w:t>
      </w:r>
      <w:r w:rsidR="00EF79E1" w:rsidRPr="00586BF8">
        <w:rPr>
          <w:sz w:val="24"/>
          <w:lang w:val="sk-SK"/>
        </w:rPr>
        <w:t xml:space="preserve">, 2016, </w:t>
      </w:r>
      <w:hyperlink r:id="rId28" w:history="1">
        <w:r w:rsidR="00EF79E1" w:rsidRPr="00586BF8">
          <w:rPr>
            <w:rStyle w:val="Hyperlink"/>
            <w:sz w:val="24"/>
            <w:lang w:val="sk-SK"/>
          </w:rPr>
          <w:t>https://fra.europa.eu/sites/default/files/fra_uploads/fra-2016-eu-minorities-survey-roma-selected-findings_sk.pdf</w:t>
        </w:r>
      </w:hyperlink>
      <w:r w:rsidR="00EF79E1" w:rsidRPr="00586BF8">
        <w:rPr>
          <w:sz w:val="24"/>
          <w:lang w:val="sk-SK"/>
        </w:rPr>
        <w:t xml:space="preserve">. </w:t>
      </w:r>
    </w:p>
  </w:footnote>
  <w:footnote w:id="45">
    <w:p w14:paraId="560ADF8B" w14:textId="52F1F289" w:rsidR="00EF79E1" w:rsidRPr="00586BF8" w:rsidRDefault="00EF79E1" w:rsidP="00586BF8">
      <w:pPr>
        <w:pStyle w:val="FootnoteText"/>
        <w:ind w:left="567" w:hanging="567"/>
        <w:rPr>
          <w:sz w:val="24"/>
          <w:lang w:val="sk-SK"/>
        </w:rPr>
      </w:pPr>
      <w:r w:rsidRPr="00586BF8">
        <w:rPr>
          <w:rStyle w:val="FootnoteReference"/>
          <w:sz w:val="24"/>
          <w:lang w:val="sk-SK"/>
        </w:rPr>
        <w:footnoteRef/>
      </w:r>
      <w:r w:rsidR="00586BF8" w:rsidRPr="00586BF8">
        <w:rPr>
          <w:sz w:val="24"/>
          <w:lang w:val="sk-SK"/>
        </w:rPr>
        <w:t xml:space="preserve"> </w:t>
      </w:r>
      <w:r w:rsidR="00586BF8" w:rsidRPr="00586BF8">
        <w:rPr>
          <w:sz w:val="24"/>
          <w:lang w:val="sk-SK"/>
        </w:rPr>
        <w:tab/>
      </w:r>
      <w:proofErr w:type="spellStart"/>
      <w:r w:rsidRPr="00586BF8">
        <w:rPr>
          <w:sz w:val="24"/>
          <w:lang w:val="sk-SK"/>
        </w:rPr>
        <w:t>Ayllón</w:t>
      </w:r>
      <w:proofErr w:type="spellEnd"/>
      <w:r w:rsidRPr="00586BF8">
        <w:rPr>
          <w:sz w:val="24"/>
          <w:lang w:val="sk-SK"/>
        </w:rPr>
        <w:t xml:space="preserve">, S., </w:t>
      </w:r>
      <w:proofErr w:type="spellStart"/>
      <w:r w:rsidRPr="00586BF8">
        <w:rPr>
          <w:sz w:val="24"/>
          <w:lang w:val="sk-SK"/>
        </w:rPr>
        <w:t>Holmarsdottir</w:t>
      </w:r>
      <w:proofErr w:type="spellEnd"/>
      <w:r w:rsidRPr="00586BF8">
        <w:rPr>
          <w:sz w:val="24"/>
          <w:lang w:val="sk-SK"/>
        </w:rPr>
        <w:t xml:space="preserve">, H., a </w:t>
      </w:r>
      <w:proofErr w:type="spellStart"/>
      <w:r w:rsidRPr="00586BF8">
        <w:rPr>
          <w:sz w:val="24"/>
          <w:lang w:val="sk-SK"/>
        </w:rPr>
        <w:t>Lado</w:t>
      </w:r>
      <w:proofErr w:type="spellEnd"/>
      <w:r w:rsidRPr="00586BF8">
        <w:rPr>
          <w:sz w:val="24"/>
          <w:lang w:val="sk-SK"/>
        </w:rPr>
        <w:t>, S., „</w:t>
      </w:r>
      <w:proofErr w:type="spellStart"/>
      <w:r w:rsidRPr="00586BF8">
        <w:rPr>
          <w:sz w:val="24"/>
          <w:lang w:val="sk-SK"/>
        </w:rPr>
        <w:t>Digitally</w:t>
      </w:r>
      <w:proofErr w:type="spellEnd"/>
      <w:r w:rsidRPr="00586BF8">
        <w:rPr>
          <w:sz w:val="24"/>
          <w:lang w:val="sk-SK"/>
        </w:rPr>
        <w:t xml:space="preserve"> </w:t>
      </w:r>
      <w:proofErr w:type="spellStart"/>
      <w:r w:rsidRPr="00586BF8">
        <w:rPr>
          <w:sz w:val="24"/>
          <w:lang w:val="sk-SK"/>
        </w:rPr>
        <w:t>Deprived</w:t>
      </w:r>
      <w:proofErr w:type="spellEnd"/>
      <w:r w:rsidRPr="00586BF8">
        <w:rPr>
          <w:sz w:val="24"/>
          <w:lang w:val="sk-SK"/>
        </w:rPr>
        <w:t xml:space="preserve"> </w:t>
      </w:r>
      <w:proofErr w:type="spellStart"/>
      <w:r w:rsidRPr="00586BF8">
        <w:rPr>
          <w:sz w:val="24"/>
          <w:lang w:val="sk-SK"/>
        </w:rPr>
        <w:t>Children</w:t>
      </w:r>
      <w:proofErr w:type="spellEnd"/>
      <w:r w:rsidRPr="00586BF8">
        <w:rPr>
          <w:sz w:val="24"/>
          <w:lang w:val="sk-SK"/>
        </w:rPr>
        <w:t xml:space="preserve"> in </w:t>
      </w:r>
      <w:proofErr w:type="spellStart"/>
      <w:r w:rsidRPr="00586BF8">
        <w:rPr>
          <w:sz w:val="24"/>
          <w:lang w:val="sk-SK"/>
        </w:rPr>
        <w:t>Europe</w:t>
      </w:r>
      <w:proofErr w:type="spellEnd"/>
      <w:r w:rsidRPr="00586BF8">
        <w:rPr>
          <w:sz w:val="24"/>
          <w:lang w:val="sk-SK"/>
        </w:rPr>
        <w:t xml:space="preserve">“, </w:t>
      </w:r>
      <w:proofErr w:type="spellStart"/>
      <w:r w:rsidRPr="00586BF8">
        <w:rPr>
          <w:i/>
          <w:iCs/>
          <w:sz w:val="24"/>
          <w:lang w:val="sk-SK"/>
        </w:rPr>
        <w:t>Child</w:t>
      </w:r>
      <w:proofErr w:type="spellEnd"/>
      <w:r w:rsidRPr="00586BF8">
        <w:rPr>
          <w:i/>
          <w:iCs/>
          <w:sz w:val="24"/>
          <w:lang w:val="sk-SK"/>
        </w:rPr>
        <w:t xml:space="preserve"> </w:t>
      </w:r>
      <w:proofErr w:type="spellStart"/>
      <w:r w:rsidRPr="00586BF8">
        <w:rPr>
          <w:i/>
          <w:iCs/>
          <w:sz w:val="24"/>
          <w:lang w:val="sk-SK"/>
        </w:rPr>
        <w:t>Indicators</w:t>
      </w:r>
      <w:proofErr w:type="spellEnd"/>
      <w:r w:rsidRPr="00586BF8">
        <w:rPr>
          <w:i/>
          <w:iCs/>
          <w:sz w:val="24"/>
          <w:lang w:val="sk-SK"/>
        </w:rPr>
        <w:t xml:space="preserve"> </w:t>
      </w:r>
      <w:proofErr w:type="spellStart"/>
      <w:r w:rsidRPr="00586BF8">
        <w:rPr>
          <w:i/>
          <w:iCs/>
          <w:sz w:val="24"/>
          <w:lang w:val="sk-SK"/>
        </w:rPr>
        <w:t>Research</w:t>
      </w:r>
      <w:proofErr w:type="spellEnd"/>
      <w:r w:rsidRPr="00586BF8">
        <w:rPr>
          <w:sz w:val="24"/>
          <w:lang w:val="sk-SK"/>
        </w:rPr>
        <w:t xml:space="preserve">, zväzok 16, s. </w:t>
      </w:r>
      <w:r w:rsidRPr="00586BF8">
        <w:rPr>
          <w:sz w:val="24"/>
          <w:lang w:val="sk-SK"/>
        </w:rPr>
        <w:t xml:space="preserve">1315 – 1339, 2023, </w:t>
      </w:r>
      <w:hyperlink r:id="rId29" w:history="1">
        <w:r w:rsidRPr="00586BF8">
          <w:rPr>
            <w:rStyle w:val="Hyperlink"/>
            <w:sz w:val="24"/>
            <w:lang w:val="sk-SK"/>
          </w:rPr>
          <w:t>https://doi.org/10.1007/s12187-022-10006-w</w:t>
        </w:r>
      </w:hyperlink>
      <w:r w:rsidRPr="00586BF8">
        <w:rPr>
          <w:sz w:val="24"/>
          <w:lang w:val="sk-SK"/>
        </w:rPr>
        <w:t>.</w:t>
      </w:r>
    </w:p>
  </w:footnote>
  <w:footnote w:id="46">
    <w:p w14:paraId="7A2EAC3D" w14:textId="370C5FB3" w:rsidR="00EF79E1" w:rsidRPr="00586BF8" w:rsidRDefault="00EF79E1" w:rsidP="00586BF8">
      <w:pPr>
        <w:pStyle w:val="FootnoteText"/>
        <w:ind w:left="567" w:hanging="567"/>
        <w:rPr>
          <w:sz w:val="24"/>
          <w:lang w:val="sk-SK"/>
        </w:rPr>
      </w:pPr>
      <w:r w:rsidRPr="00586BF8">
        <w:rPr>
          <w:rStyle w:val="FootnoteReference"/>
          <w:sz w:val="24"/>
          <w:lang w:val="sk-SK"/>
        </w:rPr>
        <w:footnoteRef/>
      </w:r>
      <w:r w:rsidR="00586BF8" w:rsidRPr="00586BF8">
        <w:rPr>
          <w:sz w:val="24"/>
          <w:lang w:val="sk-SK"/>
        </w:rPr>
        <w:t xml:space="preserve"> </w:t>
      </w:r>
      <w:r w:rsidR="00586BF8" w:rsidRPr="00586BF8">
        <w:rPr>
          <w:sz w:val="24"/>
          <w:lang w:val="sk-SK"/>
        </w:rPr>
        <w:tab/>
      </w:r>
      <w:proofErr w:type="spellStart"/>
      <w:r w:rsidRPr="00586BF8">
        <w:rPr>
          <w:sz w:val="24"/>
          <w:lang w:val="sk-SK"/>
        </w:rPr>
        <w:t>Bertoni</w:t>
      </w:r>
      <w:proofErr w:type="spellEnd"/>
      <w:r w:rsidRPr="00586BF8">
        <w:rPr>
          <w:sz w:val="24"/>
          <w:lang w:val="sk-SK"/>
        </w:rPr>
        <w:t xml:space="preserve">, E., </w:t>
      </w:r>
      <w:proofErr w:type="spellStart"/>
      <w:r w:rsidRPr="00586BF8">
        <w:rPr>
          <w:sz w:val="24"/>
          <w:lang w:val="sk-SK"/>
        </w:rPr>
        <w:t>Cosgrove</w:t>
      </w:r>
      <w:proofErr w:type="spellEnd"/>
      <w:r w:rsidRPr="00586BF8">
        <w:rPr>
          <w:sz w:val="24"/>
          <w:lang w:val="sk-SK"/>
        </w:rPr>
        <w:t xml:space="preserve">, J., </w:t>
      </w:r>
      <w:r w:rsidRPr="00586BF8">
        <w:rPr>
          <w:sz w:val="24"/>
          <w:lang w:val="sk-SK"/>
        </w:rPr>
        <w:t xml:space="preserve">a </w:t>
      </w:r>
      <w:proofErr w:type="spellStart"/>
      <w:r w:rsidRPr="00586BF8">
        <w:rPr>
          <w:sz w:val="24"/>
          <w:lang w:val="sk-SK"/>
        </w:rPr>
        <w:t>Cachia</w:t>
      </w:r>
      <w:proofErr w:type="spellEnd"/>
      <w:r w:rsidRPr="00586BF8">
        <w:rPr>
          <w:sz w:val="24"/>
          <w:lang w:val="sk-SK"/>
        </w:rPr>
        <w:t xml:space="preserve">, R., </w:t>
      </w:r>
      <w:proofErr w:type="spellStart"/>
      <w:r w:rsidRPr="00586BF8">
        <w:rPr>
          <w:i/>
          <w:sz w:val="24"/>
          <w:lang w:val="sk-SK"/>
        </w:rPr>
        <w:t>Digital</w:t>
      </w:r>
      <w:proofErr w:type="spellEnd"/>
      <w:r w:rsidRPr="00586BF8">
        <w:rPr>
          <w:i/>
          <w:sz w:val="24"/>
          <w:lang w:val="sk-SK"/>
        </w:rPr>
        <w:t xml:space="preserve"> </w:t>
      </w:r>
      <w:proofErr w:type="spellStart"/>
      <w:r w:rsidRPr="00586BF8">
        <w:rPr>
          <w:i/>
          <w:sz w:val="24"/>
          <w:lang w:val="sk-SK"/>
        </w:rPr>
        <w:t>skills</w:t>
      </w:r>
      <w:proofErr w:type="spellEnd"/>
      <w:r w:rsidRPr="00586BF8">
        <w:rPr>
          <w:i/>
          <w:sz w:val="24"/>
          <w:lang w:val="sk-SK"/>
        </w:rPr>
        <w:t xml:space="preserve"> </w:t>
      </w:r>
      <w:proofErr w:type="spellStart"/>
      <w:r w:rsidRPr="00586BF8">
        <w:rPr>
          <w:i/>
          <w:sz w:val="24"/>
          <w:lang w:val="sk-SK"/>
        </w:rPr>
        <w:t>gaps</w:t>
      </w:r>
      <w:proofErr w:type="spellEnd"/>
      <w:r w:rsidRPr="00586BF8">
        <w:rPr>
          <w:i/>
          <w:sz w:val="24"/>
          <w:lang w:val="sk-SK"/>
        </w:rPr>
        <w:t xml:space="preserve"> – a </w:t>
      </w:r>
      <w:proofErr w:type="spellStart"/>
      <w:r w:rsidRPr="00586BF8">
        <w:rPr>
          <w:i/>
          <w:sz w:val="24"/>
          <w:lang w:val="sk-SK"/>
        </w:rPr>
        <w:t>closer</w:t>
      </w:r>
      <w:proofErr w:type="spellEnd"/>
      <w:r w:rsidRPr="00586BF8">
        <w:rPr>
          <w:i/>
          <w:sz w:val="24"/>
          <w:lang w:val="sk-SK"/>
        </w:rPr>
        <w:t xml:space="preserve"> look at </w:t>
      </w:r>
      <w:proofErr w:type="spellStart"/>
      <w:r w:rsidRPr="00586BF8">
        <w:rPr>
          <w:i/>
          <w:sz w:val="24"/>
          <w:lang w:val="sk-SK"/>
        </w:rPr>
        <w:t>the</w:t>
      </w:r>
      <w:proofErr w:type="spellEnd"/>
      <w:r w:rsidRPr="00586BF8">
        <w:rPr>
          <w:i/>
          <w:sz w:val="24"/>
          <w:lang w:val="sk-SK"/>
        </w:rPr>
        <w:t xml:space="preserve"> </w:t>
      </w:r>
      <w:proofErr w:type="spellStart"/>
      <w:r w:rsidRPr="00586BF8">
        <w:rPr>
          <w:i/>
          <w:sz w:val="24"/>
          <w:lang w:val="sk-SK"/>
        </w:rPr>
        <w:t>Digital</w:t>
      </w:r>
      <w:proofErr w:type="spellEnd"/>
      <w:r w:rsidRPr="00586BF8">
        <w:rPr>
          <w:i/>
          <w:sz w:val="24"/>
          <w:lang w:val="sk-SK"/>
        </w:rPr>
        <w:t xml:space="preserve"> </w:t>
      </w:r>
      <w:proofErr w:type="spellStart"/>
      <w:r w:rsidRPr="00586BF8">
        <w:rPr>
          <w:i/>
          <w:sz w:val="24"/>
          <w:lang w:val="sk-SK"/>
        </w:rPr>
        <w:t>Skills</w:t>
      </w:r>
      <w:proofErr w:type="spellEnd"/>
      <w:r w:rsidRPr="00586BF8">
        <w:rPr>
          <w:i/>
          <w:sz w:val="24"/>
          <w:lang w:val="sk-SK"/>
        </w:rPr>
        <w:t xml:space="preserve"> Index</w:t>
      </w:r>
      <w:r w:rsidRPr="00586BF8">
        <w:rPr>
          <w:sz w:val="24"/>
          <w:lang w:val="sk-SK"/>
        </w:rPr>
        <w:t xml:space="preserve"> (DSI 2.0), Európska komisia, </w:t>
      </w:r>
      <w:proofErr w:type="spellStart"/>
      <w:r w:rsidRPr="00586BF8">
        <w:rPr>
          <w:sz w:val="24"/>
          <w:lang w:val="sk-SK"/>
        </w:rPr>
        <w:t>Ispra</w:t>
      </w:r>
      <w:proofErr w:type="spellEnd"/>
      <w:r w:rsidRPr="00586BF8">
        <w:rPr>
          <w:sz w:val="24"/>
          <w:lang w:val="sk-SK"/>
        </w:rPr>
        <w:t xml:space="preserve">, 2024, JRC140617, </w:t>
      </w:r>
      <w:hyperlink r:id="rId30" w:history="1">
        <w:r w:rsidRPr="00586BF8">
          <w:rPr>
            <w:rStyle w:val="Hyperlink"/>
            <w:sz w:val="24"/>
            <w:lang w:val="sk-SK"/>
          </w:rPr>
          <w:t>https://publications.jrc.ec.europa.eu/repository/handle/JRC140617</w:t>
        </w:r>
      </w:hyperlink>
      <w:r w:rsidRPr="00586BF8">
        <w:rPr>
          <w:sz w:val="24"/>
          <w:lang w:val="sk-SK"/>
        </w:rPr>
        <w:t xml:space="preserve">. </w:t>
      </w:r>
    </w:p>
  </w:footnote>
  <w:footnote w:id="47">
    <w:p w14:paraId="6B928AB5" w14:textId="1777CF25" w:rsidR="00EF79E1" w:rsidRPr="00586BF8" w:rsidRDefault="00EF79E1" w:rsidP="00586BF8">
      <w:pPr>
        <w:pStyle w:val="FootnoteText"/>
        <w:ind w:left="567" w:hanging="567"/>
        <w:rPr>
          <w:sz w:val="24"/>
          <w:lang w:val="sk-SK"/>
        </w:rPr>
      </w:pPr>
      <w:r w:rsidRPr="00586BF8">
        <w:rPr>
          <w:rStyle w:val="FootnoteReference"/>
          <w:sz w:val="24"/>
          <w:lang w:val="sk-SK"/>
        </w:rPr>
        <w:footnoteRef/>
      </w:r>
      <w:r w:rsidR="00586BF8" w:rsidRPr="00586BF8">
        <w:rPr>
          <w:sz w:val="24"/>
          <w:lang w:val="sk-SK"/>
        </w:rPr>
        <w:t xml:space="preserve"> </w:t>
      </w:r>
      <w:r w:rsidR="00586BF8" w:rsidRPr="00586BF8">
        <w:rPr>
          <w:sz w:val="24"/>
          <w:lang w:val="sk-SK"/>
        </w:rPr>
        <w:tab/>
      </w:r>
      <w:proofErr w:type="spellStart"/>
      <w:r w:rsidRPr="00586BF8">
        <w:rPr>
          <w:sz w:val="24"/>
          <w:lang w:val="sk-SK"/>
        </w:rPr>
        <w:t>Eurostat</w:t>
      </w:r>
      <w:proofErr w:type="spellEnd"/>
      <w:r w:rsidRPr="00586BF8">
        <w:rPr>
          <w:sz w:val="24"/>
          <w:lang w:val="sk-SK"/>
        </w:rPr>
        <w:t xml:space="preserve">, sociálny prehľad, </w:t>
      </w:r>
      <w:hyperlink r:id="rId31" w:history="1">
        <w:r w:rsidRPr="00586BF8">
          <w:rPr>
            <w:rStyle w:val="Hyperlink"/>
            <w:sz w:val="24"/>
            <w:lang w:val="sk-SK"/>
          </w:rPr>
          <w:t>https://ec.europa.eu/eurostat/cache/dashboard/social-scoreboard</w:t>
        </w:r>
      </w:hyperlink>
      <w:r w:rsidRPr="00586BF8">
        <w:rPr>
          <w:sz w:val="24"/>
          <w:lang w:val="sk-SK"/>
        </w:rPr>
        <w:t>.</w:t>
      </w:r>
    </w:p>
  </w:footnote>
  <w:footnote w:id="48">
    <w:p w14:paraId="6FE026FB" w14:textId="76E661AE" w:rsidR="00EF79E1" w:rsidRPr="00586BF8" w:rsidRDefault="00EF79E1" w:rsidP="00586BF8">
      <w:pPr>
        <w:pStyle w:val="FootnoteText"/>
        <w:ind w:left="567" w:hanging="567"/>
        <w:rPr>
          <w:sz w:val="24"/>
          <w:lang w:val="sk-SK"/>
        </w:rPr>
      </w:pPr>
      <w:r w:rsidRPr="00586BF8">
        <w:rPr>
          <w:rStyle w:val="FootnoteReference"/>
          <w:sz w:val="24"/>
          <w:lang w:val="sk-SK"/>
        </w:rPr>
        <w:footnoteRef/>
      </w:r>
      <w:r w:rsidR="00586BF8" w:rsidRPr="00586BF8">
        <w:rPr>
          <w:sz w:val="24"/>
          <w:lang w:val="sk-SK"/>
        </w:rPr>
        <w:t xml:space="preserve"> </w:t>
      </w:r>
      <w:r w:rsidR="00586BF8" w:rsidRPr="00586BF8">
        <w:rPr>
          <w:sz w:val="24"/>
          <w:lang w:val="sk-SK"/>
        </w:rPr>
        <w:tab/>
      </w:r>
      <w:r w:rsidRPr="00586BF8">
        <w:rPr>
          <w:sz w:val="24"/>
          <w:lang w:val="sk-SK"/>
        </w:rPr>
        <w:t xml:space="preserve">Európska komisia, </w:t>
      </w:r>
      <w:proofErr w:type="spellStart"/>
      <w:r w:rsidRPr="00586BF8">
        <w:rPr>
          <w:i/>
          <w:iCs/>
          <w:sz w:val="24"/>
          <w:lang w:val="sk-SK"/>
        </w:rPr>
        <w:t>Employment</w:t>
      </w:r>
      <w:proofErr w:type="spellEnd"/>
      <w:r w:rsidRPr="00586BF8">
        <w:rPr>
          <w:i/>
          <w:iCs/>
          <w:sz w:val="24"/>
          <w:lang w:val="sk-SK"/>
        </w:rPr>
        <w:t xml:space="preserve"> and </w:t>
      </w:r>
      <w:proofErr w:type="spellStart"/>
      <w:r w:rsidRPr="00586BF8">
        <w:rPr>
          <w:i/>
          <w:iCs/>
          <w:sz w:val="24"/>
          <w:lang w:val="sk-SK"/>
        </w:rPr>
        <w:t>Social</w:t>
      </w:r>
      <w:proofErr w:type="spellEnd"/>
      <w:r w:rsidRPr="00586BF8">
        <w:rPr>
          <w:i/>
          <w:iCs/>
          <w:sz w:val="24"/>
          <w:lang w:val="sk-SK"/>
        </w:rPr>
        <w:t xml:space="preserve"> </w:t>
      </w:r>
      <w:proofErr w:type="spellStart"/>
      <w:r w:rsidRPr="00586BF8">
        <w:rPr>
          <w:i/>
          <w:iCs/>
          <w:sz w:val="24"/>
          <w:lang w:val="sk-SK"/>
        </w:rPr>
        <w:t>Developments</w:t>
      </w:r>
      <w:proofErr w:type="spellEnd"/>
      <w:r w:rsidRPr="00586BF8">
        <w:rPr>
          <w:i/>
          <w:iCs/>
          <w:sz w:val="24"/>
          <w:lang w:val="sk-SK"/>
        </w:rPr>
        <w:t xml:space="preserve"> in </w:t>
      </w:r>
      <w:proofErr w:type="spellStart"/>
      <w:r w:rsidRPr="00586BF8">
        <w:rPr>
          <w:i/>
          <w:iCs/>
          <w:sz w:val="24"/>
          <w:lang w:val="sk-SK"/>
        </w:rPr>
        <w:t>Europe</w:t>
      </w:r>
      <w:proofErr w:type="spellEnd"/>
      <w:r w:rsidRPr="00586BF8">
        <w:rPr>
          <w:i/>
          <w:iCs/>
          <w:sz w:val="24"/>
          <w:lang w:val="sk-SK"/>
        </w:rPr>
        <w:t xml:space="preserve"> (ESDE)</w:t>
      </w:r>
      <w:r w:rsidRPr="00586BF8">
        <w:rPr>
          <w:sz w:val="24"/>
          <w:lang w:val="sk-SK"/>
        </w:rPr>
        <w:t xml:space="preserve"> </w:t>
      </w:r>
      <w:r w:rsidRPr="00586BF8">
        <w:rPr>
          <w:i/>
          <w:iCs/>
          <w:sz w:val="24"/>
          <w:lang w:val="sk-SK"/>
        </w:rPr>
        <w:t>2023</w:t>
      </w:r>
      <w:r w:rsidRPr="00586BF8">
        <w:rPr>
          <w:sz w:val="24"/>
          <w:lang w:val="sk-SK"/>
        </w:rPr>
        <w:t>, Európska komisia, konzultované 9. </w:t>
      </w:r>
      <w:r w:rsidRPr="00586BF8">
        <w:rPr>
          <w:sz w:val="24"/>
          <w:lang w:val="sk-SK"/>
        </w:rPr>
        <w:t xml:space="preserve">decembra 2025, </w:t>
      </w:r>
      <w:hyperlink r:id="rId32" w:history="1">
        <w:r w:rsidRPr="00586BF8">
          <w:rPr>
            <w:rStyle w:val="Hyperlink"/>
            <w:sz w:val="24"/>
            <w:lang w:val="sk-SK"/>
          </w:rPr>
          <w:t>https://op.europa.eu/webpub/empl/esde-2023/</w:t>
        </w:r>
      </w:hyperlink>
      <w:r w:rsidRPr="00586BF8">
        <w:rPr>
          <w:sz w:val="24"/>
          <w:lang w:val="sk-SK"/>
        </w:rPr>
        <w:t>.</w:t>
      </w:r>
    </w:p>
  </w:footnote>
  <w:footnote w:id="49">
    <w:p w14:paraId="05445450" w14:textId="12A5DB05" w:rsidR="00EF79E1" w:rsidRPr="00586BF8" w:rsidRDefault="00EF79E1" w:rsidP="00586BF8">
      <w:pPr>
        <w:pStyle w:val="FootnoteText"/>
        <w:ind w:left="567" w:hanging="567"/>
        <w:rPr>
          <w:sz w:val="24"/>
          <w:lang w:val="sk-SK"/>
        </w:rPr>
      </w:pPr>
      <w:r w:rsidRPr="00586BF8">
        <w:rPr>
          <w:rStyle w:val="FootnoteReference"/>
          <w:sz w:val="24"/>
          <w:lang w:val="sk-SK"/>
        </w:rPr>
        <w:footnoteRef/>
      </w:r>
      <w:r w:rsidR="00586BF8" w:rsidRPr="00586BF8">
        <w:rPr>
          <w:sz w:val="24"/>
          <w:lang w:val="sk-SK"/>
        </w:rPr>
        <w:t xml:space="preserve"> </w:t>
      </w:r>
      <w:r w:rsidR="00586BF8" w:rsidRPr="00586BF8">
        <w:rPr>
          <w:sz w:val="24"/>
          <w:lang w:val="sk-SK"/>
        </w:rPr>
        <w:tab/>
      </w:r>
      <w:r w:rsidRPr="00586BF8">
        <w:rPr>
          <w:sz w:val="24"/>
          <w:lang w:val="sk-SK"/>
        </w:rPr>
        <w:t xml:space="preserve">Európska komisia, Generálne riaditeľstvo pre zamestnanosť, sociálne záležitosti a začlenenie a Výbor pre sociálnu ochranu (SPC), </w:t>
      </w:r>
      <w:r w:rsidRPr="00586BF8">
        <w:rPr>
          <w:i/>
          <w:sz w:val="24"/>
          <w:lang w:val="sk-SK"/>
        </w:rPr>
        <w:t xml:space="preserve">2024 </w:t>
      </w:r>
      <w:proofErr w:type="spellStart"/>
      <w:r w:rsidRPr="00586BF8">
        <w:rPr>
          <w:i/>
          <w:sz w:val="24"/>
          <w:lang w:val="sk-SK"/>
        </w:rPr>
        <w:t>Pension</w:t>
      </w:r>
      <w:proofErr w:type="spellEnd"/>
      <w:r w:rsidRPr="00586BF8">
        <w:rPr>
          <w:i/>
          <w:sz w:val="24"/>
          <w:lang w:val="sk-SK"/>
        </w:rPr>
        <w:t xml:space="preserve"> </w:t>
      </w:r>
      <w:proofErr w:type="spellStart"/>
      <w:r w:rsidRPr="00586BF8">
        <w:rPr>
          <w:i/>
          <w:sz w:val="24"/>
          <w:lang w:val="sk-SK"/>
        </w:rPr>
        <w:t>adequacy</w:t>
      </w:r>
      <w:proofErr w:type="spellEnd"/>
      <w:r w:rsidRPr="00586BF8">
        <w:rPr>
          <w:i/>
          <w:sz w:val="24"/>
          <w:lang w:val="sk-SK"/>
        </w:rPr>
        <w:t xml:space="preserve"> report – </w:t>
      </w:r>
      <w:proofErr w:type="spellStart"/>
      <w:r w:rsidRPr="00586BF8">
        <w:rPr>
          <w:i/>
          <w:sz w:val="24"/>
          <w:lang w:val="sk-SK"/>
        </w:rPr>
        <w:t>Current</w:t>
      </w:r>
      <w:proofErr w:type="spellEnd"/>
      <w:r w:rsidRPr="00586BF8">
        <w:rPr>
          <w:i/>
          <w:sz w:val="24"/>
          <w:lang w:val="sk-SK"/>
        </w:rPr>
        <w:t xml:space="preserve"> and </w:t>
      </w:r>
      <w:proofErr w:type="spellStart"/>
      <w:r w:rsidRPr="00586BF8">
        <w:rPr>
          <w:i/>
          <w:sz w:val="24"/>
          <w:lang w:val="sk-SK"/>
        </w:rPr>
        <w:t>future</w:t>
      </w:r>
      <w:proofErr w:type="spellEnd"/>
      <w:r w:rsidRPr="00586BF8">
        <w:rPr>
          <w:i/>
          <w:sz w:val="24"/>
          <w:lang w:val="sk-SK"/>
        </w:rPr>
        <w:t xml:space="preserve"> </w:t>
      </w:r>
      <w:proofErr w:type="spellStart"/>
      <w:r w:rsidRPr="00586BF8">
        <w:rPr>
          <w:i/>
          <w:sz w:val="24"/>
          <w:lang w:val="sk-SK"/>
        </w:rPr>
        <w:t>income</w:t>
      </w:r>
      <w:proofErr w:type="spellEnd"/>
      <w:r w:rsidRPr="00586BF8">
        <w:rPr>
          <w:i/>
          <w:sz w:val="24"/>
          <w:lang w:val="sk-SK"/>
        </w:rPr>
        <w:t xml:space="preserve"> </w:t>
      </w:r>
      <w:proofErr w:type="spellStart"/>
      <w:r w:rsidRPr="00586BF8">
        <w:rPr>
          <w:i/>
          <w:sz w:val="24"/>
          <w:lang w:val="sk-SK"/>
        </w:rPr>
        <w:t>adequacy</w:t>
      </w:r>
      <w:proofErr w:type="spellEnd"/>
      <w:r w:rsidRPr="00586BF8">
        <w:rPr>
          <w:i/>
          <w:sz w:val="24"/>
          <w:lang w:val="sk-SK"/>
        </w:rPr>
        <w:t xml:space="preserve"> in </w:t>
      </w:r>
      <w:proofErr w:type="spellStart"/>
      <w:r w:rsidRPr="00586BF8">
        <w:rPr>
          <w:i/>
          <w:sz w:val="24"/>
          <w:lang w:val="sk-SK"/>
        </w:rPr>
        <w:t>old</w:t>
      </w:r>
      <w:proofErr w:type="spellEnd"/>
      <w:r w:rsidRPr="00586BF8">
        <w:rPr>
          <w:i/>
          <w:sz w:val="24"/>
          <w:lang w:val="sk-SK"/>
        </w:rPr>
        <w:t xml:space="preserve"> </w:t>
      </w:r>
      <w:proofErr w:type="spellStart"/>
      <w:r w:rsidRPr="00586BF8">
        <w:rPr>
          <w:i/>
          <w:sz w:val="24"/>
          <w:lang w:val="sk-SK"/>
        </w:rPr>
        <w:t>age</w:t>
      </w:r>
      <w:proofErr w:type="spellEnd"/>
      <w:r w:rsidRPr="00586BF8">
        <w:rPr>
          <w:i/>
          <w:sz w:val="24"/>
          <w:lang w:val="sk-SK"/>
        </w:rPr>
        <w:t xml:space="preserve"> in </w:t>
      </w:r>
      <w:proofErr w:type="spellStart"/>
      <w:r w:rsidRPr="00586BF8">
        <w:rPr>
          <w:i/>
          <w:sz w:val="24"/>
          <w:lang w:val="sk-SK"/>
        </w:rPr>
        <w:t>the</w:t>
      </w:r>
      <w:proofErr w:type="spellEnd"/>
      <w:r w:rsidRPr="00586BF8">
        <w:rPr>
          <w:i/>
          <w:sz w:val="24"/>
          <w:lang w:val="sk-SK"/>
        </w:rPr>
        <w:t xml:space="preserve"> EU</w:t>
      </w:r>
      <w:r w:rsidRPr="00586BF8">
        <w:rPr>
          <w:sz w:val="24"/>
          <w:lang w:val="sk-SK"/>
        </w:rPr>
        <w:t xml:space="preserve">, zväzok I, Úrad pre vydávanie publikácií Európskej únie, 2024, </w:t>
      </w:r>
      <w:hyperlink r:id="rId33" w:history="1">
        <w:r w:rsidRPr="00586BF8">
          <w:rPr>
            <w:rStyle w:val="Hyperlink"/>
            <w:sz w:val="24"/>
            <w:lang w:val="sk-SK"/>
          </w:rPr>
          <w:t>https://data.europa.eu/doi/10.2767/909323</w:t>
        </w:r>
      </w:hyperlink>
      <w:r w:rsidRPr="00586BF8">
        <w:rPr>
          <w:sz w:val="24"/>
          <w:lang w:val="sk-SK"/>
        </w:rPr>
        <w:t>.</w:t>
      </w:r>
    </w:p>
  </w:footnote>
  <w:footnote w:id="50">
    <w:p w14:paraId="29632E8C" w14:textId="6A67C3BE" w:rsidR="00EF79E1" w:rsidRPr="00586BF8" w:rsidRDefault="00EF79E1" w:rsidP="00586BF8">
      <w:pPr>
        <w:pStyle w:val="FootnoteText"/>
        <w:ind w:left="567" w:hanging="567"/>
        <w:rPr>
          <w:sz w:val="24"/>
          <w:lang w:val="sk-SK"/>
        </w:rPr>
      </w:pPr>
      <w:r w:rsidRPr="00586BF8">
        <w:rPr>
          <w:rStyle w:val="FootnoteReference"/>
          <w:sz w:val="24"/>
          <w:lang w:val="sk-SK"/>
        </w:rPr>
        <w:footnoteRef/>
      </w:r>
      <w:r w:rsidR="00586BF8" w:rsidRPr="00586BF8">
        <w:rPr>
          <w:sz w:val="24"/>
          <w:lang w:val="sk-SK"/>
        </w:rPr>
        <w:t xml:space="preserve"> </w:t>
      </w:r>
      <w:r w:rsidR="00586BF8" w:rsidRPr="00586BF8">
        <w:rPr>
          <w:sz w:val="24"/>
          <w:lang w:val="sk-SK"/>
        </w:rPr>
        <w:tab/>
      </w:r>
      <w:r w:rsidRPr="00586BF8">
        <w:rPr>
          <w:sz w:val="24"/>
          <w:lang w:val="sk-SK"/>
        </w:rPr>
        <w:t xml:space="preserve">Svetová banka, </w:t>
      </w:r>
      <w:proofErr w:type="spellStart"/>
      <w:r w:rsidRPr="00586BF8">
        <w:rPr>
          <w:i/>
          <w:iCs/>
          <w:sz w:val="24"/>
          <w:lang w:val="sk-SK"/>
        </w:rPr>
        <w:t>People</w:t>
      </w:r>
      <w:proofErr w:type="spellEnd"/>
      <w:r w:rsidRPr="00586BF8">
        <w:rPr>
          <w:i/>
          <w:iCs/>
          <w:sz w:val="24"/>
          <w:lang w:val="sk-SK"/>
        </w:rPr>
        <w:t xml:space="preserve"> </w:t>
      </w:r>
      <w:proofErr w:type="spellStart"/>
      <w:r w:rsidRPr="00586BF8">
        <w:rPr>
          <w:i/>
          <w:iCs/>
          <w:sz w:val="24"/>
          <w:lang w:val="sk-SK"/>
        </w:rPr>
        <w:t>using</w:t>
      </w:r>
      <w:proofErr w:type="spellEnd"/>
      <w:r w:rsidRPr="00586BF8">
        <w:rPr>
          <w:i/>
          <w:iCs/>
          <w:sz w:val="24"/>
          <w:lang w:val="sk-SK"/>
        </w:rPr>
        <w:t xml:space="preserve"> </w:t>
      </w:r>
      <w:proofErr w:type="spellStart"/>
      <w:r w:rsidRPr="00586BF8">
        <w:rPr>
          <w:i/>
          <w:iCs/>
          <w:sz w:val="24"/>
          <w:lang w:val="sk-SK"/>
        </w:rPr>
        <w:t>safely</w:t>
      </w:r>
      <w:proofErr w:type="spellEnd"/>
      <w:r w:rsidRPr="00586BF8">
        <w:rPr>
          <w:i/>
          <w:iCs/>
          <w:sz w:val="24"/>
          <w:lang w:val="sk-SK"/>
        </w:rPr>
        <w:t xml:space="preserve"> </w:t>
      </w:r>
      <w:proofErr w:type="spellStart"/>
      <w:r w:rsidRPr="00586BF8">
        <w:rPr>
          <w:i/>
          <w:iCs/>
          <w:sz w:val="24"/>
          <w:lang w:val="sk-SK"/>
        </w:rPr>
        <w:t>managed</w:t>
      </w:r>
      <w:proofErr w:type="spellEnd"/>
      <w:r w:rsidRPr="00586BF8">
        <w:rPr>
          <w:i/>
          <w:iCs/>
          <w:sz w:val="24"/>
          <w:lang w:val="sk-SK"/>
        </w:rPr>
        <w:t xml:space="preserve"> </w:t>
      </w:r>
      <w:proofErr w:type="spellStart"/>
      <w:r w:rsidRPr="00586BF8">
        <w:rPr>
          <w:i/>
          <w:iCs/>
          <w:sz w:val="24"/>
          <w:lang w:val="sk-SK"/>
        </w:rPr>
        <w:t>drinking</w:t>
      </w:r>
      <w:proofErr w:type="spellEnd"/>
      <w:r w:rsidRPr="00586BF8">
        <w:rPr>
          <w:i/>
          <w:iCs/>
          <w:sz w:val="24"/>
          <w:lang w:val="sk-SK"/>
        </w:rPr>
        <w:t xml:space="preserve"> </w:t>
      </w:r>
      <w:proofErr w:type="spellStart"/>
      <w:r w:rsidRPr="00586BF8">
        <w:rPr>
          <w:i/>
          <w:iCs/>
          <w:sz w:val="24"/>
          <w:lang w:val="sk-SK"/>
        </w:rPr>
        <w:t>water</w:t>
      </w:r>
      <w:proofErr w:type="spellEnd"/>
      <w:r w:rsidRPr="00586BF8">
        <w:rPr>
          <w:i/>
          <w:iCs/>
          <w:sz w:val="24"/>
          <w:lang w:val="sk-SK"/>
        </w:rPr>
        <w:t xml:space="preserve"> </w:t>
      </w:r>
      <w:proofErr w:type="spellStart"/>
      <w:r w:rsidRPr="00586BF8">
        <w:rPr>
          <w:i/>
          <w:iCs/>
          <w:sz w:val="24"/>
          <w:lang w:val="sk-SK"/>
        </w:rPr>
        <w:t>services</w:t>
      </w:r>
      <w:proofErr w:type="spellEnd"/>
      <w:r w:rsidRPr="00586BF8">
        <w:rPr>
          <w:i/>
          <w:iCs/>
          <w:sz w:val="24"/>
          <w:lang w:val="sk-SK"/>
        </w:rPr>
        <w:t xml:space="preserve"> (% of </w:t>
      </w:r>
      <w:proofErr w:type="spellStart"/>
      <w:r w:rsidRPr="00586BF8">
        <w:rPr>
          <w:i/>
          <w:iCs/>
          <w:sz w:val="24"/>
          <w:lang w:val="sk-SK"/>
        </w:rPr>
        <w:t>population</w:t>
      </w:r>
      <w:proofErr w:type="spellEnd"/>
      <w:r w:rsidRPr="00586BF8">
        <w:rPr>
          <w:i/>
          <w:iCs/>
          <w:sz w:val="24"/>
          <w:lang w:val="sk-SK"/>
        </w:rPr>
        <w:t xml:space="preserve">) - </w:t>
      </w:r>
      <w:proofErr w:type="spellStart"/>
      <w:r w:rsidRPr="00586BF8">
        <w:rPr>
          <w:i/>
          <w:iCs/>
          <w:sz w:val="24"/>
          <w:lang w:val="sk-SK"/>
        </w:rPr>
        <w:t>European</w:t>
      </w:r>
      <w:proofErr w:type="spellEnd"/>
      <w:r w:rsidRPr="00586BF8">
        <w:rPr>
          <w:i/>
          <w:iCs/>
          <w:sz w:val="24"/>
          <w:lang w:val="sk-SK"/>
        </w:rPr>
        <w:t xml:space="preserve"> Union</w:t>
      </w:r>
      <w:r w:rsidRPr="00586BF8">
        <w:rPr>
          <w:sz w:val="24"/>
          <w:lang w:val="sk-SK"/>
        </w:rPr>
        <w:t>, konzultované 9. </w:t>
      </w:r>
      <w:r w:rsidRPr="00586BF8">
        <w:rPr>
          <w:sz w:val="24"/>
          <w:lang w:val="sk-SK"/>
        </w:rPr>
        <w:t xml:space="preserve">decembra 2025, </w:t>
      </w:r>
      <w:hyperlink r:id="rId34" w:history="1">
        <w:r w:rsidRPr="00586BF8">
          <w:rPr>
            <w:rStyle w:val="Hyperlink"/>
            <w:sz w:val="24"/>
            <w:lang w:val="sk-SK"/>
          </w:rPr>
          <w:t>https://data.worldbank.org/indicator/SH.H2O.SMDW.ZS?locations=EU</w:t>
        </w:r>
      </w:hyperlink>
      <w:r w:rsidRPr="00586BF8">
        <w:rPr>
          <w:sz w:val="24"/>
          <w:lang w:val="sk-SK"/>
        </w:rPr>
        <w:t>.</w:t>
      </w:r>
    </w:p>
  </w:footnote>
  <w:footnote w:id="51">
    <w:p w14:paraId="5CFD6E26" w14:textId="42CB26EB" w:rsidR="00EF79E1" w:rsidRPr="00586BF8" w:rsidRDefault="00EF79E1" w:rsidP="00586BF8">
      <w:pPr>
        <w:pStyle w:val="FootnoteText"/>
        <w:ind w:left="567" w:hanging="567"/>
        <w:rPr>
          <w:sz w:val="24"/>
          <w:lang w:val="sk-SK"/>
        </w:rPr>
      </w:pPr>
      <w:r w:rsidRPr="00586BF8">
        <w:rPr>
          <w:rStyle w:val="FootnoteReference"/>
          <w:sz w:val="24"/>
          <w:lang w:val="sk-SK"/>
        </w:rPr>
        <w:footnoteRef/>
      </w:r>
      <w:r w:rsidR="00586BF8" w:rsidRPr="00586BF8">
        <w:rPr>
          <w:sz w:val="24"/>
          <w:lang w:val="sk-SK"/>
        </w:rPr>
        <w:t xml:space="preserve"> </w:t>
      </w:r>
      <w:r w:rsidR="00586BF8" w:rsidRPr="00586BF8">
        <w:rPr>
          <w:sz w:val="24"/>
          <w:lang w:val="sk-SK"/>
        </w:rPr>
        <w:tab/>
      </w:r>
      <w:r w:rsidRPr="00586BF8">
        <w:rPr>
          <w:sz w:val="24"/>
          <w:lang w:val="sk-SK"/>
        </w:rPr>
        <w:t xml:space="preserve">Svetová banka, </w:t>
      </w:r>
      <w:proofErr w:type="spellStart"/>
      <w:r w:rsidRPr="00586BF8">
        <w:rPr>
          <w:i/>
          <w:iCs/>
          <w:sz w:val="24"/>
          <w:lang w:val="sk-SK"/>
        </w:rPr>
        <w:t>People</w:t>
      </w:r>
      <w:proofErr w:type="spellEnd"/>
      <w:r w:rsidRPr="00586BF8">
        <w:rPr>
          <w:i/>
          <w:iCs/>
          <w:sz w:val="24"/>
          <w:lang w:val="sk-SK"/>
        </w:rPr>
        <w:t xml:space="preserve"> </w:t>
      </w:r>
      <w:proofErr w:type="spellStart"/>
      <w:r w:rsidRPr="00586BF8">
        <w:rPr>
          <w:i/>
          <w:iCs/>
          <w:sz w:val="24"/>
          <w:lang w:val="sk-SK"/>
        </w:rPr>
        <w:t>using</w:t>
      </w:r>
      <w:proofErr w:type="spellEnd"/>
      <w:r w:rsidRPr="00586BF8">
        <w:rPr>
          <w:i/>
          <w:iCs/>
          <w:sz w:val="24"/>
          <w:lang w:val="sk-SK"/>
        </w:rPr>
        <w:t xml:space="preserve"> at </w:t>
      </w:r>
      <w:proofErr w:type="spellStart"/>
      <w:r w:rsidRPr="00586BF8">
        <w:rPr>
          <w:i/>
          <w:iCs/>
          <w:sz w:val="24"/>
          <w:lang w:val="sk-SK"/>
        </w:rPr>
        <w:t>least</w:t>
      </w:r>
      <w:proofErr w:type="spellEnd"/>
      <w:r w:rsidRPr="00586BF8">
        <w:rPr>
          <w:i/>
          <w:iCs/>
          <w:sz w:val="24"/>
          <w:lang w:val="sk-SK"/>
        </w:rPr>
        <w:t xml:space="preserve"> </w:t>
      </w:r>
      <w:proofErr w:type="spellStart"/>
      <w:r w:rsidRPr="00586BF8">
        <w:rPr>
          <w:i/>
          <w:iCs/>
          <w:sz w:val="24"/>
          <w:lang w:val="sk-SK"/>
        </w:rPr>
        <w:t>basic</w:t>
      </w:r>
      <w:proofErr w:type="spellEnd"/>
      <w:r w:rsidRPr="00586BF8">
        <w:rPr>
          <w:i/>
          <w:iCs/>
          <w:sz w:val="24"/>
          <w:lang w:val="sk-SK"/>
        </w:rPr>
        <w:t xml:space="preserve"> </w:t>
      </w:r>
      <w:proofErr w:type="spellStart"/>
      <w:r w:rsidRPr="00586BF8">
        <w:rPr>
          <w:i/>
          <w:iCs/>
          <w:sz w:val="24"/>
          <w:lang w:val="sk-SK"/>
        </w:rPr>
        <w:t>drinking</w:t>
      </w:r>
      <w:proofErr w:type="spellEnd"/>
      <w:r w:rsidRPr="00586BF8">
        <w:rPr>
          <w:i/>
          <w:iCs/>
          <w:sz w:val="24"/>
          <w:lang w:val="sk-SK"/>
        </w:rPr>
        <w:t xml:space="preserve"> </w:t>
      </w:r>
      <w:proofErr w:type="spellStart"/>
      <w:r w:rsidRPr="00586BF8">
        <w:rPr>
          <w:i/>
          <w:iCs/>
          <w:sz w:val="24"/>
          <w:lang w:val="sk-SK"/>
        </w:rPr>
        <w:t>water</w:t>
      </w:r>
      <w:proofErr w:type="spellEnd"/>
      <w:r w:rsidRPr="00586BF8">
        <w:rPr>
          <w:i/>
          <w:iCs/>
          <w:sz w:val="24"/>
          <w:lang w:val="sk-SK"/>
        </w:rPr>
        <w:t xml:space="preserve"> </w:t>
      </w:r>
      <w:proofErr w:type="spellStart"/>
      <w:r w:rsidRPr="00586BF8">
        <w:rPr>
          <w:i/>
          <w:iCs/>
          <w:sz w:val="24"/>
          <w:lang w:val="sk-SK"/>
        </w:rPr>
        <w:t>services</w:t>
      </w:r>
      <w:proofErr w:type="spellEnd"/>
      <w:r w:rsidRPr="00586BF8">
        <w:rPr>
          <w:i/>
          <w:iCs/>
          <w:sz w:val="24"/>
          <w:lang w:val="sk-SK"/>
        </w:rPr>
        <w:t xml:space="preserve"> (% of </w:t>
      </w:r>
      <w:proofErr w:type="spellStart"/>
      <w:r w:rsidRPr="00586BF8">
        <w:rPr>
          <w:i/>
          <w:iCs/>
          <w:sz w:val="24"/>
          <w:lang w:val="sk-SK"/>
        </w:rPr>
        <w:t>population</w:t>
      </w:r>
      <w:proofErr w:type="spellEnd"/>
      <w:r w:rsidRPr="00586BF8">
        <w:rPr>
          <w:i/>
          <w:iCs/>
          <w:sz w:val="24"/>
          <w:lang w:val="sk-SK"/>
        </w:rPr>
        <w:t xml:space="preserve">) - </w:t>
      </w:r>
      <w:proofErr w:type="spellStart"/>
      <w:r w:rsidRPr="00586BF8">
        <w:rPr>
          <w:i/>
          <w:iCs/>
          <w:sz w:val="24"/>
          <w:lang w:val="sk-SK"/>
        </w:rPr>
        <w:t>European</w:t>
      </w:r>
      <w:proofErr w:type="spellEnd"/>
      <w:r w:rsidRPr="00586BF8">
        <w:rPr>
          <w:i/>
          <w:iCs/>
          <w:sz w:val="24"/>
          <w:lang w:val="sk-SK"/>
        </w:rPr>
        <w:t xml:space="preserve"> Union</w:t>
      </w:r>
      <w:r w:rsidRPr="00586BF8">
        <w:rPr>
          <w:sz w:val="24"/>
          <w:lang w:val="sk-SK"/>
        </w:rPr>
        <w:t>, konzultované 9. </w:t>
      </w:r>
      <w:r w:rsidRPr="00586BF8">
        <w:rPr>
          <w:sz w:val="24"/>
          <w:lang w:val="sk-SK"/>
        </w:rPr>
        <w:t xml:space="preserve">decembra 2025, </w:t>
      </w:r>
      <w:hyperlink r:id="rId35" w:history="1">
        <w:r w:rsidRPr="00586BF8">
          <w:rPr>
            <w:rStyle w:val="Hyperlink"/>
            <w:sz w:val="24"/>
            <w:lang w:val="sk-SK"/>
          </w:rPr>
          <w:t>https://data.worldbank.org/indicator/SH.H2O.BASW.ZS?locations=EU</w:t>
        </w:r>
      </w:hyperlink>
      <w:r w:rsidRPr="00586BF8">
        <w:rPr>
          <w:sz w:val="24"/>
          <w:lang w:val="sk-SK"/>
        </w:rPr>
        <w:t>.</w:t>
      </w:r>
    </w:p>
  </w:footnote>
  <w:footnote w:id="52">
    <w:p w14:paraId="017797FA" w14:textId="632A3D19" w:rsidR="00EF79E1" w:rsidRPr="00586BF8" w:rsidRDefault="00EF79E1" w:rsidP="00586BF8">
      <w:pPr>
        <w:pStyle w:val="FootnoteText"/>
        <w:ind w:left="567" w:hanging="567"/>
        <w:rPr>
          <w:sz w:val="24"/>
          <w:lang w:val="sk-SK"/>
        </w:rPr>
      </w:pPr>
      <w:r w:rsidRPr="00586BF8">
        <w:rPr>
          <w:rStyle w:val="FootnoteReference"/>
          <w:sz w:val="24"/>
          <w:lang w:val="sk-SK"/>
        </w:rPr>
        <w:footnoteRef/>
      </w:r>
      <w:r w:rsidR="00586BF8" w:rsidRPr="00586BF8">
        <w:rPr>
          <w:sz w:val="24"/>
          <w:lang w:val="sk-SK"/>
        </w:rPr>
        <w:t xml:space="preserve"> </w:t>
      </w:r>
      <w:r w:rsidR="00586BF8" w:rsidRPr="00586BF8">
        <w:rPr>
          <w:sz w:val="24"/>
          <w:lang w:val="sk-SK"/>
        </w:rPr>
        <w:tab/>
      </w:r>
      <w:proofErr w:type="spellStart"/>
      <w:r w:rsidRPr="00586BF8">
        <w:rPr>
          <w:sz w:val="24"/>
          <w:lang w:val="sk-SK"/>
        </w:rPr>
        <w:t>Eurostat</w:t>
      </w:r>
      <w:proofErr w:type="spellEnd"/>
      <w:r w:rsidRPr="00586BF8">
        <w:rPr>
          <w:sz w:val="24"/>
          <w:lang w:val="sk-SK"/>
        </w:rPr>
        <w:t xml:space="preserve">, </w:t>
      </w:r>
      <w:proofErr w:type="spellStart"/>
      <w:r w:rsidRPr="00586BF8">
        <w:rPr>
          <w:i/>
          <w:iCs/>
          <w:sz w:val="24"/>
          <w:lang w:val="sk-SK"/>
        </w:rPr>
        <w:t>Population</w:t>
      </w:r>
      <w:proofErr w:type="spellEnd"/>
      <w:r w:rsidRPr="00586BF8">
        <w:rPr>
          <w:i/>
          <w:iCs/>
          <w:sz w:val="24"/>
          <w:lang w:val="sk-SK"/>
        </w:rPr>
        <w:t xml:space="preserve"> </w:t>
      </w:r>
      <w:proofErr w:type="spellStart"/>
      <w:r w:rsidRPr="00586BF8">
        <w:rPr>
          <w:i/>
          <w:iCs/>
          <w:sz w:val="24"/>
          <w:lang w:val="sk-SK"/>
        </w:rPr>
        <w:t>having</w:t>
      </w:r>
      <w:proofErr w:type="spellEnd"/>
      <w:r w:rsidRPr="00586BF8">
        <w:rPr>
          <w:i/>
          <w:iCs/>
          <w:sz w:val="24"/>
          <w:lang w:val="sk-SK"/>
        </w:rPr>
        <w:t xml:space="preserve"> </w:t>
      </w:r>
      <w:proofErr w:type="spellStart"/>
      <w:r w:rsidRPr="00586BF8">
        <w:rPr>
          <w:i/>
          <w:iCs/>
          <w:sz w:val="24"/>
          <w:lang w:val="sk-SK"/>
        </w:rPr>
        <w:t>neither</w:t>
      </w:r>
      <w:proofErr w:type="spellEnd"/>
      <w:r w:rsidRPr="00586BF8">
        <w:rPr>
          <w:i/>
          <w:iCs/>
          <w:sz w:val="24"/>
          <w:lang w:val="sk-SK"/>
        </w:rPr>
        <w:t xml:space="preserve"> a </w:t>
      </w:r>
      <w:proofErr w:type="spellStart"/>
      <w:r w:rsidRPr="00586BF8">
        <w:rPr>
          <w:i/>
          <w:iCs/>
          <w:sz w:val="24"/>
          <w:lang w:val="sk-SK"/>
        </w:rPr>
        <w:t>bath</w:t>
      </w:r>
      <w:proofErr w:type="spellEnd"/>
      <w:r w:rsidRPr="00586BF8">
        <w:rPr>
          <w:i/>
          <w:iCs/>
          <w:sz w:val="24"/>
          <w:lang w:val="sk-SK"/>
        </w:rPr>
        <w:t xml:space="preserve">, nor a </w:t>
      </w:r>
      <w:proofErr w:type="spellStart"/>
      <w:r w:rsidRPr="00586BF8">
        <w:rPr>
          <w:i/>
          <w:iCs/>
          <w:sz w:val="24"/>
          <w:lang w:val="sk-SK"/>
        </w:rPr>
        <w:t>shower</w:t>
      </w:r>
      <w:proofErr w:type="spellEnd"/>
      <w:r w:rsidRPr="00586BF8">
        <w:rPr>
          <w:i/>
          <w:iCs/>
          <w:sz w:val="24"/>
          <w:lang w:val="sk-SK"/>
        </w:rPr>
        <w:t xml:space="preserve">, nor </w:t>
      </w:r>
      <w:proofErr w:type="spellStart"/>
      <w:r w:rsidRPr="00586BF8">
        <w:rPr>
          <w:i/>
          <w:iCs/>
          <w:sz w:val="24"/>
          <w:lang w:val="sk-SK"/>
        </w:rPr>
        <w:t>indoor</w:t>
      </w:r>
      <w:proofErr w:type="spellEnd"/>
      <w:r w:rsidRPr="00586BF8">
        <w:rPr>
          <w:i/>
          <w:iCs/>
          <w:sz w:val="24"/>
          <w:lang w:val="sk-SK"/>
        </w:rPr>
        <w:t xml:space="preserve"> </w:t>
      </w:r>
      <w:proofErr w:type="spellStart"/>
      <w:r w:rsidRPr="00586BF8">
        <w:rPr>
          <w:i/>
          <w:iCs/>
          <w:sz w:val="24"/>
          <w:lang w:val="sk-SK"/>
        </w:rPr>
        <w:t>flushing</w:t>
      </w:r>
      <w:proofErr w:type="spellEnd"/>
      <w:r w:rsidRPr="00586BF8">
        <w:rPr>
          <w:i/>
          <w:iCs/>
          <w:sz w:val="24"/>
          <w:lang w:val="sk-SK"/>
        </w:rPr>
        <w:t xml:space="preserve"> </w:t>
      </w:r>
      <w:proofErr w:type="spellStart"/>
      <w:r w:rsidRPr="00586BF8">
        <w:rPr>
          <w:i/>
          <w:iCs/>
          <w:sz w:val="24"/>
          <w:lang w:val="sk-SK"/>
        </w:rPr>
        <w:t>toilet</w:t>
      </w:r>
      <w:proofErr w:type="spellEnd"/>
      <w:r w:rsidRPr="00586BF8">
        <w:rPr>
          <w:i/>
          <w:iCs/>
          <w:sz w:val="24"/>
          <w:lang w:val="sk-SK"/>
        </w:rPr>
        <w:t xml:space="preserve"> in </w:t>
      </w:r>
      <w:proofErr w:type="spellStart"/>
      <w:r w:rsidRPr="00586BF8">
        <w:rPr>
          <w:i/>
          <w:iCs/>
          <w:sz w:val="24"/>
          <w:lang w:val="sk-SK"/>
        </w:rPr>
        <w:t>their</w:t>
      </w:r>
      <w:proofErr w:type="spellEnd"/>
      <w:r w:rsidRPr="00586BF8">
        <w:rPr>
          <w:i/>
          <w:iCs/>
          <w:sz w:val="24"/>
          <w:lang w:val="sk-SK"/>
        </w:rPr>
        <w:t xml:space="preserve"> </w:t>
      </w:r>
      <w:proofErr w:type="spellStart"/>
      <w:r w:rsidRPr="00586BF8">
        <w:rPr>
          <w:i/>
          <w:iCs/>
          <w:sz w:val="24"/>
          <w:lang w:val="sk-SK"/>
        </w:rPr>
        <w:t>household</w:t>
      </w:r>
      <w:proofErr w:type="spellEnd"/>
      <w:r w:rsidRPr="00586BF8">
        <w:rPr>
          <w:i/>
          <w:iCs/>
          <w:sz w:val="24"/>
          <w:lang w:val="sk-SK"/>
        </w:rPr>
        <w:t xml:space="preserve"> by </w:t>
      </w:r>
      <w:proofErr w:type="spellStart"/>
      <w:r w:rsidRPr="00586BF8">
        <w:rPr>
          <w:i/>
          <w:iCs/>
          <w:sz w:val="24"/>
          <w:lang w:val="sk-SK"/>
        </w:rPr>
        <w:t>poverty</w:t>
      </w:r>
      <w:proofErr w:type="spellEnd"/>
      <w:r w:rsidRPr="00586BF8">
        <w:rPr>
          <w:i/>
          <w:iCs/>
          <w:sz w:val="24"/>
          <w:lang w:val="sk-SK"/>
        </w:rPr>
        <w:t xml:space="preserve"> status</w:t>
      </w:r>
      <w:r w:rsidRPr="00586BF8">
        <w:rPr>
          <w:sz w:val="24"/>
          <w:lang w:val="sk-SK"/>
        </w:rPr>
        <w:t xml:space="preserve">, prehliadač údajov </w:t>
      </w:r>
      <w:proofErr w:type="spellStart"/>
      <w:r w:rsidRPr="00586BF8">
        <w:rPr>
          <w:sz w:val="24"/>
          <w:lang w:val="sk-SK"/>
        </w:rPr>
        <w:t>Eurostatu</w:t>
      </w:r>
      <w:proofErr w:type="spellEnd"/>
      <w:r w:rsidRPr="00586BF8">
        <w:rPr>
          <w:sz w:val="24"/>
          <w:lang w:val="sk-SK"/>
        </w:rPr>
        <w:t>, 28. októbra 2025, konzultované 9. </w:t>
      </w:r>
      <w:r w:rsidRPr="00586BF8">
        <w:rPr>
          <w:sz w:val="24"/>
          <w:lang w:val="sk-SK"/>
        </w:rPr>
        <w:t xml:space="preserve">decembra 2025, </w:t>
      </w:r>
      <w:hyperlink r:id="rId36" w:history="1">
        <w:r w:rsidRPr="00586BF8">
          <w:rPr>
            <w:rStyle w:val="Hyperlink"/>
            <w:sz w:val="24"/>
            <w:lang w:val="sk-SK"/>
          </w:rPr>
          <w:t>https://ec.europa.eu/eurostat/databrowser/view/sdg_06_10/default/table?lang=en</w:t>
        </w:r>
      </w:hyperlink>
      <w:r w:rsidRPr="00586BF8">
        <w:rPr>
          <w:sz w:val="24"/>
          <w:lang w:val="sk-SK"/>
        </w:rPr>
        <w:t>.</w:t>
      </w:r>
    </w:p>
  </w:footnote>
  <w:footnote w:id="53">
    <w:p w14:paraId="640E0212" w14:textId="7A750D4B" w:rsidR="00EF79E1" w:rsidRPr="00586BF8" w:rsidRDefault="00EF79E1" w:rsidP="00586BF8">
      <w:pPr>
        <w:pStyle w:val="FootnoteText"/>
        <w:ind w:left="567" w:hanging="567"/>
        <w:rPr>
          <w:sz w:val="24"/>
          <w:lang w:val="sk-SK"/>
        </w:rPr>
      </w:pPr>
      <w:r w:rsidRPr="00586BF8">
        <w:rPr>
          <w:rStyle w:val="FootnoteReference"/>
          <w:sz w:val="24"/>
          <w:lang w:val="sk-SK"/>
        </w:rPr>
        <w:footnoteRef/>
      </w:r>
      <w:r w:rsidR="00586BF8" w:rsidRPr="00586BF8">
        <w:rPr>
          <w:sz w:val="24"/>
          <w:lang w:val="sk-SK"/>
        </w:rPr>
        <w:t xml:space="preserve"> </w:t>
      </w:r>
      <w:r w:rsidR="00586BF8" w:rsidRPr="00586BF8">
        <w:rPr>
          <w:sz w:val="24"/>
          <w:lang w:val="sk-SK"/>
        </w:rPr>
        <w:tab/>
      </w:r>
      <w:r w:rsidRPr="00586BF8">
        <w:rPr>
          <w:sz w:val="24"/>
          <w:lang w:val="sk-SK"/>
        </w:rPr>
        <w:t xml:space="preserve">Európska federácia národných združení pracujúcich s bezdomovcami (FEANTSA), </w:t>
      </w:r>
      <w:r w:rsidRPr="00586BF8">
        <w:rPr>
          <w:i/>
          <w:sz w:val="24"/>
          <w:lang w:val="sk-SK"/>
        </w:rPr>
        <w:t xml:space="preserve">9th </w:t>
      </w:r>
      <w:proofErr w:type="spellStart"/>
      <w:r w:rsidRPr="00586BF8">
        <w:rPr>
          <w:i/>
          <w:sz w:val="24"/>
          <w:lang w:val="sk-SK"/>
        </w:rPr>
        <w:t>overview</w:t>
      </w:r>
      <w:proofErr w:type="spellEnd"/>
      <w:r w:rsidRPr="00586BF8">
        <w:rPr>
          <w:i/>
          <w:sz w:val="24"/>
          <w:lang w:val="sk-SK"/>
        </w:rPr>
        <w:t xml:space="preserve"> of </w:t>
      </w:r>
      <w:proofErr w:type="spellStart"/>
      <w:r w:rsidRPr="00586BF8">
        <w:rPr>
          <w:i/>
          <w:sz w:val="24"/>
          <w:lang w:val="sk-SK"/>
        </w:rPr>
        <w:t>housing</w:t>
      </w:r>
      <w:proofErr w:type="spellEnd"/>
      <w:r w:rsidRPr="00586BF8">
        <w:rPr>
          <w:i/>
          <w:sz w:val="24"/>
          <w:lang w:val="sk-SK"/>
        </w:rPr>
        <w:t xml:space="preserve"> </w:t>
      </w:r>
      <w:proofErr w:type="spellStart"/>
      <w:r w:rsidRPr="00586BF8">
        <w:rPr>
          <w:i/>
          <w:sz w:val="24"/>
          <w:lang w:val="sk-SK"/>
        </w:rPr>
        <w:t>exclusion</w:t>
      </w:r>
      <w:proofErr w:type="spellEnd"/>
      <w:r w:rsidRPr="00586BF8">
        <w:rPr>
          <w:i/>
          <w:sz w:val="24"/>
          <w:lang w:val="sk-SK"/>
        </w:rPr>
        <w:t xml:space="preserve"> in </w:t>
      </w:r>
      <w:proofErr w:type="spellStart"/>
      <w:r w:rsidRPr="00586BF8">
        <w:rPr>
          <w:i/>
          <w:sz w:val="24"/>
          <w:lang w:val="sk-SK"/>
        </w:rPr>
        <w:t>Europe</w:t>
      </w:r>
      <w:proofErr w:type="spellEnd"/>
      <w:r w:rsidRPr="00586BF8">
        <w:rPr>
          <w:i/>
          <w:sz w:val="24"/>
          <w:lang w:val="sk-SK"/>
        </w:rPr>
        <w:t xml:space="preserve"> 2024</w:t>
      </w:r>
      <w:r w:rsidRPr="00586BF8">
        <w:rPr>
          <w:sz w:val="24"/>
          <w:lang w:val="sk-SK"/>
        </w:rPr>
        <w:t xml:space="preserve">, </w:t>
      </w:r>
      <w:hyperlink r:id="rId37" w:history="1">
        <w:r w:rsidRPr="00586BF8">
          <w:rPr>
            <w:rStyle w:val="Hyperlink"/>
            <w:sz w:val="24"/>
            <w:lang w:val="sk-SK"/>
          </w:rPr>
          <w:t>https://www.feantsa.org/resources/9th-overview-of-housing-exclusion-in-europe-2024</w:t>
        </w:r>
      </w:hyperlink>
      <w:r w:rsidRPr="00586BF8">
        <w:rPr>
          <w:sz w:val="24"/>
          <w:lang w:val="sk-SK"/>
        </w:rPr>
        <w:t>.</w:t>
      </w:r>
    </w:p>
  </w:footnote>
  <w:footnote w:id="54">
    <w:p w14:paraId="08726BD9" w14:textId="4CFC483C" w:rsidR="00EF79E1" w:rsidRPr="00586BF8" w:rsidRDefault="00EF79E1" w:rsidP="00586BF8">
      <w:pPr>
        <w:pStyle w:val="FootnoteText"/>
        <w:ind w:left="567" w:hanging="567"/>
        <w:rPr>
          <w:sz w:val="24"/>
          <w:lang w:val="sk-SK"/>
        </w:rPr>
      </w:pPr>
      <w:r w:rsidRPr="00586BF8">
        <w:rPr>
          <w:rStyle w:val="FootnoteReference"/>
          <w:sz w:val="24"/>
          <w:lang w:val="sk-SK"/>
        </w:rPr>
        <w:footnoteRef/>
      </w:r>
      <w:r w:rsidR="00586BF8" w:rsidRPr="00586BF8">
        <w:rPr>
          <w:sz w:val="24"/>
          <w:lang w:val="sk-SK"/>
        </w:rPr>
        <w:t xml:space="preserve"> </w:t>
      </w:r>
      <w:r w:rsidR="00586BF8" w:rsidRPr="00586BF8">
        <w:rPr>
          <w:sz w:val="24"/>
          <w:lang w:val="sk-SK"/>
        </w:rPr>
        <w:tab/>
      </w:r>
      <w:r w:rsidRPr="00586BF8">
        <w:rPr>
          <w:sz w:val="24"/>
          <w:lang w:val="sk-SK"/>
        </w:rPr>
        <w:t xml:space="preserve">Agentúra Európskej únie pre základné práva, </w:t>
      </w:r>
      <w:r w:rsidRPr="00586BF8">
        <w:rPr>
          <w:i/>
          <w:iCs/>
          <w:sz w:val="24"/>
          <w:lang w:val="sk-SK"/>
        </w:rPr>
        <w:t xml:space="preserve">Podmienky bývania Rómov a </w:t>
      </w:r>
      <w:proofErr w:type="spellStart"/>
      <w:r w:rsidRPr="00586BF8">
        <w:rPr>
          <w:i/>
          <w:iCs/>
          <w:sz w:val="24"/>
          <w:lang w:val="sk-SK"/>
        </w:rPr>
        <w:t>Travellerov</w:t>
      </w:r>
      <w:proofErr w:type="spellEnd"/>
      <w:r w:rsidRPr="00586BF8">
        <w:rPr>
          <w:i/>
          <w:iCs/>
          <w:sz w:val="24"/>
          <w:lang w:val="sk-SK"/>
        </w:rPr>
        <w:t xml:space="preserve"> v Európskej únii – Komparatívna správa</w:t>
      </w:r>
      <w:r w:rsidRPr="00586BF8">
        <w:rPr>
          <w:sz w:val="24"/>
          <w:lang w:val="sk-SK"/>
        </w:rPr>
        <w:t xml:space="preserve">, 2009, </w:t>
      </w:r>
      <w:hyperlink r:id="rId38" w:history="1">
        <w:r w:rsidRPr="00586BF8">
          <w:rPr>
            <w:rStyle w:val="Hyperlink"/>
            <w:sz w:val="24"/>
            <w:lang w:val="sk-SK"/>
          </w:rPr>
          <w:t>https://fra.europa.eu/sk/publication/2011/housing-conditions-roma-and-travellers-european-union-comparative-report</w:t>
        </w:r>
      </w:hyperlink>
      <w:r w:rsidRPr="00586BF8">
        <w:rPr>
          <w:sz w:val="24"/>
          <w:lang w:val="sk-SK"/>
        </w:rPr>
        <w:t>.</w:t>
      </w:r>
    </w:p>
  </w:footnote>
  <w:footnote w:id="55">
    <w:p w14:paraId="28A013B7" w14:textId="1B57A099" w:rsidR="00EF79E1" w:rsidRPr="00586BF8" w:rsidRDefault="00EF79E1" w:rsidP="00586BF8">
      <w:pPr>
        <w:pStyle w:val="FootnoteText"/>
        <w:ind w:left="567" w:hanging="567"/>
        <w:rPr>
          <w:sz w:val="24"/>
          <w:lang w:val="sk-SK"/>
        </w:rPr>
      </w:pPr>
      <w:r w:rsidRPr="00586BF8">
        <w:rPr>
          <w:rStyle w:val="FootnoteReference"/>
          <w:sz w:val="24"/>
          <w:lang w:val="sk-SK"/>
        </w:rPr>
        <w:footnoteRef/>
      </w:r>
      <w:r w:rsidR="00586BF8" w:rsidRPr="00586BF8">
        <w:rPr>
          <w:sz w:val="24"/>
          <w:lang w:val="sk-SK"/>
        </w:rPr>
        <w:t xml:space="preserve"> </w:t>
      </w:r>
      <w:r w:rsidR="00586BF8" w:rsidRPr="00586BF8">
        <w:rPr>
          <w:sz w:val="24"/>
          <w:lang w:val="sk-SK"/>
        </w:rPr>
        <w:tab/>
      </w:r>
      <w:r w:rsidRPr="00586BF8">
        <w:rPr>
          <w:sz w:val="24"/>
          <w:lang w:val="sk-SK"/>
        </w:rPr>
        <w:t xml:space="preserve">UNICEF, </w:t>
      </w:r>
      <w:proofErr w:type="spellStart"/>
      <w:r w:rsidRPr="00586BF8">
        <w:rPr>
          <w:i/>
          <w:sz w:val="24"/>
          <w:lang w:val="sk-SK"/>
        </w:rPr>
        <w:t>Policy</w:t>
      </w:r>
      <w:proofErr w:type="spellEnd"/>
      <w:r w:rsidRPr="00586BF8">
        <w:rPr>
          <w:i/>
          <w:sz w:val="24"/>
          <w:lang w:val="sk-SK"/>
        </w:rPr>
        <w:t xml:space="preserve"> </w:t>
      </w:r>
      <w:proofErr w:type="spellStart"/>
      <w:r w:rsidRPr="00586BF8">
        <w:rPr>
          <w:i/>
          <w:sz w:val="24"/>
          <w:lang w:val="sk-SK"/>
        </w:rPr>
        <w:t>brief</w:t>
      </w:r>
      <w:proofErr w:type="spellEnd"/>
      <w:r w:rsidRPr="00586BF8">
        <w:rPr>
          <w:i/>
          <w:sz w:val="24"/>
          <w:lang w:val="sk-SK"/>
        </w:rPr>
        <w:t xml:space="preserve">: </w:t>
      </w:r>
      <w:proofErr w:type="spellStart"/>
      <w:r w:rsidRPr="00586BF8">
        <w:rPr>
          <w:i/>
          <w:sz w:val="24"/>
          <w:lang w:val="sk-SK"/>
        </w:rPr>
        <w:t>Keeping</w:t>
      </w:r>
      <w:proofErr w:type="spellEnd"/>
      <w:r w:rsidRPr="00586BF8">
        <w:rPr>
          <w:i/>
          <w:sz w:val="24"/>
          <w:lang w:val="sk-SK"/>
        </w:rPr>
        <w:t xml:space="preserve"> </w:t>
      </w:r>
      <w:proofErr w:type="spellStart"/>
      <w:r w:rsidRPr="00586BF8">
        <w:rPr>
          <w:i/>
          <w:sz w:val="24"/>
          <w:lang w:val="sk-SK"/>
        </w:rPr>
        <w:t>families</w:t>
      </w:r>
      <w:proofErr w:type="spellEnd"/>
      <w:r w:rsidRPr="00586BF8">
        <w:rPr>
          <w:i/>
          <w:sz w:val="24"/>
          <w:lang w:val="sk-SK"/>
        </w:rPr>
        <w:t xml:space="preserve"> </w:t>
      </w:r>
      <w:proofErr w:type="spellStart"/>
      <w:r w:rsidRPr="00586BF8">
        <w:rPr>
          <w:i/>
          <w:sz w:val="24"/>
          <w:lang w:val="sk-SK"/>
        </w:rPr>
        <w:t>together</w:t>
      </w:r>
      <w:proofErr w:type="spellEnd"/>
      <w:r w:rsidRPr="00586BF8">
        <w:rPr>
          <w:i/>
          <w:sz w:val="24"/>
          <w:lang w:val="sk-SK"/>
        </w:rPr>
        <w:t xml:space="preserve"> in </w:t>
      </w:r>
      <w:proofErr w:type="spellStart"/>
      <w:r w:rsidRPr="00586BF8">
        <w:rPr>
          <w:i/>
          <w:sz w:val="24"/>
          <w:lang w:val="sk-SK"/>
        </w:rPr>
        <w:t>Europe</w:t>
      </w:r>
      <w:proofErr w:type="spellEnd"/>
      <w:r w:rsidRPr="00586BF8">
        <w:rPr>
          <w:sz w:val="24"/>
          <w:lang w:val="sk-SK"/>
        </w:rPr>
        <w:t xml:space="preserve">, 2024, </w:t>
      </w:r>
      <w:hyperlink r:id="rId39" w:history="1">
        <w:r w:rsidRPr="00586BF8">
          <w:rPr>
            <w:rStyle w:val="Hyperlink"/>
            <w:sz w:val="24"/>
            <w:lang w:val="sk-SK"/>
          </w:rPr>
          <w:t>https://www.unicef.org/eca/media/36541/file/Keeping%20families%20together%20in%20Europe.pdf</w:t>
        </w:r>
      </w:hyperlink>
      <w:r w:rsidRPr="00586BF8">
        <w:rPr>
          <w:sz w:val="24"/>
          <w:lang w:val="sk-SK"/>
        </w:rPr>
        <w:t>.</w:t>
      </w:r>
    </w:p>
  </w:footnote>
  <w:footnote w:id="56">
    <w:p w14:paraId="20210995" w14:textId="4954B3D0" w:rsidR="00EF79E1" w:rsidRPr="00586BF8" w:rsidRDefault="00EF79E1" w:rsidP="00586BF8">
      <w:pPr>
        <w:pStyle w:val="FootnoteText"/>
        <w:ind w:left="567" w:hanging="567"/>
        <w:rPr>
          <w:sz w:val="24"/>
          <w:lang w:val="sk-SK"/>
        </w:rPr>
      </w:pPr>
      <w:r w:rsidRPr="00586BF8">
        <w:rPr>
          <w:rStyle w:val="FootnoteReference"/>
          <w:sz w:val="24"/>
          <w:lang w:val="sk-SK"/>
        </w:rPr>
        <w:footnoteRef/>
      </w:r>
      <w:r w:rsidR="00586BF8" w:rsidRPr="00586BF8">
        <w:rPr>
          <w:sz w:val="24"/>
          <w:lang w:val="sk-SK"/>
        </w:rPr>
        <w:t xml:space="preserve"> </w:t>
      </w:r>
      <w:r w:rsidR="00586BF8" w:rsidRPr="00586BF8">
        <w:rPr>
          <w:sz w:val="24"/>
          <w:lang w:val="sk-SK"/>
        </w:rPr>
        <w:tab/>
      </w:r>
      <w:hyperlink r:id="rId40" w:history="1">
        <w:r w:rsidRPr="00586BF8">
          <w:rPr>
            <w:sz w:val="24"/>
            <w:lang w:val="sk-SK"/>
          </w:rPr>
          <w:t xml:space="preserve">Eurostat, sociálny prehľad, </w:t>
        </w:r>
        <w:hyperlink r:id="rId41" w:history="1">
          <w:r w:rsidRPr="00586BF8">
            <w:rPr>
              <w:rStyle w:val="Hyperlink"/>
              <w:sz w:val="24"/>
              <w:lang w:val="sk-SK"/>
            </w:rPr>
            <w:t>https://ec.europa.eu/eurostat/cache/dashboard/social-scoreboard</w:t>
          </w:r>
        </w:hyperlink>
        <w:r w:rsidRPr="00586BF8">
          <w:rPr>
            <w:sz w:val="24"/>
            <w:lang w:val="sk-SK"/>
          </w:rPr>
          <w:t>.</w:t>
        </w:r>
      </w:hyperlink>
    </w:p>
  </w:footnote>
  <w:footnote w:id="57">
    <w:p w14:paraId="2E795227" w14:textId="29DBEFF9" w:rsidR="00EF79E1" w:rsidRPr="00586BF8" w:rsidRDefault="00EF79E1" w:rsidP="00586BF8">
      <w:pPr>
        <w:pStyle w:val="FootnoteText"/>
        <w:ind w:left="567" w:hanging="567"/>
        <w:rPr>
          <w:sz w:val="24"/>
          <w:lang w:val="sk-SK"/>
        </w:rPr>
      </w:pPr>
      <w:r w:rsidRPr="00586BF8">
        <w:rPr>
          <w:rStyle w:val="FootnoteReference"/>
          <w:sz w:val="24"/>
          <w:lang w:val="sk-SK"/>
        </w:rPr>
        <w:footnoteRef/>
      </w:r>
      <w:r w:rsidR="00586BF8" w:rsidRPr="00586BF8">
        <w:rPr>
          <w:sz w:val="24"/>
          <w:lang w:val="sk-SK"/>
        </w:rPr>
        <w:t xml:space="preserve"> </w:t>
      </w:r>
      <w:r w:rsidR="00586BF8" w:rsidRPr="00586BF8">
        <w:rPr>
          <w:sz w:val="24"/>
          <w:lang w:val="sk-SK"/>
        </w:rPr>
        <w:tab/>
      </w:r>
      <w:r w:rsidRPr="00586BF8">
        <w:rPr>
          <w:sz w:val="24"/>
          <w:lang w:val="sk-SK"/>
        </w:rPr>
        <w:t>Ú. v. EÚ C 398, 22.12.2012, s. 1.</w:t>
      </w:r>
    </w:p>
  </w:footnote>
  <w:footnote w:id="58">
    <w:p w14:paraId="7F515E68" w14:textId="7ACC3401" w:rsidR="00EF79E1" w:rsidRPr="00586BF8" w:rsidRDefault="00EF79E1" w:rsidP="00586BF8">
      <w:pPr>
        <w:pStyle w:val="FootnoteText"/>
        <w:ind w:left="567" w:hanging="567"/>
        <w:rPr>
          <w:sz w:val="24"/>
          <w:lang w:val="sk-SK"/>
        </w:rPr>
      </w:pPr>
      <w:r w:rsidRPr="00586BF8">
        <w:rPr>
          <w:rStyle w:val="FootnoteReference"/>
          <w:sz w:val="24"/>
          <w:lang w:val="sk-SK"/>
        </w:rPr>
        <w:footnoteRef/>
      </w:r>
      <w:r w:rsidR="00586BF8" w:rsidRPr="00586BF8">
        <w:rPr>
          <w:sz w:val="24"/>
          <w:lang w:val="sk-SK"/>
        </w:rPr>
        <w:t xml:space="preserve"> </w:t>
      </w:r>
      <w:r w:rsidR="00586BF8" w:rsidRPr="00586BF8">
        <w:rPr>
          <w:sz w:val="24"/>
          <w:lang w:val="sk-SK"/>
        </w:rPr>
        <w:tab/>
      </w:r>
      <w:r w:rsidRPr="00586BF8">
        <w:rPr>
          <w:sz w:val="24"/>
          <w:lang w:val="sk-SK"/>
        </w:rPr>
        <w:t>Uznesenie Európskeho parlamentu zo 6. júla 2022 o akčnom pláne EÚ pre sociálne hospodárstvo (Ú. v. EÚ C 47, 7.2.2023, s. 171).</w:t>
      </w:r>
    </w:p>
  </w:footnote>
  <w:footnote w:id="59">
    <w:p w14:paraId="5E3501B5" w14:textId="52F26661" w:rsidR="00EF79E1" w:rsidRPr="00586BF8" w:rsidRDefault="00EF79E1" w:rsidP="00586BF8">
      <w:pPr>
        <w:pStyle w:val="FootnoteText"/>
        <w:ind w:left="567" w:hanging="567"/>
        <w:rPr>
          <w:sz w:val="24"/>
          <w:lang w:val="sk-SK"/>
        </w:rPr>
      </w:pPr>
      <w:r w:rsidRPr="00586BF8">
        <w:rPr>
          <w:rStyle w:val="FootnoteReference"/>
          <w:sz w:val="24"/>
          <w:lang w:val="sk-SK"/>
        </w:rPr>
        <w:footnoteRef/>
      </w:r>
      <w:r w:rsidR="00586BF8" w:rsidRPr="00586BF8">
        <w:rPr>
          <w:sz w:val="24"/>
          <w:lang w:val="sk-SK"/>
        </w:rPr>
        <w:t xml:space="preserve"> </w:t>
      </w:r>
      <w:r w:rsidR="00586BF8" w:rsidRPr="00586BF8">
        <w:rPr>
          <w:sz w:val="24"/>
          <w:lang w:val="sk-SK"/>
        </w:rPr>
        <w:tab/>
      </w:r>
      <w:proofErr w:type="spellStart"/>
      <w:r w:rsidRPr="00586BF8">
        <w:rPr>
          <w:sz w:val="24"/>
          <w:lang w:val="sk-SK"/>
        </w:rPr>
        <w:t>Eurofound</w:t>
      </w:r>
      <w:proofErr w:type="spellEnd"/>
      <w:r w:rsidRPr="00586BF8">
        <w:rPr>
          <w:sz w:val="24"/>
          <w:lang w:val="sk-SK"/>
        </w:rPr>
        <w:t xml:space="preserve">, </w:t>
      </w:r>
      <w:proofErr w:type="spellStart"/>
      <w:r w:rsidRPr="00586BF8">
        <w:rPr>
          <w:i/>
          <w:sz w:val="24"/>
          <w:lang w:val="sk-SK"/>
        </w:rPr>
        <w:t>Paths</w:t>
      </w:r>
      <w:proofErr w:type="spellEnd"/>
      <w:r w:rsidRPr="00586BF8">
        <w:rPr>
          <w:i/>
          <w:sz w:val="24"/>
          <w:lang w:val="sk-SK"/>
        </w:rPr>
        <w:t xml:space="preserve"> </w:t>
      </w:r>
      <w:proofErr w:type="spellStart"/>
      <w:r w:rsidRPr="00586BF8">
        <w:rPr>
          <w:i/>
          <w:sz w:val="24"/>
          <w:lang w:val="sk-SK"/>
        </w:rPr>
        <w:t>towards</w:t>
      </w:r>
      <w:proofErr w:type="spellEnd"/>
      <w:r w:rsidRPr="00586BF8">
        <w:rPr>
          <w:i/>
          <w:sz w:val="24"/>
          <w:lang w:val="sk-SK"/>
        </w:rPr>
        <w:t xml:space="preserve"> </w:t>
      </w:r>
      <w:proofErr w:type="spellStart"/>
      <w:r w:rsidRPr="00586BF8">
        <w:rPr>
          <w:i/>
          <w:sz w:val="24"/>
          <w:lang w:val="sk-SK"/>
        </w:rPr>
        <w:t>independent</w:t>
      </w:r>
      <w:proofErr w:type="spellEnd"/>
      <w:r w:rsidRPr="00586BF8">
        <w:rPr>
          <w:i/>
          <w:sz w:val="24"/>
          <w:lang w:val="sk-SK"/>
        </w:rPr>
        <w:t xml:space="preserve"> </w:t>
      </w:r>
      <w:proofErr w:type="spellStart"/>
      <w:r w:rsidRPr="00586BF8">
        <w:rPr>
          <w:i/>
          <w:sz w:val="24"/>
          <w:lang w:val="sk-SK"/>
        </w:rPr>
        <w:t>living</w:t>
      </w:r>
      <w:proofErr w:type="spellEnd"/>
      <w:r w:rsidRPr="00586BF8">
        <w:rPr>
          <w:i/>
          <w:sz w:val="24"/>
          <w:lang w:val="sk-SK"/>
        </w:rPr>
        <w:t xml:space="preserve"> and </w:t>
      </w:r>
      <w:proofErr w:type="spellStart"/>
      <w:r w:rsidRPr="00586BF8">
        <w:rPr>
          <w:i/>
          <w:sz w:val="24"/>
          <w:lang w:val="sk-SK"/>
        </w:rPr>
        <w:t>social</w:t>
      </w:r>
      <w:proofErr w:type="spellEnd"/>
      <w:r w:rsidRPr="00586BF8">
        <w:rPr>
          <w:i/>
          <w:sz w:val="24"/>
          <w:lang w:val="sk-SK"/>
        </w:rPr>
        <w:t xml:space="preserve"> </w:t>
      </w:r>
      <w:proofErr w:type="spellStart"/>
      <w:r w:rsidRPr="00586BF8">
        <w:rPr>
          <w:i/>
          <w:sz w:val="24"/>
          <w:lang w:val="sk-SK"/>
        </w:rPr>
        <w:t>inclusion</w:t>
      </w:r>
      <w:proofErr w:type="spellEnd"/>
      <w:r w:rsidRPr="00586BF8">
        <w:rPr>
          <w:i/>
          <w:sz w:val="24"/>
          <w:lang w:val="sk-SK"/>
        </w:rPr>
        <w:t xml:space="preserve"> in </w:t>
      </w:r>
      <w:proofErr w:type="spellStart"/>
      <w:r w:rsidRPr="00586BF8">
        <w:rPr>
          <w:i/>
          <w:sz w:val="24"/>
          <w:lang w:val="sk-SK"/>
        </w:rPr>
        <w:t>Europe</w:t>
      </w:r>
      <w:proofErr w:type="spellEnd"/>
      <w:r w:rsidRPr="00586BF8">
        <w:rPr>
          <w:sz w:val="24"/>
          <w:lang w:val="sk-SK"/>
        </w:rPr>
        <w:t>, Úrad pre vydávanie publikácií Európskej únie, Luxemburg, 2024.</w:t>
      </w:r>
    </w:p>
  </w:footnote>
  <w:footnote w:id="60">
    <w:p w14:paraId="4E6FF649" w14:textId="57F1A086" w:rsidR="00F11C87" w:rsidRPr="00F94329" w:rsidRDefault="00F11C87" w:rsidP="00F94329">
      <w:pPr>
        <w:pStyle w:val="FootnoteText"/>
        <w:ind w:left="567" w:hanging="567"/>
        <w:rPr>
          <w:sz w:val="24"/>
          <w:szCs w:val="24"/>
          <w:lang w:val="sk-SK"/>
        </w:rPr>
      </w:pPr>
      <w:r w:rsidRPr="00F94329">
        <w:rPr>
          <w:rStyle w:val="FootnoteReference"/>
          <w:sz w:val="24"/>
          <w:szCs w:val="24"/>
        </w:rPr>
        <w:footnoteRef/>
      </w:r>
      <w:r w:rsidRPr="00F94329">
        <w:rPr>
          <w:sz w:val="24"/>
          <w:szCs w:val="24"/>
          <w:lang w:val="sk-SK"/>
        </w:rPr>
        <w:t xml:space="preserve"> </w:t>
      </w:r>
      <w:r w:rsidRPr="00F94329">
        <w:rPr>
          <w:sz w:val="24"/>
          <w:szCs w:val="24"/>
          <w:lang w:val="sk-SK"/>
        </w:rPr>
        <w:tab/>
        <w:t xml:space="preserve">Výbor pre sociálnu ochranu, </w:t>
      </w:r>
      <w:r w:rsidRPr="00F94329">
        <w:rPr>
          <w:i/>
          <w:iCs/>
          <w:sz w:val="24"/>
          <w:szCs w:val="24"/>
          <w:lang w:val="sk-SK"/>
        </w:rPr>
        <w:t xml:space="preserve">Update of </w:t>
      </w:r>
      <w:proofErr w:type="spellStart"/>
      <w:r w:rsidRPr="00F94329">
        <w:rPr>
          <w:i/>
          <w:iCs/>
          <w:sz w:val="24"/>
          <w:szCs w:val="24"/>
          <w:lang w:val="sk-SK"/>
        </w:rPr>
        <w:t>the</w:t>
      </w:r>
      <w:proofErr w:type="spellEnd"/>
      <w:r w:rsidRPr="00F94329">
        <w:rPr>
          <w:i/>
          <w:iCs/>
          <w:sz w:val="24"/>
          <w:szCs w:val="24"/>
          <w:lang w:val="sk-SK"/>
        </w:rPr>
        <w:t xml:space="preserve"> monitoring </w:t>
      </w:r>
      <w:proofErr w:type="spellStart"/>
      <w:r w:rsidRPr="00F94329">
        <w:rPr>
          <w:i/>
          <w:iCs/>
          <w:sz w:val="24"/>
          <w:szCs w:val="24"/>
          <w:lang w:val="sk-SK"/>
        </w:rPr>
        <w:t>framework</w:t>
      </w:r>
      <w:proofErr w:type="spellEnd"/>
      <w:r w:rsidRPr="00F94329">
        <w:rPr>
          <w:i/>
          <w:iCs/>
          <w:sz w:val="24"/>
          <w:szCs w:val="24"/>
          <w:lang w:val="sk-SK"/>
        </w:rPr>
        <w:t xml:space="preserve"> </w:t>
      </w:r>
      <w:proofErr w:type="spellStart"/>
      <w:r w:rsidRPr="00F94329">
        <w:rPr>
          <w:i/>
          <w:iCs/>
          <w:sz w:val="24"/>
          <w:szCs w:val="24"/>
          <w:lang w:val="sk-SK"/>
        </w:rPr>
        <w:t>for</w:t>
      </w:r>
      <w:proofErr w:type="spellEnd"/>
      <w:r w:rsidRPr="00F94329">
        <w:rPr>
          <w:i/>
          <w:iCs/>
          <w:sz w:val="24"/>
          <w:szCs w:val="24"/>
          <w:lang w:val="sk-SK"/>
        </w:rPr>
        <w:t xml:space="preserve"> </w:t>
      </w:r>
      <w:proofErr w:type="spellStart"/>
      <w:r w:rsidRPr="00F94329">
        <w:rPr>
          <w:i/>
          <w:iCs/>
          <w:sz w:val="24"/>
          <w:szCs w:val="24"/>
          <w:lang w:val="sk-SK"/>
        </w:rPr>
        <w:t>the</w:t>
      </w:r>
      <w:proofErr w:type="spellEnd"/>
      <w:r w:rsidRPr="00F94329">
        <w:rPr>
          <w:i/>
          <w:iCs/>
          <w:sz w:val="24"/>
          <w:szCs w:val="24"/>
          <w:lang w:val="sk-SK"/>
        </w:rPr>
        <w:t xml:space="preserve"> </w:t>
      </w:r>
      <w:proofErr w:type="spellStart"/>
      <w:r w:rsidRPr="00F94329">
        <w:rPr>
          <w:i/>
          <w:iCs/>
          <w:sz w:val="24"/>
          <w:szCs w:val="24"/>
          <w:lang w:val="sk-SK"/>
        </w:rPr>
        <w:t>European</w:t>
      </w:r>
      <w:proofErr w:type="spellEnd"/>
      <w:r w:rsidRPr="00F94329">
        <w:rPr>
          <w:i/>
          <w:iCs/>
          <w:sz w:val="24"/>
          <w:szCs w:val="24"/>
          <w:lang w:val="sk-SK"/>
        </w:rPr>
        <w:t xml:space="preserve"> </w:t>
      </w:r>
      <w:proofErr w:type="spellStart"/>
      <w:r w:rsidRPr="00F94329">
        <w:rPr>
          <w:i/>
          <w:iCs/>
          <w:sz w:val="24"/>
          <w:szCs w:val="24"/>
          <w:lang w:val="sk-SK"/>
        </w:rPr>
        <w:t>Child</w:t>
      </w:r>
      <w:proofErr w:type="spellEnd"/>
      <w:r w:rsidRPr="00F94329">
        <w:rPr>
          <w:i/>
          <w:iCs/>
          <w:sz w:val="24"/>
          <w:szCs w:val="24"/>
          <w:lang w:val="sk-SK"/>
        </w:rPr>
        <w:t xml:space="preserve"> </w:t>
      </w:r>
      <w:proofErr w:type="spellStart"/>
      <w:r w:rsidRPr="00F94329">
        <w:rPr>
          <w:i/>
          <w:iCs/>
          <w:sz w:val="24"/>
          <w:szCs w:val="24"/>
          <w:lang w:val="sk-SK"/>
        </w:rPr>
        <w:t>Guarantee</w:t>
      </w:r>
      <w:proofErr w:type="spellEnd"/>
      <w:r w:rsidRPr="00F94329">
        <w:rPr>
          <w:sz w:val="24"/>
          <w:szCs w:val="24"/>
          <w:lang w:val="sk-SK"/>
        </w:rPr>
        <w:t xml:space="preserve"> (Aktualizácia monitorovacieho rámca pre Európsku záruku pre deti) (jeseň 2025), 4. </w:t>
      </w:r>
      <w:r w:rsidRPr="00F94329">
        <w:rPr>
          <w:sz w:val="24"/>
          <w:szCs w:val="24"/>
          <w:lang w:val="sk-SK"/>
        </w:rPr>
        <w:t xml:space="preserve">februára 2026, </w:t>
      </w:r>
      <w:hyperlink r:id="rId42" w:history="1">
        <w:r w:rsidRPr="00F94329">
          <w:rPr>
            <w:rStyle w:val="Hyperlink"/>
            <w:sz w:val="24"/>
            <w:szCs w:val="24"/>
            <w:lang w:val="sk-SK"/>
          </w:rPr>
          <w:t>https://webgate.ec.europa.eu/circabc-ewpp/ui/group/bab664d7-1188-47b2-9fa6-869902320ba2/library/d7064b47-8a07-47b6-8d9f-0dc08849f2b7/details</w:t>
        </w:r>
      </w:hyperlink>
      <w:r>
        <w:rPr>
          <w:sz w:val="24"/>
          <w:szCs w:val="24"/>
          <w:lang w:val="sk-SK"/>
        </w:rPr>
        <w:t>.</w:t>
      </w:r>
    </w:p>
  </w:footnote>
  <w:footnote w:id="61">
    <w:p w14:paraId="328F577E" w14:textId="33384ABE" w:rsidR="00EF79E1" w:rsidRPr="00586BF8" w:rsidRDefault="00EF79E1" w:rsidP="00586BF8">
      <w:pPr>
        <w:pStyle w:val="FootnoteText"/>
        <w:ind w:left="567" w:hanging="567"/>
        <w:rPr>
          <w:sz w:val="24"/>
          <w:lang w:val="sk-SK"/>
        </w:rPr>
      </w:pPr>
      <w:r w:rsidRPr="00586BF8">
        <w:rPr>
          <w:rStyle w:val="FootnoteReference"/>
          <w:sz w:val="24"/>
          <w:lang w:val="sk-SK"/>
        </w:rPr>
        <w:footnoteRef/>
      </w:r>
      <w:r w:rsidR="00586BF8" w:rsidRPr="00586BF8">
        <w:rPr>
          <w:sz w:val="24"/>
          <w:lang w:val="sk-SK"/>
        </w:rPr>
        <w:t xml:space="preserve"> </w:t>
      </w:r>
      <w:r w:rsidR="00586BF8" w:rsidRPr="00586BF8">
        <w:rPr>
          <w:sz w:val="24"/>
          <w:lang w:val="sk-SK"/>
        </w:rPr>
        <w:tab/>
      </w:r>
      <w:r w:rsidRPr="00586BF8">
        <w:rPr>
          <w:sz w:val="24"/>
          <w:lang w:val="sk-SK"/>
        </w:rPr>
        <w:t xml:space="preserve">Európska komisia, </w:t>
      </w:r>
      <w:r w:rsidRPr="00586BF8">
        <w:rPr>
          <w:i/>
          <w:iCs/>
          <w:sz w:val="24"/>
          <w:lang w:val="sk-SK"/>
        </w:rPr>
        <w:t xml:space="preserve">Update of </w:t>
      </w:r>
      <w:proofErr w:type="spellStart"/>
      <w:r w:rsidRPr="00586BF8">
        <w:rPr>
          <w:i/>
          <w:iCs/>
          <w:sz w:val="24"/>
          <w:lang w:val="sk-SK"/>
        </w:rPr>
        <w:t>the</w:t>
      </w:r>
      <w:proofErr w:type="spellEnd"/>
      <w:r w:rsidRPr="00586BF8">
        <w:rPr>
          <w:i/>
          <w:iCs/>
          <w:sz w:val="24"/>
          <w:lang w:val="sk-SK"/>
        </w:rPr>
        <w:t xml:space="preserve"> EU </w:t>
      </w:r>
      <w:proofErr w:type="spellStart"/>
      <w:r w:rsidRPr="00586BF8">
        <w:rPr>
          <w:i/>
          <w:iCs/>
          <w:sz w:val="24"/>
          <w:lang w:val="sk-SK"/>
        </w:rPr>
        <w:t>framework</w:t>
      </w:r>
      <w:proofErr w:type="spellEnd"/>
      <w:r w:rsidRPr="00586BF8">
        <w:rPr>
          <w:i/>
          <w:iCs/>
          <w:sz w:val="24"/>
          <w:lang w:val="sk-SK"/>
        </w:rPr>
        <w:t xml:space="preserve"> </w:t>
      </w:r>
      <w:proofErr w:type="spellStart"/>
      <w:r w:rsidRPr="00586BF8">
        <w:rPr>
          <w:i/>
          <w:iCs/>
          <w:sz w:val="24"/>
          <w:lang w:val="sk-SK"/>
        </w:rPr>
        <w:t>for</w:t>
      </w:r>
      <w:proofErr w:type="spellEnd"/>
      <w:r w:rsidRPr="00586BF8">
        <w:rPr>
          <w:i/>
          <w:iCs/>
          <w:sz w:val="24"/>
          <w:lang w:val="sk-SK"/>
        </w:rPr>
        <w:t xml:space="preserve"> monitoring </w:t>
      </w:r>
      <w:proofErr w:type="spellStart"/>
      <w:r w:rsidRPr="00586BF8">
        <w:rPr>
          <w:i/>
          <w:iCs/>
          <w:sz w:val="24"/>
          <w:lang w:val="sk-SK"/>
        </w:rPr>
        <w:t>the</w:t>
      </w:r>
      <w:proofErr w:type="spellEnd"/>
      <w:r w:rsidRPr="00586BF8">
        <w:rPr>
          <w:i/>
          <w:iCs/>
          <w:sz w:val="24"/>
          <w:lang w:val="sk-SK"/>
        </w:rPr>
        <w:t xml:space="preserve"> </w:t>
      </w:r>
      <w:proofErr w:type="spellStart"/>
      <w:r w:rsidRPr="00586BF8">
        <w:rPr>
          <w:i/>
          <w:iCs/>
          <w:sz w:val="24"/>
          <w:lang w:val="sk-SK"/>
        </w:rPr>
        <w:t>implementation</w:t>
      </w:r>
      <w:proofErr w:type="spellEnd"/>
      <w:r w:rsidRPr="00586BF8">
        <w:rPr>
          <w:i/>
          <w:iCs/>
          <w:sz w:val="24"/>
          <w:lang w:val="sk-SK"/>
        </w:rPr>
        <w:t xml:space="preserve"> of </w:t>
      </w:r>
      <w:proofErr w:type="spellStart"/>
      <w:r w:rsidRPr="00586BF8">
        <w:rPr>
          <w:i/>
          <w:iCs/>
          <w:sz w:val="24"/>
          <w:lang w:val="sk-SK"/>
        </w:rPr>
        <w:t>the</w:t>
      </w:r>
      <w:proofErr w:type="spellEnd"/>
      <w:r w:rsidRPr="00586BF8">
        <w:rPr>
          <w:i/>
          <w:iCs/>
          <w:sz w:val="24"/>
          <w:lang w:val="sk-SK"/>
        </w:rPr>
        <w:t xml:space="preserve"> </w:t>
      </w:r>
      <w:proofErr w:type="spellStart"/>
      <w:r w:rsidRPr="00586BF8">
        <w:rPr>
          <w:i/>
          <w:iCs/>
          <w:sz w:val="24"/>
          <w:lang w:val="sk-SK"/>
        </w:rPr>
        <w:t>European</w:t>
      </w:r>
      <w:proofErr w:type="spellEnd"/>
      <w:r w:rsidRPr="00586BF8">
        <w:rPr>
          <w:i/>
          <w:iCs/>
          <w:sz w:val="24"/>
          <w:lang w:val="sk-SK"/>
        </w:rPr>
        <w:t xml:space="preserve"> </w:t>
      </w:r>
      <w:proofErr w:type="spellStart"/>
      <w:r w:rsidRPr="00586BF8">
        <w:rPr>
          <w:i/>
          <w:iCs/>
          <w:sz w:val="24"/>
          <w:lang w:val="sk-SK"/>
        </w:rPr>
        <w:t>Child</w:t>
      </w:r>
      <w:proofErr w:type="spellEnd"/>
      <w:r w:rsidRPr="00586BF8">
        <w:rPr>
          <w:i/>
          <w:iCs/>
          <w:sz w:val="24"/>
          <w:lang w:val="sk-SK"/>
        </w:rPr>
        <w:t xml:space="preserve"> </w:t>
      </w:r>
      <w:proofErr w:type="spellStart"/>
      <w:r w:rsidRPr="00586BF8">
        <w:rPr>
          <w:i/>
          <w:iCs/>
          <w:sz w:val="24"/>
          <w:lang w:val="sk-SK"/>
        </w:rPr>
        <w:t>Guarantee</w:t>
      </w:r>
      <w:proofErr w:type="spellEnd"/>
      <w:r w:rsidRPr="00586BF8">
        <w:rPr>
          <w:sz w:val="24"/>
          <w:lang w:val="sk-SK"/>
        </w:rPr>
        <w:t>, 2. júna 2025.</w:t>
      </w:r>
    </w:p>
  </w:footnote>
  <w:footnote w:id="62">
    <w:p w14:paraId="401C5557" w14:textId="15060CEB" w:rsidR="00EF79E1" w:rsidRPr="00586BF8" w:rsidRDefault="00EF79E1" w:rsidP="00586BF8">
      <w:pPr>
        <w:pStyle w:val="FootnoteText"/>
        <w:ind w:left="567" w:hanging="567"/>
        <w:rPr>
          <w:sz w:val="24"/>
          <w:lang w:val="sk-SK"/>
        </w:rPr>
      </w:pPr>
      <w:r w:rsidRPr="00586BF8">
        <w:rPr>
          <w:rStyle w:val="FootnoteReference"/>
          <w:sz w:val="24"/>
          <w:lang w:val="sk-SK"/>
        </w:rPr>
        <w:footnoteRef/>
      </w:r>
      <w:r w:rsidR="00586BF8" w:rsidRPr="00586BF8">
        <w:rPr>
          <w:sz w:val="24"/>
          <w:lang w:val="sk-SK"/>
        </w:rPr>
        <w:t xml:space="preserve"> </w:t>
      </w:r>
      <w:r w:rsidR="00586BF8" w:rsidRPr="00586BF8">
        <w:rPr>
          <w:sz w:val="24"/>
          <w:lang w:val="sk-SK"/>
        </w:rPr>
        <w:tab/>
      </w:r>
      <w:r w:rsidRPr="00586BF8">
        <w:rPr>
          <w:sz w:val="24"/>
          <w:lang w:val="sk-SK"/>
        </w:rPr>
        <w:t>Oznámenie Komisie z 28. septembra 2022 s názvom Zlepšenie posudzovania distribučného vplyvu politík členských štátov (COM(2022)0494).</w:t>
      </w:r>
    </w:p>
  </w:footnote>
  <w:footnote w:id="63">
    <w:p w14:paraId="1A02B8E8" w14:textId="091174C9" w:rsidR="00EF79E1" w:rsidRPr="00586BF8" w:rsidRDefault="00EF79E1" w:rsidP="00586BF8">
      <w:pPr>
        <w:pStyle w:val="FootnoteText"/>
        <w:ind w:left="567" w:hanging="567"/>
        <w:rPr>
          <w:sz w:val="24"/>
          <w:lang w:val="sk-SK"/>
        </w:rPr>
      </w:pPr>
      <w:r w:rsidRPr="00586BF8">
        <w:rPr>
          <w:rStyle w:val="FootnoteReference"/>
          <w:sz w:val="24"/>
          <w:lang w:val="sk-SK"/>
        </w:rPr>
        <w:footnoteRef/>
      </w:r>
      <w:r w:rsidR="00586BF8" w:rsidRPr="00586BF8">
        <w:rPr>
          <w:sz w:val="24"/>
          <w:lang w:val="sk-SK"/>
        </w:rPr>
        <w:t xml:space="preserve"> </w:t>
      </w:r>
      <w:r w:rsidR="00586BF8" w:rsidRPr="00586BF8">
        <w:rPr>
          <w:sz w:val="24"/>
          <w:lang w:val="sk-SK"/>
        </w:rPr>
        <w:tab/>
      </w:r>
      <w:r w:rsidRPr="00586BF8">
        <w:rPr>
          <w:sz w:val="24"/>
          <w:lang w:val="sk-SK"/>
        </w:rPr>
        <w:t>Nariadenie Európskeho parlamentu a Rady (EÚ) 2021/1060 z 24. júna 2021, ktorým sa stanovujú spoločné ustanovenia o Európskom fonde regionálneho rozvoja, Európskom sociálnom fonde plus, Kohéznom fonde, Fonde na spravodlivú transformáciu a Európskom námornom, rybolovnom a </w:t>
      </w:r>
      <w:proofErr w:type="spellStart"/>
      <w:r w:rsidRPr="00586BF8">
        <w:rPr>
          <w:sz w:val="24"/>
          <w:lang w:val="sk-SK"/>
        </w:rPr>
        <w:t>akvakultúrnom</w:t>
      </w:r>
      <w:proofErr w:type="spellEnd"/>
      <w:r w:rsidRPr="00586BF8">
        <w:rPr>
          <w:sz w:val="24"/>
          <w:lang w:val="sk-SK"/>
        </w:rPr>
        <w:t xml:space="preserve"> fonde a rozpočtové pravidlá pre uvedené fondy, ako aj pre Fond pre azyl, migráciu a integráciu, Fond pre vnútornú bezpečnosť a Nástroj finančnej podpory na riadenie hraníc a vízovú politiku (Ú. v. EÚ L 231, 30.6.2021, s. </w:t>
      </w:r>
      <w:r w:rsidRPr="00586BF8">
        <w:rPr>
          <w:sz w:val="24"/>
          <w:lang w:val="sk-SK"/>
        </w:rPr>
        <w:t>159, ELI: </w:t>
      </w:r>
      <w:hyperlink r:id="rId43" w:tooltip="Umožňuje prístup k tomuto dokumentu prostredníctvom identifikátora URI používaného v rámci ELI." w:history="1">
        <w:r w:rsidRPr="00586BF8">
          <w:rPr>
            <w:rStyle w:val="Hyperlink"/>
            <w:sz w:val="24"/>
            <w:lang w:val="sk-SK"/>
          </w:rPr>
          <w:t>http://data.europa.eu/eli/reg/2021/1060/oj</w:t>
        </w:r>
      </w:hyperlink>
      <w:r w:rsidRPr="00586BF8">
        <w:rPr>
          <w:sz w:val="24"/>
          <w:lang w:val="sk-SK"/>
        </w:rPr>
        <w:t>).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AAF8620" w14:textId="77777777" w:rsidR="00064002" w:rsidRPr="00586BF8" w:rsidRDefault="00064002"/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724DB77" w14:textId="77777777" w:rsidR="00064002" w:rsidRPr="00586BF8" w:rsidRDefault="00064002"/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0472F2D" w14:textId="77777777" w:rsidR="00064002" w:rsidRPr="00586BF8" w:rsidRDefault="00064002"/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FFFFFF7C"/>
    <w:multiLevelType w:val="singleLevel"/>
    <w:tmpl w:val="5B22A8A2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D0C0EE6C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BFB40F5E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BF525DAA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97309190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8026A280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1CDC9AF0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1E120C2A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D92AAA7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AB4278A6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93C6E60"/>
    <w:multiLevelType w:val="multilevel"/>
    <w:tmpl w:val="BC64E53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pStyle w:val="Heading2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pStyle w:val="Heading3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pStyle w:val="Heading4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abstractNum w:abstractNumId="11" w15:restartNumberingAfterBreak="0">
    <w:nsid w:val="39692AE2"/>
    <w:multiLevelType w:val="multilevel"/>
    <w:tmpl w:val="975EA0B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pStyle w:val="Heading5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num w:numId="1" w16cid:durableId="1606115906">
    <w:abstractNumId w:val="9"/>
  </w:num>
  <w:num w:numId="2" w16cid:durableId="1393770518">
    <w:abstractNumId w:val="9"/>
  </w:num>
  <w:num w:numId="3" w16cid:durableId="2069300073">
    <w:abstractNumId w:val="7"/>
  </w:num>
  <w:num w:numId="4" w16cid:durableId="2002199578">
    <w:abstractNumId w:val="7"/>
  </w:num>
  <w:num w:numId="5" w16cid:durableId="1872104347">
    <w:abstractNumId w:val="6"/>
  </w:num>
  <w:num w:numId="6" w16cid:durableId="1834949324">
    <w:abstractNumId w:val="6"/>
  </w:num>
  <w:num w:numId="7" w16cid:durableId="63994691">
    <w:abstractNumId w:val="5"/>
  </w:num>
  <w:num w:numId="8" w16cid:durableId="701906183">
    <w:abstractNumId w:val="5"/>
  </w:num>
  <w:num w:numId="9" w16cid:durableId="2092193052">
    <w:abstractNumId w:val="4"/>
  </w:num>
  <w:num w:numId="10" w16cid:durableId="380715279">
    <w:abstractNumId w:val="4"/>
  </w:num>
  <w:num w:numId="11" w16cid:durableId="965896051">
    <w:abstractNumId w:val="8"/>
  </w:num>
  <w:num w:numId="12" w16cid:durableId="551306058">
    <w:abstractNumId w:val="8"/>
  </w:num>
  <w:num w:numId="13" w16cid:durableId="1314262128">
    <w:abstractNumId w:val="3"/>
  </w:num>
  <w:num w:numId="14" w16cid:durableId="349336223">
    <w:abstractNumId w:val="3"/>
  </w:num>
  <w:num w:numId="15" w16cid:durableId="247930310">
    <w:abstractNumId w:val="2"/>
  </w:num>
  <w:num w:numId="16" w16cid:durableId="550652423">
    <w:abstractNumId w:val="2"/>
  </w:num>
  <w:num w:numId="17" w16cid:durableId="1189948575">
    <w:abstractNumId w:val="1"/>
  </w:num>
  <w:num w:numId="18" w16cid:durableId="508569382">
    <w:abstractNumId w:val="1"/>
  </w:num>
  <w:num w:numId="19" w16cid:durableId="1512602947">
    <w:abstractNumId w:val="0"/>
  </w:num>
  <w:num w:numId="20" w16cid:durableId="1021514241">
    <w:abstractNumId w:val="0"/>
  </w:num>
  <w:num w:numId="21" w16cid:durableId="1196113252">
    <w:abstractNumId w:val="9"/>
  </w:num>
  <w:num w:numId="22" w16cid:durableId="857499801">
    <w:abstractNumId w:val="7"/>
  </w:num>
  <w:num w:numId="23" w16cid:durableId="2060548765">
    <w:abstractNumId w:val="6"/>
  </w:num>
  <w:num w:numId="24" w16cid:durableId="1504012470">
    <w:abstractNumId w:val="5"/>
  </w:num>
  <w:num w:numId="25" w16cid:durableId="121924357">
    <w:abstractNumId w:val="4"/>
  </w:num>
  <w:num w:numId="26" w16cid:durableId="1415787408">
    <w:abstractNumId w:val="8"/>
  </w:num>
  <w:num w:numId="27" w16cid:durableId="1515726055">
    <w:abstractNumId w:val="3"/>
  </w:num>
  <w:num w:numId="28" w16cid:durableId="473717289">
    <w:abstractNumId w:val="2"/>
  </w:num>
  <w:num w:numId="29" w16cid:durableId="1619490006">
    <w:abstractNumId w:val="1"/>
  </w:num>
  <w:num w:numId="30" w16cid:durableId="616524389">
    <w:abstractNumId w:val="0"/>
  </w:num>
  <w:num w:numId="31" w16cid:durableId="1499426227">
    <w:abstractNumId w:val="9"/>
  </w:num>
  <w:num w:numId="32" w16cid:durableId="1080057738">
    <w:abstractNumId w:val="7"/>
  </w:num>
  <w:num w:numId="33" w16cid:durableId="428813249">
    <w:abstractNumId w:val="6"/>
  </w:num>
  <w:num w:numId="34" w16cid:durableId="546920177">
    <w:abstractNumId w:val="5"/>
  </w:num>
  <w:num w:numId="35" w16cid:durableId="2054424447">
    <w:abstractNumId w:val="4"/>
  </w:num>
  <w:num w:numId="36" w16cid:durableId="635839380">
    <w:abstractNumId w:val="8"/>
  </w:num>
  <w:num w:numId="37" w16cid:durableId="2038265132">
    <w:abstractNumId w:val="3"/>
  </w:num>
  <w:num w:numId="38" w16cid:durableId="1126892067">
    <w:abstractNumId w:val="2"/>
  </w:num>
  <w:num w:numId="39" w16cid:durableId="1537113890">
    <w:abstractNumId w:val="1"/>
  </w:num>
  <w:num w:numId="40" w16cid:durableId="1799444458">
    <w:abstractNumId w:val="0"/>
  </w:num>
  <w:num w:numId="41" w16cid:durableId="1590196282">
    <w:abstractNumId w:val="10"/>
  </w:num>
  <w:num w:numId="42" w16cid:durableId="720399645">
    <w:abstractNumId w:val="10"/>
  </w:num>
  <w:num w:numId="43" w16cid:durableId="1299267055">
    <w:abstractNumId w:val="10"/>
  </w:num>
  <w:num w:numId="44" w16cid:durableId="1871607723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mirrorMargins/>
  <w:bordersDoNotSurroundHeader/>
  <w:bordersDoNotSurroundFooter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396"/>
  <w:doNotHyphenateCaps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doNotShadeFormData/>
  <w:noPunctuationKerning/>
  <w:characterSpacingControl w:val="doNotCompress"/>
  <w:footnotePr>
    <w:numRestart w:val="eachSect"/>
    <w:footnote w:id="-1"/>
    <w:footnote w:id="0"/>
  </w:footnotePr>
  <w:endnotePr>
    <w:numFmt w:val="decimal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dvdocse" w:val="A10-0260/2025"/>
    <w:docVar w:name="dvlangue" w:val="SK"/>
    <w:docVar w:name="dvnumam" w:val="82"/>
    <w:docVar w:name="dvpe" w:val="774.256"/>
    <w:docVar w:name="dvrapporteur" w:val="Spravodajca: "/>
    <w:docVar w:name="dvtitre" w:val="Uznesenie Európskeho parlamentu z/zo xx. xxx 2026 o vypracovaní novej stratégie EÚ v oblasti boja proti chudobe(2025/2095(INI))"/>
  </w:docVars>
  <w:rsids>
    <w:rsidRoot w:val="00F92A59"/>
    <w:rsid w:val="00002272"/>
    <w:rsid w:val="00064002"/>
    <w:rsid w:val="000677B9"/>
    <w:rsid w:val="000831BA"/>
    <w:rsid w:val="000A42CC"/>
    <w:rsid w:val="000E7DD9"/>
    <w:rsid w:val="000F23E2"/>
    <w:rsid w:val="0010095E"/>
    <w:rsid w:val="00125B37"/>
    <w:rsid w:val="0013544F"/>
    <w:rsid w:val="00187494"/>
    <w:rsid w:val="001D647F"/>
    <w:rsid w:val="001F32AE"/>
    <w:rsid w:val="002767FF"/>
    <w:rsid w:val="002A6949"/>
    <w:rsid w:val="002B18FE"/>
    <w:rsid w:val="002B5493"/>
    <w:rsid w:val="00343214"/>
    <w:rsid w:val="00361C00"/>
    <w:rsid w:val="00391CF6"/>
    <w:rsid w:val="00395FA1"/>
    <w:rsid w:val="003A33FF"/>
    <w:rsid w:val="003E15D4"/>
    <w:rsid w:val="00411CCE"/>
    <w:rsid w:val="0041666E"/>
    <w:rsid w:val="00421060"/>
    <w:rsid w:val="00471C19"/>
    <w:rsid w:val="004867E3"/>
    <w:rsid w:val="00494A28"/>
    <w:rsid w:val="004C0004"/>
    <w:rsid w:val="004C5D52"/>
    <w:rsid w:val="004F04AD"/>
    <w:rsid w:val="0050519A"/>
    <w:rsid w:val="00505A87"/>
    <w:rsid w:val="005072A1"/>
    <w:rsid w:val="00514517"/>
    <w:rsid w:val="00545827"/>
    <w:rsid w:val="00560270"/>
    <w:rsid w:val="00586BF8"/>
    <w:rsid w:val="005C2568"/>
    <w:rsid w:val="005F1B17"/>
    <w:rsid w:val="006037C0"/>
    <w:rsid w:val="006332AA"/>
    <w:rsid w:val="00640920"/>
    <w:rsid w:val="006631B6"/>
    <w:rsid w:val="00672B7D"/>
    <w:rsid w:val="00680577"/>
    <w:rsid w:val="006F74FA"/>
    <w:rsid w:val="00731ADD"/>
    <w:rsid w:val="00734777"/>
    <w:rsid w:val="00747932"/>
    <w:rsid w:val="00751A4A"/>
    <w:rsid w:val="00756632"/>
    <w:rsid w:val="00762C74"/>
    <w:rsid w:val="00786EC0"/>
    <w:rsid w:val="007C2913"/>
    <w:rsid w:val="007D1690"/>
    <w:rsid w:val="007E22AD"/>
    <w:rsid w:val="007E3F23"/>
    <w:rsid w:val="00817416"/>
    <w:rsid w:val="00842779"/>
    <w:rsid w:val="00865F67"/>
    <w:rsid w:val="00881A7B"/>
    <w:rsid w:val="008840E5"/>
    <w:rsid w:val="00887B3E"/>
    <w:rsid w:val="008A11C3"/>
    <w:rsid w:val="008C2AC6"/>
    <w:rsid w:val="00917028"/>
    <w:rsid w:val="00930C23"/>
    <w:rsid w:val="0093193B"/>
    <w:rsid w:val="009509D8"/>
    <w:rsid w:val="00950B64"/>
    <w:rsid w:val="00981893"/>
    <w:rsid w:val="00A1687D"/>
    <w:rsid w:val="00A247B5"/>
    <w:rsid w:val="00A43E52"/>
    <w:rsid w:val="00A4678D"/>
    <w:rsid w:val="00A766B8"/>
    <w:rsid w:val="00A778C7"/>
    <w:rsid w:val="00AB441E"/>
    <w:rsid w:val="00AB4D8B"/>
    <w:rsid w:val="00AB6293"/>
    <w:rsid w:val="00AE0928"/>
    <w:rsid w:val="00AF3B82"/>
    <w:rsid w:val="00B12E95"/>
    <w:rsid w:val="00B22876"/>
    <w:rsid w:val="00B558F0"/>
    <w:rsid w:val="00B70A7A"/>
    <w:rsid w:val="00BD48FE"/>
    <w:rsid w:val="00BD7BD8"/>
    <w:rsid w:val="00BE6ADC"/>
    <w:rsid w:val="00C05BFE"/>
    <w:rsid w:val="00C23CD4"/>
    <w:rsid w:val="00C40081"/>
    <w:rsid w:val="00C61C0C"/>
    <w:rsid w:val="00C941CB"/>
    <w:rsid w:val="00CC2357"/>
    <w:rsid w:val="00CF071A"/>
    <w:rsid w:val="00D0428C"/>
    <w:rsid w:val="00D058B8"/>
    <w:rsid w:val="00D56C11"/>
    <w:rsid w:val="00D834A0"/>
    <w:rsid w:val="00D872DF"/>
    <w:rsid w:val="00D91E21"/>
    <w:rsid w:val="00DA7FCD"/>
    <w:rsid w:val="00DB73D2"/>
    <w:rsid w:val="00E0405E"/>
    <w:rsid w:val="00E365E1"/>
    <w:rsid w:val="00E820A4"/>
    <w:rsid w:val="00EB006A"/>
    <w:rsid w:val="00EB4772"/>
    <w:rsid w:val="00ED169E"/>
    <w:rsid w:val="00ED4235"/>
    <w:rsid w:val="00EF79E1"/>
    <w:rsid w:val="00F04346"/>
    <w:rsid w:val="00F075DC"/>
    <w:rsid w:val="00F11C87"/>
    <w:rsid w:val="00F149E9"/>
    <w:rsid w:val="00F5134D"/>
    <w:rsid w:val="00F74202"/>
    <w:rsid w:val="00F87713"/>
    <w:rsid w:val="00F92A59"/>
    <w:rsid w:val="00F94329"/>
    <w:rsid w:val="00FB4360"/>
    <w:rsid w:val="00FD0C7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eastAsia="ja-JP" w:bidi="lo-L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2B14904C"/>
  <w15:chartTrackingRefBased/>
  <w15:docId w15:val="{D761834D-2006-42BC-B7E1-DC919860333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No List" w:uiPriority="99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uiPriority="39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DA7FCD"/>
    <w:pPr>
      <w:widowControl w:val="0"/>
    </w:pPr>
    <w:rPr>
      <w:sz w:val="24"/>
      <w:lang w:val="sk-SK"/>
    </w:rPr>
  </w:style>
  <w:style w:type="paragraph" w:styleId="Heading1">
    <w:name w:val="heading 1"/>
    <w:basedOn w:val="Normal"/>
    <w:next w:val="Normal"/>
    <w:semiHidden/>
    <w:qFormat/>
    <w:rsid w:val="00395FA1"/>
    <w:pPr>
      <w:keepNext/>
      <w:keepLines/>
      <w:widowControl/>
      <w:spacing w:after="120"/>
      <w:ind w:left="510" w:hanging="510"/>
      <w:outlineLvl w:val="0"/>
    </w:pPr>
    <w:rPr>
      <w:b/>
      <w:kern w:val="28"/>
      <w:sz w:val="28"/>
      <w:lang w:val="fr-FR" w:eastAsia="fr-FR"/>
    </w:rPr>
  </w:style>
  <w:style w:type="paragraph" w:styleId="Heading2">
    <w:name w:val="heading 2"/>
    <w:basedOn w:val="Normal"/>
    <w:next w:val="Normal"/>
    <w:semiHidden/>
    <w:qFormat/>
    <w:rsid w:val="00395FA1"/>
    <w:pPr>
      <w:keepNext/>
      <w:widowControl/>
      <w:numPr>
        <w:ilvl w:val="1"/>
        <w:numId w:val="43"/>
      </w:numPr>
      <w:spacing w:before="240" w:after="60"/>
      <w:outlineLvl w:val="1"/>
    </w:pPr>
    <w:rPr>
      <w:lang w:val="fr-FR" w:eastAsia="fr-FR"/>
    </w:rPr>
  </w:style>
  <w:style w:type="paragraph" w:styleId="Heading3">
    <w:name w:val="heading 3"/>
    <w:basedOn w:val="Normal"/>
    <w:next w:val="Normal"/>
    <w:semiHidden/>
    <w:qFormat/>
    <w:rsid w:val="00395FA1"/>
    <w:pPr>
      <w:keepNext/>
      <w:widowControl/>
      <w:numPr>
        <w:ilvl w:val="2"/>
        <w:numId w:val="43"/>
      </w:numPr>
      <w:spacing w:before="240" w:after="60"/>
      <w:outlineLvl w:val="2"/>
    </w:pPr>
    <w:rPr>
      <w:rFonts w:ascii="Arial" w:hAnsi="Arial"/>
      <w:lang w:val="fr-FR" w:eastAsia="fr-FR"/>
    </w:rPr>
  </w:style>
  <w:style w:type="paragraph" w:styleId="Heading4">
    <w:name w:val="heading 4"/>
    <w:basedOn w:val="Normal"/>
    <w:next w:val="Normal"/>
    <w:semiHidden/>
    <w:qFormat/>
    <w:rsid w:val="00395FA1"/>
    <w:pPr>
      <w:keepNext/>
      <w:widowControl/>
      <w:numPr>
        <w:ilvl w:val="3"/>
        <w:numId w:val="43"/>
      </w:numPr>
      <w:spacing w:before="240" w:after="60"/>
      <w:outlineLvl w:val="3"/>
    </w:pPr>
    <w:rPr>
      <w:lang w:val="en-US" w:eastAsia="fr-FR"/>
    </w:rPr>
  </w:style>
  <w:style w:type="paragraph" w:styleId="Heading5">
    <w:name w:val="heading 5"/>
    <w:basedOn w:val="Normal"/>
    <w:next w:val="Normal"/>
    <w:semiHidden/>
    <w:qFormat/>
    <w:rsid w:val="00395FA1"/>
    <w:pPr>
      <w:widowControl/>
      <w:numPr>
        <w:ilvl w:val="4"/>
        <w:numId w:val="44"/>
      </w:numPr>
      <w:spacing w:before="240" w:after="60"/>
      <w:outlineLvl w:val="4"/>
    </w:pPr>
    <w:rPr>
      <w:lang w:val="en-US" w:eastAsia="fr-FR"/>
    </w:rPr>
  </w:style>
  <w:style w:type="paragraph" w:styleId="Heading6">
    <w:name w:val="heading 6"/>
    <w:basedOn w:val="Normal"/>
    <w:next w:val="Normal"/>
    <w:semiHidden/>
    <w:qFormat/>
    <w:pPr>
      <w:spacing w:before="240" w:after="60"/>
      <w:outlineLvl w:val="5"/>
    </w:pPr>
    <w:rPr>
      <w:i/>
      <w:sz w:val="22"/>
    </w:rPr>
  </w:style>
  <w:style w:type="paragraph" w:styleId="Heading7">
    <w:name w:val="heading 7"/>
    <w:basedOn w:val="Normal"/>
    <w:next w:val="Normal"/>
    <w:semiHidden/>
    <w:qFormat/>
    <w:pPr>
      <w:spacing w:before="240" w:after="60"/>
      <w:outlineLvl w:val="6"/>
    </w:pPr>
    <w:rPr>
      <w:rFonts w:ascii="Arial" w:hAnsi="Arial"/>
    </w:rPr>
  </w:style>
  <w:style w:type="paragraph" w:styleId="Heading8">
    <w:name w:val="heading 8"/>
    <w:basedOn w:val="Normal"/>
    <w:next w:val="Normal"/>
    <w:semiHidden/>
    <w:qFormat/>
    <w:pPr>
      <w:spacing w:before="240" w:after="60"/>
      <w:outlineLvl w:val="7"/>
    </w:pPr>
    <w:rPr>
      <w:rFonts w:ascii="Arial" w:hAnsi="Arial"/>
      <w:i/>
    </w:rPr>
  </w:style>
  <w:style w:type="paragraph" w:styleId="Heading9">
    <w:name w:val="heading 9"/>
    <w:basedOn w:val="Normal"/>
    <w:next w:val="Normal"/>
    <w:semiHidden/>
    <w:qFormat/>
    <w:pPr>
      <w:spacing w:before="240" w:after="60"/>
      <w:outlineLvl w:val="8"/>
    </w:pPr>
    <w:rPr>
      <w:rFonts w:ascii="Arial" w:hAnsi="Arial"/>
      <w:b/>
      <w:i/>
      <w:sz w:val="1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ideTWBExt">
    <w:name w:val="HideTWBExt"/>
    <w:rPr>
      <w:rFonts w:ascii="Arial" w:hAnsi="Arial"/>
      <w:noProof/>
      <w:vanish/>
      <w:color w:val="000080"/>
      <w:sz w:val="20"/>
    </w:rPr>
  </w:style>
  <w:style w:type="paragraph" w:styleId="TOC1">
    <w:name w:val="toc 1"/>
    <w:basedOn w:val="Normal"/>
    <w:next w:val="Normal"/>
    <w:autoRedefine/>
    <w:semiHidden/>
    <w:rsid w:val="00395FA1"/>
    <w:pPr>
      <w:keepNext/>
      <w:keepLines/>
      <w:widowControl/>
      <w:spacing w:before="200"/>
    </w:pPr>
    <w:rPr>
      <w:b/>
      <w:noProof/>
      <w:lang w:val="fr-FR" w:eastAsia="fr-FR"/>
    </w:rPr>
  </w:style>
  <w:style w:type="character" w:customStyle="1" w:styleId="HideTWBInt">
    <w:name w:val="HideTWBInt"/>
    <w:rPr>
      <w:rFonts w:ascii="Arial" w:hAnsi="Arial" w:cs="Arial"/>
      <w:vanish/>
      <w:color w:val="808080"/>
      <w:sz w:val="20"/>
    </w:rPr>
  </w:style>
  <w:style w:type="paragraph" w:customStyle="1" w:styleId="EPBodyTA2">
    <w:name w:val="EPBodyTA2"/>
    <w:basedOn w:val="Normal"/>
    <w:rsid w:val="00AE0928"/>
    <w:pPr>
      <w:jc w:val="center"/>
    </w:pPr>
    <w:rPr>
      <w:rFonts w:ascii="Arial" w:hAnsi="Arial"/>
      <w:bCs/>
      <w:i/>
      <w:sz w:val="20"/>
    </w:rPr>
  </w:style>
  <w:style w:type="table" w:styleId="TableGrid">
    <w:name w:val="Table Grid"/>
    <w:basedOn w:val="TableNormal"/>
    <w:rsid w:val="00D058B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EPBodyTA1">
    <w:name w:val="EPBodyTA1"/>
    <w:basedOn w:val="Normal"/>
    <w:rsid w:val="00AE0928"/>
    <w:pPr>
      <w:jc w:val="center"/>
    </w:pPr>
    <w:rPr>
      <w:rFonts w:ascii="Arial" w:hAnsi="Arial" w:cs="Arial"/>
      <w:b/>
      <w:sz w:val="22"/>
      <w:szCs w:val="22"/>
    </w:rPr>
  </w:style>
  <w:style w:type="paragraph" w:customStyle="1" w:styleId="LineTop">
    <w:name w:val="LineTop"/>
    <w:basedOn w:val="Normal"/>
    <w:next w:val="Normal"/>
    <w:rsid w:val="00D058B8"/>
    <w:pPr>
      <w:pBdr>
        <w:top w:val="single" w:sz="4" w:space="1" w:color="auto"/>
      </w:pBdr>
      <w:jc w:val="center"/>
    </w:pPr>
    <w:rPr>
      <w:rFonts w:ascii="Arial" w:hAnsi="Arial" w:cs="Arial"/>
      <w:sz w:val="16"/>
      <w:szCs w:val="16"/>
    </w:rPr>
  </w:style>
  <w:style w:type="paragraph" w:customStyle="1" w:styleId="LineBottom">
    <w:name w:val="LineBottom"/>
    <w:basedOn w:val="Normal"/>
    <w:next w:val="Normal"/>
    <w:rsid w:val="00A1687D"/>
    <w:pPr>
      <w:pBdr>
        <w:bottom w:val="single" w:sz="4" w:space="1" w:color="auto"/>
      </w:pBdr>
      <w:spacing w:after="240"/>
      <w:jc w:val="center"/>
    </w:pPr>
    <w:rPr>
      <w:rFonts w:ascii="Arial" w:hAnsi="Arial" w:cs="Arial"/>
      <w:sz w:val="16"/>
      <w:szCs w:val="16"/>
    </w:rPr>
  </w:style>
  <w:style w:type="paragraph" w:customStyle="1" w:styleId="ATHeading1">
    <w:name w:val="AT Heading 1"/>
    <w:basedOn w:val="Normal"/>
    <w:next w:val="Normal"/>
    <w:rsid w:val="00F5134D"/>
    <w:pPr>
      <w:keepNext/>
      <w:keepLines/>
      <w:widowControl/>
      <w:spacing w:before="480" w:after="120"/>
      <w:outlineLvl w:val="0"/>
    </w:pPr>
    <w:rPr>
      <w:b/>
      <w:sz w:val="28"/>
      <w:lang w:eastAsia="fr-FR"/>
    </w:rPr>
  </w:style>
  <w:style w:type="paragraph" w:customStyle="1" w:styleId="ATHeading2">
    <w:name w:val="AT Heading 2"/>
    <w:basedOn w:val="Normal"/>
    <w:next w:val="Normal"/>
    <w:rsid w:val="00395FA1"/>
    <w:pPr>
      <w:widowControl/>
      <w:spacing w:before="120" w:after="120"/>
      <w:outlineLvl w:val="1"/>
    </w:pPr>
    <w:rPr>
      <w:b/>
      <w:sz w:val="28"/>
      <w:lang w:eastAsia="fr-FR"/>
    </w:rPr>
  </w:style>
  <w:style w:type="paragraph" w:customStyle="1" w:styleId="ATHeading3">
    <w:name w:val="AT Heading 3"/>
    <w:basedOn w:val="Normal"/>
    <w:next w:val="Normal"/>
    <w:rsid w:val="00395FA1"/>
    <w:pPr>
      <w:keepNext/>
      <w:keepLines/>
      <w:widowControl/>
      <w:spacing w:before="120" w:after="120"/>
      <w:outlineLvl w:val="2"/>
    </w:pPr>
    <w:rPr>
      <w:b/>
      <w:lang w:eastAsia="fr-FR"/>
    </w:rPr>
  </w:style>
  <w:style w:type="paragraph" w:customStyle="1" w:styleId="ATHeadingMotiv">
    <w:name w:val="AT Heading Motiv"/>
    <w:basedOn w:val="Normal"/>
    <w:next w:val="Normal"/>
    <w:rsid w:val="00395FA1"/>
    <w:pPr>
      <w:keepNext/>
      <w:widowControl/>
      <w:spacing w:before="60" w:after="60"/>
      <w:jc w:val="center"/>
    </w:pPr>
    <w:rPr>
      <w:i/>
      <w:lang w:eastAsia="fr-FR"/>
    </w:rPr>
  </w:style>
  <w:style w:type="character" w:styleId="FootnoteReference">
    <w:name w:val="footnote reference"/>
    <w:rsid w:val="00395FA1"/>
    <w:rPr>
      <w:b w:val="0"/>
      <w:vertAlign w:val="superscript"/>
    </w:rPr>
  </w:style>
  <w:style w:type="paragraph" w:styleId="FootnoteText">
    <w:name w:val="footnote text"/>
    <w:basedOn w:val="Normal"/>
    <w:link w:val="FootnoteTextChar"/>
    <w:rsid w:val="00395FA1"/>
    <w:pPr>
      <w:keepLines/>
      <w:widowControl/>
      <w:spacing w:line="260" w:lineRule="exact"/>
      <w:ind w:left="425" w:hanging="425"/>
    </w:pPr>
    <w:rPr>
      <w:sz w:val="22"/>
      <w:lang w:val="fr-FR" w:eastAsia="fr-FR"/>
    </w:rPr>
  </w:style>
  <w:style w:type="character" w:customStyle="1" w:styleId="FootnoteTextChar">
    <w:name w:val="Footnote Text Char"/>
    <w:link w:val="FootnoteText"/>
    <w:rsid w:val="00762C74"/>
    <w:rPr>
      <w:sz w:val="22"/>
      <w:lang w:val="fr-FR" w:eastAsia="fr-FR"/>
    </w:rPr>
  </w:style>
  <w:style w:type="character" w:styleId="PageNumber">
    <w:name w:val="page number"/>
    <w:semiHidden/>
    <w:rsid w:val="00395FA1"/>
  </w:style>
  <w:style w:type="paragraph" w:styleId="TOC2">
    <w:name w:val="toc 2"/>
    <w:basedOn w:val="Normal"/>
    <w:next w:val="Normal"/>
    <w:autoRedefine/>
    <w:semiHidden/>
    <w:rsid w:val="00395FA1"/>
    <w:pPr>
      <w:keepNext/>
      <w:keepLines/>
      <w:widowControl/>
    </w:pPr>
    <w:rPr>
      <w:b/>
      <w:noProof/>
      <w:lang w:val="fr-FR" w:eastAsia="fr-FR"/>
    </w:rPr>
  </w:style>
  <w:style w:type="paragraph" w:styleId="TOC3">
    <w:name w:val="toc 3"/>
    <w:basedOn w:val="Normal"/>
    <w:next w:val="Normal"/>
    <w:autoRedefine/>
    <w:semiHidden/>
    <w:rsid w:val="00395FA1"/>
    <w:pPr>
      <w:keepLines/>
      <w:widowControl/>
      <w:ind w:right="510"/>
    </w:pPr>
    <w:rPr>
      <w:noProof/>
      <w:lang w:val="fr-FR" w:eastAsia="fr-FR"/>
    </w:rPr>
  </w:style>
  <w:style w:type="paragraph" w:customStyle="1" w:styleId="EPName">
    <w:name w:val="EPName"/>
    <w:basedOn w:val="Normal"/>
    <w:rsid w:val="00751A4A"/>
    <w:pPr>
      <w:spacing w:before="80" w:after="80"/>
    </w:pPr>
    <w:rPr>
      <w:rFonts w:ascii="Arial Narrow" w:hAnsi="Arial Narrow" w:cs="Arial"/>
      <w:b/>
      <w:sz w:val="32"/>
      <w:szCs w:val="22"/>
    </w:rPr>
  </w:style>
  <w:style w:type="paragraph" w:customStyle="1" w:styleId="EPTerm">
    <w:name w:val="EPTerm"/>
    <w:basedOn w:val="Normal"/>
    <w:next w:val="Normal"/>
    <w:rsid w:val="00751A4A"/>
    <w:pPr>
      <w:spacing w:after="80"/>
    </w:pPr>
    <w:rPr>
      <w:rFonts w:ascii="Arial" w:hAnsi="Arial" w:cs="Arial"/>
      <w:sz w:val="20"/>
      <w:szCs w:val="22"/>
    </w:rPr>
  </w:style>
  <w:style w:type="paragraph" w:customStyle="1" w:styleId="EPLogo">
    <w:name w:val="EPLogo"/>
    <w:basedOn w:val="Normal"/>
    <w:qFormat/>
    <w:rsid w:val="00751A4A"/>
    <w:pPr>
      <w:jc w:val="right"/>
    </w:pPr>
  </w:style>
  <w:style w:type="paragraph" w:customStyle="1" w:styleId="NormalHanging12a">
    <w:name w:val="NormalHanging12a"/>
    <w:basedOn w:val="Normal"/>
    <w:rsid w:val="00EF79E1"/>
    <w:pPr>
      <w:spacing w:after="240"/>
      <w:ind w:left="567" w:hanging="567"/>
    </w:pPr>
  </w:style>
  <w:style w:type="paragraph" w:customStyle="1" w:styleId="EPComma">
    <w:name w:val="EPComma"/>
    <w:basedOn w:val="Normal"/>
    <w:rsid w:val="00EF79E1"/>
    <w:pPr>
      <w:spacing w:before="480" w:after="240"/>
    </w:pPr>
  </w:style>
  <w:style w:type="character" w:customStyle="1" w:styleId="doceo-font-family-base">
    <w:name w:val="doceo-font-family-base"/>
    <w:basedOn w:val="DefaultParagraphFont"/>
    <w:qFormat/>
    <w:rsid w:val="00EF79E1"/>
  </w:style>
  <w:style w:type="character" w:styleId="Hyperlink">
    <w:name w:val="Hyperlink"/>
    <w:basedOn w:val="DefaultParagraphFont"/>
    <w:rsid w:val="00EF79E1"/>
    <w:rPr>
      <w:color w:val="0563C1" w:themeColor="hyperlink"/>
      <w:u w:val="single"/>
    </w:rPr>
  </w:style>
  <w:style w:type="paragraph" w:styleId="Revision">
    <w:name w:val="Revision"/>
    <w:hidden/>
    <w:uiPriority w:val="99"/>
    <w:semiHidden/>
    <w:rsid w:val="00917028"/>
    <w:rPr>
      <w:sz w:val="24"/>
      <w:lang w:val="sk-SK"/>
    </w:rPr>
  </w:style>
  <w:style w:type="character" w:styleId="UnresolvedMention">
    <w:name w:val="Unresolved Mention"/>
    <w:basedOn w:val="DefaultParagraphFont"/>
    <w:uiPriority w:val="99"/>
    <w:semiHidden/>
    <w:unhideWhenUsed/>
    <w:rsid w:val="00F11C87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eader" Target="head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_rels/footnotes.xml.rels><?xml version="1.0" encoding="UTF-8" standalone="yes"?>
<Relationships xmlns="http://schemas.openxmlformats.org/package/2006/relationships"><Relationship Id="rId13" Type="http://schemas.openxmlformats.org/officeDocument/2006/relationships/hyperlink" Target="http://data.europa.eu/eli/reco/2024/1238/oj" TargetMode="External"/><Relationship Id="rId18" Type="http://schemas.openxmlformats.org/officeDocument/2006/relationships/hyperlink" Target="https://eige.europa.eu/publications-resources/toolkits-guides/gender-equality-index-2021-report/gender-differences-household-chores" TargetMode="External"/><Relationship Id="rId26" Type="http://schemas.openxmlformats.org/officeDocument/2006/relationships/hyperlink" Target="https://fra.europa.eu/sites/default/files/fra_uploads/fra-2014-roma-survey-dif-women-2_en.pdf" TargetMode="External"/><Relationship Id="rId39" Type="http://schemas.openxmlformats.org/officeDocument/2006/relationships/hyperlink" Target="https://www.unicef.org/eca/media/36541/file/Keeping%20families%20together%20in%20Europe.pdf" TargetMode="External"/><Relationship Id="rId21" Type="http://schemas.openxmlformats.org/officeDocument/2006/relationships/hyperlink" Target="https://ec.europa.eu/eurostat/databrowser/view/ilc_sbjp01__custom_17284289/bookmark/table?lang=en&amp;&amp;bookmarkId=7d0decb7-866a-4494-b901-58a61bebd575&amp;&amp;page=time:2024" TargetMode="External"/><Relationship Id="rId34" Type="http://schemas.openxmlformats.org/officeDocument/2006/relationships/hyperlink" Target="https://data.worldbank.org/indicator/SH.H2O.SMDW.ZS?locations=EU" TargetMode="External"/><Relationship Id="rId42" Type="http://schemas.openxmlformats.org/officeDocument/2006/relationships/hyperlink" Target="https://webgate.ec.europa.eu/circabc-ewpp/ui/group/bab664d7-1188-47b2-9fa6-869902320ba2/library/d7064b47-8a07-47b6-8d9f-0dc08849f2b7/details" TargetMode="External"/><Relationship Id="rId7" Type="http://schemas.openxmlformats.org/officeDocument/2006/relationships/hyperlink" Target="http://data.europa.eu/eli/dir/2024/1385/oj" TargetMode="External"/><Relationship Id="rId2" Type="http://schemas.openxmlformats.org/officeDocument/2006/relationships/hyperlink" Target="http://data.europa.eu/eli/dir/2000/78/oj" TargetMode="External"/><Relationship Id="rId16" Type="http://schemas.openxmlformats.org/officeDocument/2006/relationships/hyperlink" Target="https://ec.europa.eu/eurostat/databrowser/view/ilc_mdsd11/default/table?lang=en" TargetMode="External"/><Relationship Id="rId20" Type="http://schemas.openxmlformats.org/officeDocument/2006/relationships/hyperlink" Target="https://ec.europa.eu/eurostat/databrowser/view/ilc_peps01n__custom_17280682/bookmark/table?lang=en&amp;bookmarkId=1136c1ef-3d9f-4fda-82fb-cf7423eac65e&amp;&amp;page=time:2024" TargetMode="External"/><Relationship Id="rId29" Type="http://schemas.openxmlformats.org/officeDocument/2006/relationships/hyperlink" Target="https://doi.org/10.1007/s12187-022-10006-w" TargetMode="External"/><Relationship Id="rId41" Type="http://schemas.openxmlformats.org/officeDocument/2006/relationships/hyperlink" Target="https://ec.europa.eu/eurostat/cache/dashboard/social-scoreboard" TargetMode="External"/><Relationship Id="rId1" Type="http://schemas.openxmlformats.org/officeDocument/2006/relationships/hyperlink" Target="http://data.europa.eu/eli/dir/2000/43/oj" TargetMode="External"/><Relationship Id="rId6" Type="http://schemas.openxmlformats.org/officeDocument/2006/relationships/hyperlink" Target="http://data.europa.eu/eli/reg/2023/955/oj" TargetMode="External"/><Relationship Id="rId11" Type="http://schemas.openxmlformats.org/officeDocument/2006/relationships/hyperlink" Target="http://data.europa.eu/eli/C/2024/4212/oj" TargetMode="External"/><Relationship Id="rId24" Type="http://schemas.openxmlformats.org/officeDocument/2006/relationships/hyperlink" Target="https://eige.europa.eu/newsroom/eu-gender-based-violence-survey?language_content_entity=en" TargetMode="External"/><Relationship Id="rId32" Type="http://schemas.openxmlformats.org/officeDocument/2006/relationships/hyperlink" Target="https://op.europa.eu/webpub/empl/esde-2023/" TargetMode="External"/><Relationship Id="rId37" Type="http://schemas.openxmlformats.org/officeDocument/2006/relationships/hyperlink" Target="https://www.feantsa.org/resources/9th-overview-of-housing-exclusion-in-europe-2024" TargetMode="External"/><Relationship Id="rId40" Type="http://schemas.openxmlformats.org/officeDocument/2006/relationships/hyperlink" Target="https://ec.europa.eu/eurostat/cache/dashboard/social-scoreboard/" TargetMode="External"/><Relationship Id="rId5" Type="http://schemas.openxmlformats.org/officeDocument/2006/relationships/hyperlink" Target="http://data.europa.eu/eli/dir/2023/970/oj" TargetMode="External"/><Relationship Id="rId15" Type="http://schemas.openxmlformats.org/officeDocument/2006/relationships/hyperlink" Target="http://data.europa.eu/eli/C/2025/6322/oj" TargetMode="External"/><Relationship Id="rId23" Type="http://schemas.openxmlformats.org/officeDocument/2006/relationships/hyperlink" Target="https://eige.europa.eu/sites/default/files/documents/financial-independence-and-gender-equality.pdf" TargetMode="External"/><Relationship Id="rId28" Type="http://schemas.openxmlformats.org/officeDocument/2006/relationships/hyperlink" Target="https://fra.europa.eu/sites/default/files/fra_uploads/fra-2016-eu-minorities-survey-roma-selected-findings_sk.pdf" TargetMode="External"/><Relationship Id="rId36" Type="http://schemas.openxmlformats.org/officeDocument/2006/relationships/hyperlink" Target="https://ec.europa.eu/eurostat/databrowser/view/sdg_06_10/default/table?lang=en" TargetMode="External"/><Relationship Id="rId10" Type="http://schemas.openxmlformats.org/officeDocument/2006/relationships/hyperlink" Target="http://data.europa.eu/eli/C/2024/4211/oj" TargetMode="External"/><Relationship Id="rId19" Type="http://schemas.openxmlformats.org/officeDocument/2006/relationships/hyperlink" Target="https://ec.europa.eu/eurostat/databrowser/view/ilc_mdsd11/default/table?lang=en" TargetMode="External"/><Relationship Id="rId31" Type="http://schemas.openxmlformats.org/officeDocument/2006/relationships/hyperlink" Target="https://ec.europa.eu/eurostat/cache/dashboard/social-scoreboard" TargetMode="External"/><Relationship Id="rId4" Type="http://schemas.openxmlformats.org/officeDocument/2006/relationships/hyperlink" Target="http://data.europa.eu/eli/dir/2022/2041/oj" TargetMode="External"/><Relationship Id="rId9" Type="http://schemas.openxmlformats.org/officeDocument/2006/relationships/hyperlink" Target="http://data.europa.eu/eli/C/2023/1063/oj" TargetMode="External"/><Relationship Id="rId14" Type="http://schemas.openxmlformats.org/officeDocument/2006/relationships/hyperlink" Target="http://data.europa.eu/eli/reco/2021/1004/oj" TargetMode="External"/><Relationship Id="rId22" Type="http://schemas.openxmlformats.org/officeDocument/2006/relationships/hyperlink" Target="https://ec.europa.eu/eurostat/databrowser/view/ilc_peps01n__custom_17280682/bookmark/table?lang=en&amp;bookmarkId=1136c1ef-3d9f-4fda-82fb-cf7423eac65e&amp;&amp;page=time:2024" TargetMode="External"/><Relationship Id="rId27" Type="http://schemas.openxmlformats.org/officeDocument/2006/relationships/hyperlink" Target="https://fra.europa.eu/sites/default/files/fra_uploads/fra-2022-roma-survey-2021-main-results2_en.pdf" TargetMode="External"/><Relationship Id="rId30" Type="http://schemas.openxmlformats.org/officeDocument/2006/relationships/hyperlink" Target="https://publications.jrc.ec.europa.eu/repository/handle/JRC140617" TargetMode="External"/><Relationship Id="rId35" Type="http://schemas.openxmlformats.org/officeDocument/2006/relationships/hyperlink" Target="https://data.worldbank.org/indicator/SH.H2O.BASW.ZS?locations=EU" TargetMode="External"/><Relationship Id="rId43" Type="http://schemas.openxmlformats.org/officeDocument/2006/relationships/hyperlink" Target="http://data.europa.eu/eli/reg/2021/1060/oj" TargetMode="External"/><Relationship Id="rId8" Type="http://schemas.openxmlformats.org/officeDocument/2006/relationships/hyperlink" Target="http://data.europa.eu/eli/C/2023/400/oj" TargetMode="External"/><Relationship Id="rId3" Type="http://schemas.openxmlformats.org/officeDocument/2006/relationships/hyperlink" Target="http://data.europa.eu/eli/dir/2019/1158/oj" TargetMode="External"/><Relationship Id="rId12" Type="http://schemas.openxmlformats.org/officeDocument/2006/relationships/hyperlink" Target="http://data.europa.eu/eli/C/2024/4224/oj" TargetMode="External"/><Relationship Id="rId17" Type="http://schemas.openxmlformats.org/officeDocument/2006/relationships/hyperlink" Target="https://ec.europa.eu/eurostat/databrowser/view/ilc_li03/default/table?lang=en" TargetMode="External"/><Relationship Id="rId25" Type="http://schemas.openxmlformats.org/officeDocument/2006/relationships/hyperlink" Target="https://www.edf-feph.org/publications/human-rights-report-2023-the-right-to-work/" TargetMode="External"/><Relationship Id="rId33" Type="http://schemas.openxmlformats.org/officeDocument/2006/relationships/hyperlink" Target="https://data.europa.eu/doi/10.2767/909323" TargetMode="External"/><Relationship Id="rId38" Type="http://schemas.openxmlformats.org/officeDocument/2006/relationships/hyperlink" Target="https://fra.europa.eu/sk/publication/2011/housing-conditions-roma-and-travellers-european-union-comparative-report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C03638B-3BDB-408A-AEAA-BCE6197A2C3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29</Pages>
  <Words>6380</Words>
  <Characters>74267</Characters>
  <Application>Microsoft Office Word</Application>
  <DocSecurity>0</DocSecurity>
  <Lines>2250</Lines>
  <Paragraphs>1550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TA</vt:lpstr>
    </vt:vector>
  </TitlesOfParts>
  <Company/>
  <LinksUpToDate>false</LinksUpToDate>
  <CharactersWithSpaces>79097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TA</dc:title>
  <dc:subject/>
  <dc:creator>SOLTYSOVA Zuzana</dc:creator>
  <cp:keywords/>
  <cp:lastModifiedBy>SOLTYSOVA Zuzana</cp:lastModifiedBy>
  <cp:revision>2</cp:revision>
  <cp:lastPrinted>2004-11-19T15:42:00Z</cp:lastPrinted>
  <dcterms:created xsi:type="dcterms:W3CDTF">2026-02-12T14:49:00Z</dcterms:created>
  <dcterms:modified xsi:type="dcterms:W3CDTF">2026-02-12T14:49:00Z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&lt;Extension&gt;">
    <vt:lpwstr>SK</vt:lpwstr>
  </property>
  <property fmtid="{D5CDD505-2E9C-101B-9397-08002B2CF9AE}" pid="3" name="&lt;FdR&gt;">
    <vt:lpwstr>A10-0260/2025</vt:lpwstr>
  </property>
  <property fmtid="{D5CDD505-2E9C-101B-9397-08002B2CF9AE}" pid="4" name="&lt;Type&gt;">
    <vt:lpwstr>RR</vt:lpwstr>
  </property>
</Properties>
</file>