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7C43" w14:paraId="041968D1" w14:textId="77777777" w:rsidTr="0010095E">
        <w:trPr>
          <w:trHeight w:hRule="exact" w:val="1418"/>
        </w:trPr>
        <w:tc>
          <w:tcPr>
            <w:tcW w:w="6804" w:type="dxa"/>
            <w:shd w:val="clear" w:color="auto" w:fill="auto"/>
            <w:vAlign w:val="center"/>
          </w:tcPr>
          <w:p w14:paraId="3D075D9B" w14:textId="77777777" w:rsidR="00751A4A" w:rsidRPr="00937C43" w:rsidRDefault="00485C0D" w:rsidP="0010095E">
            <w:pPr>
              <w:pStyle w:val="EPName"/>
            </w:pPr>
            <w:r w:rsidRPr="00937C43">
              <w:t>Ευρωπαϊκό Κοινοβούλιο</w:t>
            </w:r>
          </w:p>
          <w:p w14:paraId="5E9ECEAF" w14:textId="77777777" w:rsidR="00751A4A" w:rsidRPr="00937C43" w:rsidRDefault="005F1B17" w:rsidP="005F1B17">
            <w:pPr>
              <w:pStyle w:val="EPTerm"/>
              <w:rPr>
                <w:rStyle w:val="HideTWBExt"/>
                <w:noProof w:val="0"/>
                <w:vanish w:val="0"/>
                <w:color w:val="auto"/>
              </w:rPr>
            </w:pPr>
            <w:r w:rsidRPr="00937C43">
              <w:t>2024</w:t>
            </w:r>
            <w:r w:rsidR="00817416" w:rsidRPr="00937C43">
              <w:t>-202</w:t>
            </w:r>
            <w:r w:rsidRPr="00937C43">
              <w:t>9</w:t>
            </w:r>
          </w:p>
        </w:tc>
        <w:tc>
          <w:tcPr>
            <w:tcW w:w="2268" w:type="dxa"/>
            <w:shd w:val="clear" w:color="auto" w:fill="auto"/>
          </w:tcPr>
          <w:p w14:paraId="0D6C0571" w14:textId="77777777" w:rsidR="00751A4A" w:rsidRPr="00937C43" w:rsidRDefault="00187494" w:rsidP="0010095E">
            <w:pPr>
              <w:pStyle w:val="EPLogo"/>
            </w:pPr>
            <w:r w:rsidRPr="00937C43">
              <w:rPr>
                <w:noProof/>
                <w:lang w:eastAsia="ja-JP"/>
              </w:rPr>
              <w:drawing>
                <wp:inline distT="0" distB="0" distL="0" distR="0" wp14:anchorId="66D0F8C7" wp14:editId="79E4CF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D6C635" w14:textId="77777777" w:rsidR="00D058B8" w:rsidRPr="00937C43" w:rsidRDefault="00D058B8" w:rsidP="004C5D52">
      <w:pPr>
        <w:pStyle w:val="LineTop"/>
      </w:pPr>
    </w:p>
    <w:p w14:paraId="137EC682" w14:textId="77777777" w:rsidR="00680577" w:rsidRPr="00937C43" w:rsidRDefault="00485C0D" w:rsidP="00680577">
      <w:pPr>
        <w:pStyle w:val="EPBodyTA1"/>
      </w:pPr>
      <w:r w:rsidRPr="00937C43">
        <w:t>ΚΕΙΜΕΝΑ ΠΟΥ ΕΓΚΡΙΘΗΚΑΝ</w:t>
      </w:r>
    </w:p>
    <w:p w14:paraId="0192283F" w14:textId="77777777" w:rsidR="00D058B8" w:rsidRPr="00937C43" w:rsidRDefault="00D058B8" w:rsidP="00D058B8">
      <w:pPr>
        <w:pStyle w:val="LineBottom"/>
      </w:pPr>
    </w:p>
    <w:p w14:paraId="5F1EA325" w14:textId="06D5CFC8" w:rsidR="00485C0D" w:rsidRPr="00937C43" w:rsidRDefault="00485C0D" w:rsidP="00485C0D">
      <w:pPr>
        <w:pStyle w:val="ATHeading1"/>
      </w:pPr>
      <w:bookmarkStart w:id="0" w:name="TANumber"/>
      <w:r w:rsidRPr="00937C43">
        <w:t>P10_TA(2026)00</w:t>
      </w:r>
      <w:r w:rsidR="008245D5">
        <w:t>50</w:t>
      </w:r>
      <w:bookmarkEnd w:id="0"/>
    </w:p>
    <w:p w14:paraId="3565AD5E" w14:textId="0C2C3513" w:rsidR="00485C0D" w:rsidRPr="00937C43" w:rsidRDefault="00577CFD" w:rsidP="00577CFD">
      <w:pPr>
        <w:pStyle w:val="ATHeading2"/>
      </w:pPr>
      <w:bookmarkStart w:id="1" w:name="title"/>
      <w:r>
        <w:t>Εξέταση των αλυσίδων υπεργολαβίας και του ρόλου των μεσαζόντων με στόχο την προστασία των δικαιωμάτων των εργαζομένων</w:t>
      </w:r>
      <w:bookmarkEnd w:id="1"/>
    </w:p>
    <w:p w14:paraId="18B8B5CF" w14:textId="77777777" w:rsidR="00485C0D" w:rsidRPr="00937C43" w:rsidRDefault="00485C0D" w:rsidP="00485C0D">
      <w:pPr>
        <w:rPr>
          <w:i/>
          <w:vanish/>
        </w:rPr>
      </w:pPr>
      <w:r w:rsidRPr="00937C43">
        <w:rPr>
          <w:i/>
        </w:rPr>
        <w:fldChar w:fldCharType="begin"/>
      </w:r>
      <w:r w:rsidRPr="00937C43">
        <w:rPr>
          <w:i/>
        </w:rPr>
        <w:instrText xml:space="preserve"> TC"(</w:instrText>
      </w:r>
      <w:bookmarkStart w:id="2" w:name="DocNumber"/>
      <w:r w:rsidRPr="00937C43">
        <w:rPr>
          <w:i/>
        </w:rPr>
        <w:instrText>A10-0256/2025</w:instrText>
      </w:r>
      <w:bookmarkEnd w:id="2"/>
      <w:r w:rsidRPr="00937C43">
        <w:rPr>
          <w:i/>
        </w:rPr>
        <w:instrText xml:space="preserve"> - Εισηγητής: Johan Danielsson)"\l3 \n&gt; \* MERGEFORMAT </w:instrText>
      </w:r>
      <w:r w:rsidRPr="00937C43">
        <w:rPr>
          <w:i/>
        </w:rPr>
        <w:fldChar w:fldCharType="end"/>
      </w:r>
    </w:p>
    <w:p w14:paraId="012384B2" w14:textId="77777777" w:rsidR="00485C0D" w:rsidRPr="00937C43" w:rsidRDefault="00485C0D" w:rsidP="00485C0D">
      <w:pPr>
        <w:rPr>
          <w:vanish/>
        </w:rPr>
      </w:pPr>
      <w:bookmarkStart w:id="3" w:name="Commission"/>
      <w:r w:rsidRPr="00937C43">
        <w:rPr>
          <w:vanish/>
        </w:rPr>
        <w:t>Επιτροπή Απασχόλησης και Κοινωνικών Υποθέσεων</w:t>
      </w:r>
      <w:bookmarkEnd w:id="3"/>
    </w:p>
    <w:p w14:paraId="4AA64082" w14:textId="77777777" w:rsidR="00485C0D" w:rsidRPr="00937C43" w:rsidRDefault="00485C0D" w:rsidP="00485C0D">
      <w:pPr>
        <w:rPr>
          <w:vanish/>
        </w:rPr>
      </w:pPr>
      <w:bookmarkStart w:id="4" w:name="PE"/>
      <w:r w:rsidRPr="00937C43">
        <w:rPr>
          <w:vanish/>
        </w:rPr>
        <w:t>PE775.631</w:t>
      </w:r>
      <w:bookmarkEnd w:id="4"/>
    </w:p>
    <w:p w14:paraId="67059CA2" w14:textId="3EF4D954" w:rsidR="00485C0D" w:rsidRPr="00937C43" w:rsidRDefault="0079399E" w:rsidP="00485C0D">
      <w:pPr>
        <w:pStyle w:val="ATHeading3"/>
      </w:pPr>
      <w:bookmarkStart w:id="5" w:name="Sujet"/>
      <w:r>
        <w:t xml:space="preserve">Ψήφισμα </w:t>
      </w:r>
      <w:r w:rsidR="00485C0D" w:rsidRPr="00937C43">
        <w:t xml:space="preserve">του Ευρωπαϊκού Κοινοβουλίου της </w:t>
      </w:r>
      <w:r w:rsidR="005B6E34">
        <w:t xml:space="preserve">12ης Φεβρουαρίου </w:t>
      </w:r>
      <w:r w:rsidR="00485C0D" w:rsidRPr="00937C43">
        <w:t>2026 σχετικά με την εξέταση των αλυσίδων υπεργολαβίας και του ρόλου των μεσαζόντων με στόχο την προστασία των δικαιωμάτων των εργαζομένων</w:t>
      </w:r>
      <w:bookmarkEnd w:id="5"/>
      <w:r w:rsidR="00485C0D" w:rsidRPr="00937C43">
        <w:t xml:space="preserve"> </w:t>
      </w:r>
      <w:bookmarkStart w:id="6" w:name="References"/>
      <w:r w:rsidR="00485C0D" w:rsidRPr="00937C43">
        <w:t>(2025/2133(INI))</w:t>
      </w:r>
      <w:bookmarkEnd w:id="6"/>
    </w:p>
    <w:p w14:paraId="304A5FFD" w14:textId="77777777" w:rsidR="00157EA6" w:rsidRPr="00937C43" w:rsidRDefault="00157EA6" w:rsidP="00157EA6">
      <w:pPr>
        <w:pStyle w:val="EPComma"/>
      </w:pPr>
      <w:r w:rsidRPr="00937C43">
        <w:rPr>
          <w:i/>
        </w:rPr>
        <w:t>Το Ευρωπαϊκό Κοινοβούλιο</w:t>
      </w:r>
      <w:r w:rsidRPr="00937C43">
        <w:t>,</w:t>
      </w:r>
    </w:p>
    <w:p w14:paraId="30514D0B" w14:textId="77777777" w:rsidR="00157EA6" w:rsidRPr="00937C43" w:rsidRDefault="00157EA6" w:rsidP="00157EA6">
      <w:pPr>
        <w:pStyle w:val="NormalHanging12a"/>
      </w:pPr>
      <w:r w:rsidRPr="00937C43">
        <w:t>–</w:t>
      </w:r>
      <w:r w:rsidRPr="00937C43">
        <w:tab/>
        <w:t>έχοντας υπόψη τα άρθρα 16 και 31 του Χάρτη των Θεμελιωδών Δικαιωμάτων της Ευρωπαϊκής Ένωσης,</w:t>
      </w:r>
    </w:p>
    <w:p w14:paraId="3A057A8F" w14:textId="77777777" w:rsidR="00157EA6" w:rsidRPr="00937C43" w:rsidRDefault="00157EA6" w:rsidP="00157EA6">
      <w:pPr>
        <w:pStyle w:val="NormalHanging12a"/>
      </w:pPr>
      <w:r w:rsidRPr="00937C43">
        <w:t>–</w:t>
      </w:r>
      <w:r w:rsidRPr="00937C43">
        <w:tab/>
        <w:t>έχοντας υπόψη τον ευρωπαϊκό πυλώνα κοινωνικών δικαιωμάτων,</w:t>
      </w:r>
    </w:p>
    <w:p w14:paraId="7F3B9870" w14:textId="77777777" w:rsidR="00157EA6" w:rsidRPr="00937C43" w:rsidRDefault="00157EA6" w:rsidP="00157EA6">
      <w:pPr>
        <w:pStyle w:val="NormalHanging12a"/>
      </w:pPr>
      <w:r w:rsidRPr="00937C43">
        <w:t>–</w:t>
      </w:r>
      <w:r w:rsidRPr="00937C43">
        <w:tab/>
        <w:t>έχοντας υπόψη την οδηγία 96/71/EΚ του Ευρωπαϊκού Κοινοβουλίου και του Συμβουλίου, της 16ης Δεκεμβρίου 1996, σχετικά με την απόσπαση εργαζομένων στο πλαίσιο παροχής υπηρεσιών</w:t>
      </w:r>
      <w:r w:rsidRPr="00937C43">
        <w:rPr>
          <w:rStyle w:val="FootnoteReference"/>
        </w:rPr>
        <w:footnoteReference w:id="1"/>
      </w:r>
      <w:r w:rsidRPr="00937C43">
        <w:t>, όπως τροποποιήθηκε με την οδηγία (ΕΕ) 2018/957,</w:t>
      </w:r>
    </w:p>
    <w:p w14:paraId="2C53EE62" w14:textId="77777777" w:rsidR="00157EA6" w:rsidRPr="00937C43" w:rsidRDefault="00157EA6" w:rsidP="00157EA6">
      <w:pPr>
        <w:pStyle w:val="NormalHanging12a"/>
      </w:pPr>
      <w:r w:rsidRPr="00937C43">
        <w:t>–</w:t>
      </w:r>
      <w:r w:rsidRPr="00937C43">
        <w:tab/>
        <w:t>έχοντας υπόψη την οδηγία 2014/67/ΕΕ του Ευρωπαϊκού Κοινοβουλίου και του Συμβουλίου, της 15ης Μαΐου 2014, για την εφαρμογή της οδηγίας 96/71/ΕΚ σχετικά με την απόσπαση εργαζομένων στο πλαίσιο παροχής υπηρεσιών και την τροποποίηση του κανονισμού (ΕΕ) αριθ. 1024/2012 σχετικά με τη διοικητική συνεργασία μέσω του Συστήματος Πληροφόρησης για την εσωτερική αγορά («κανονισμός ΙΜΙ»)</w:t>
      </w:r>
      <w:r w:rsidRPr="00937C43">
        <w:rPr>
          <w:rStyle w:val="FootnoteReference"/>
        </w:rPr>
        <w:footnoteReference w:id="2"/>
      </w:r>
      <w:r w:rsidRPr="00937C43">
        <w:t>,</w:t>
      </w:r>
    </w:p>
    <w:p w14:paraId="2AECFC72" w14:textId="35E12F33" w:rsidR="00157EA6" w:rsidRPr="00937C43" w:rsidRDefault="00157EA6" w:rsidP="00157EA6">
      <w:pPr>
        <w:pStyle w:val="NormalHanging12a"/>
      </w:pPr>
      <w:r w:rsidRPr="00937C43">
        <w:t>–</w:t>
      </w:r>
      <w:r w:rsidRPr="00937C43">
        <w:tab/>
        <w:t>έχοντας υπόψη την 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w:t>
      </w:r>
      <w:r w:rsidRPr="00937C43">
        <w:rPr>
          <w:rStyle w:val="FootnoteReference"/>
        </w:rPr>
        <w:footnoteReference w:id="3"/>
      </w:r>
      <w:r w:rsidRPr="00937C43">
        <w:t>,</w:t>
      </w:r>
      <w:r w:rsidR="000F397D">
        <w:t xml:space="preserve"> </w:t>
      </w:r>
      <w:r w:rsidR="000F397D" w:rsidRPr="00937C43">
        <w:t>όπως τροποποιήθηκε με την οδηγία (ΕΕ) 2024/1712</w:t>
      </w:r>
      <w:r w:rsidR="000F397D">
        <w:t>,</w:t>
      </w:r>
    </w:p>
    <w:p w14:paraId="609D68E5" w14:textId="77777777" w:rsidR="00157EA6" w:rsidRPr="00937C43" w:rsidRDefault="00157EA6" w:rsidP="00157EA6">
      <w:pPr>
        <w:pStyle w:val="NormalHanging12a"/>
      </w:pPr>
      <w:r w:rsidRPr="00937C43">
        <w:t>–</w:t>
      </w:r>
      <w:r w:rsidRPr="00937C43">
        <w:tab/>
        <w:t xml:space="preserve">έχοντας υπόψη την οδηγία 2009/52/ΕΚ του Ευρωπαϊκού Κοινοβουλίου και του Συμβουλίου, της 18ης Ιουνίου 2009, σχετικά με την επιβολή ελάχιστων προτύπων όσον </w:t>
      </w:r>
      <w:r w:rsidRPr="00937C43">
        <w:lastRenderedPageBreak/>
        <w:t>αφορά τις κυρώσεις και τα μέτρα κατά των εργοδοτών που απασχολούν παράνομα διαμένοντες υπηκόους τρίτων χωρών</w:t>
      </w:r>
      <w:r w:rsidRPr="00937C43">
        <w:rPr>
          <w:rStyle w:val="FootnoteReference"/>
        </w:rPr>
        <w:footnoteReference w:id="4"/>
      </w:r>
      <w:r w:rsidRPr="00937C43">
        <w:t xml:space="preserve"> (οδηγία για τις κυρώσεις των εργοδοτών),</w:t>
      </w:r>
    </w:p>
    <w:p w14:paraId="11CDFDF9" w14:textId="77777777" w:rsidR="00157EA6" w:rsidRPr="00937C43" w:rsidRDefault="00157EA6" w:rsidP="00157EA6">
      <w:pPr>
        <w:pStyle w:val="NormalHanging12a"/>
      </w:pPr>
      <w:r w:rsidRPr="00937C43">
        <w:t>–</w:t>
      </w:r>
      <w:r w:rsidRPr="00937C43">
        <w:tab/>
        <w:t>έχοντας υπόψη την οδηγία 2014/24/ΕΕ του Ευρωπαϊκού Κοινοβουλίου και του Συμβουλίου, της 26ης Φεβρουαρίου 2014, σχετικά με τις δημόσιες προμήθειες και την κατάργηση της οδηγίας 2004/18/ΕK</w:t>
      </w:r>
      <w:r w:rsidRPr="00937C43">
        <w:rPr>
          <w:rStyle w:val="FootnoteReference"/>
        </w:rPr>
        <w:footnoteReference w:id="5"/>
      </w:r>
      <w:r w:rsidRPr="00937C43">
        <w:t>,</w:t>
      </w:r>
    </w:p>
    <w:p w14:paraId="2694F8B3" w14:textId="77777777" w:rsidR="00157EA6" w:rsidRPr="00937C43" w:rsidRDefault="00157EA6" w:rsidP="00157EA6">
      <w:pPr>
        <w:pStyle w:val="NormalHanging12a"/>
      </w:pPr>
      <w:r w:rsidRPr="00937C43">
        <w:t>–</w:t>
      </w:r>
      <w:r w:rsidRPr="00937C43">
        <w:tab/>
        <w:t>έχοντας υπόψη την οδηγία (EE) 2024/1760 του Ευρωπαϊκού Κοινοβουλίου και του Συμβουλίου, της 13ης Ιουνίου 2024, για την εταιρική δέουσα επιμέλεια όσον αφορά τη βιωσιμότητα, και για την τροποποίηση της οδηγίας (ΕΕ) 2019/1937 και του κανονισμού (ΕΕ) 2023/2859</w:t>
      </w:r>
      <w:r w:rsidRPr="00937C43">
        <w:rPr>
          <w:rStyle w:val="FootnoteReference"/>
        </w:rPr>
        <w:footnoteReference w:id="6"/>
      </w:r>
      <w:r w:rsidRPr="00937C43">
        <w:t>,</w:t>
      </w:r>
    </w:p>
    <w:p w14:paraId="3C15AA31" w14:textId="1ADC84C8" w:rsidR="00157EA6" w:rsidRPr="00937C43" w:rsidRDefault="00157EA6" w:rsidP="00157EA6">
      <w:pPr>
        <w:pStyle w:val="NormalHanging12a"/>
      </w:pPr>
      <w:r w:rsidRPr="00937C43">
        <w:t>–</w:t>
      </w:r>
      <w:r w:rsidRPr="00937C43">
        <w:tab/>
        <w:t>έχοντας υπόψη την έκθεση της Επιτροπής, της 30ής Απριλίου 2024, σχετικά με την εφαρμογή και την εκτέλεση της οδηγίας (ΕΕ) 2018/957 του Ευρωπαϊκού Κοινοβουλίου και του Συμβουλίου, της 28ης Ιουνίου 2018, για την τροποποίηση της οδηγίας 96/71/ΕΚ σχετικά με την απόσπαση εργαζομένων στο πλαίσιο παροχής υπηρεσιών (</w:t>
      </w:r>
      <w:r w:rsidR="00B4721B" w:rsidRPr="00DE6DBB">
        <w:t>COM(2024)0320</w:t>
      </w:r>
      <w:r w:rsidRPr="00937C43">
        <w:t>),</w:t>
      </w:r>
    </w:p>
    <w:p w14:paraId="262EF85D" w14:textId="18DEAA8D" w:rsidR="00157EA6" w:rsidRPr="00937C43" w:rsidRDefault="00157EA6" w:rsidP="00157EA6">
      <w:pPr>
        <w:pStyle w:val="NormalHanging12a"/>
      </w:pPr>
      <w:r w:rsidRPr="00937C43">
        <w:t>–</w:t>
      </w:r>
      <w:r w:rsidRPr="00937C43">
        <w:tab/>
        <w:t>έχοντας υπόψη την έκθεση της Επιτροπής, της 26ης Μαΐου 2025, με τίτλο «Αξιολόγηση της Ευρωπαϊκής Αρχής Εργασίας (ΕΑΕ)» (</w:t>
      </w:r>
      <w:r w:rsidR="00B4721B" w:rsidRPr="00DE6DBB">
        <w:t>COM(2025)0256</w:t>
      </w:r>
      <w:r w:rsidRPr="00937C43">
        <w:t>),</w:t>
      </w:r>
    </w:p>
    <w:p w14:paraId="72FAC41A" w14:textId="3141980C" w:rsidR="00157EA6" w:rsidRPr="00937C43" w:rsidRDefault="00157EA6" w:rsidP="00157EA6">
      <w:pPr>
        <w:pStyle w:val="NormalHanging12a"/>
      </w:pPr>
      <w:r w:rsidRPr="00937C43">
        <w:t>–</w:t>
      </w:r>
      <w:r w:rsidRPr="00937C43">
        <w:tab/>
        <w:t>έχοντας υπόψη την ανακοίνωση της Επιτροπής, της 3ης Δεκεμβρίου 2020, με τίτλο «Στρατηγικό πλαίσιο της ΕΕ για την υγεία και την ασφάλεια στην εργασία κατά την περίοδο 2021-2027 — Ασφάλεια και υγεία στην εργασία σε έναν μεταβαλλόμενο κόσμο εργασίας» (</w:t>
      </w:r>
      <w:r w:rsidR="00B4721B" w:rsidRPr="00DE6DBB">
        <w:t>COM(2021)0323</w:t>
      </w:r>
      <w:r w:rsidRPr="00937C43">
        <w:t>), συμπεριλαμβανομένης της προσέγγισης του «οράματος για μηδενικές απώλειες» όσον αφορά τους θανάτους που συνδέονται με την εργασία στην ΕΕ,</w:t>
      </w:r>
    </w:p>
    <w:p w14:paraId="1941FBC1" w14:textId="20979B04" w:rsidR="00157EA6" w:rsidRPr="00937C43" w:rsidRDefault="00157EA6" w:rsidP="00157EA6">
      <w:pPr>
        <w:pStyle w:val="NormalHanging12a"/>
      </w:pPr>
      <w:r w:rsidRPr="00937C43">
        <w:t>–</w:t>
      </w:r>
      <w:r w:rsidRPr="00937C43">
        <w:tab/>
        <w:t xml:space="preserve">έχοντας υπόψη τη δημοσίευση της Επιτροπής, του Μαΐου </w:t>
      </w:r>
      <w:r w:rsidR="005B6E34">
        <w:t xml:space="preserve">του </w:t>
      </w:r>
      <w:r w:rsidRPr="00937C43">
        <w:t>2020, με τίτλο «Making Socially Responsible Public Procurement Work — 71 Good Practice Cases» (Αποτελεσματικές κοινωνικά υπεύθυνες δημόσιες συμβάσεις — 71 περιπτώσεις ορθής πρακτικής)</w:t>
      </w:r>
      <w:r w:rsidRPr="00937C43">
        <w:rPr>
          <w:rStyle w:val="FootnoteReference"/>
        </w:rPr>
        <w:footnoteReference w:id="7"/>
      </w:r>
      <w:r w:rsidRPr="00937C43">
        <w:t>,</w:t>
      </w:r>
    </w:p>
    <w:p w14:paraId="1363DA95" w14:textId="1F9AE9B4" w:rsidR="00157EA6" w:rsidRPr="00937C43" w:rsidRDefault="00157EA6" w:rsidP="00157EA6">
      <w:pPr>
        <w:pStyle w:val="NormalHanging12a"/>
      </w:pPr>
      <w:r w:rsidRPr="00937C43">
        <w:t>–</w:t>
      </w:r>
      <w:r w:rsidRPr="00937C43">
        <w:tab/>
        <w:t>έχοντας υπόψη την έκθεση της ΕΑΕ του 2025</w:t>
      </w:r>
      <w:r w:rsidR="000F397D">
        <w:t>,</w:t>
      </w:r>
      <w:r w:rsidRPr="00937C43">
        <w:t xml:space="preserve"> με τίτλο «Posting of third‑country nationals: Contracting chains, recruitment patterns, and enforcement issues» (Απόσπαση υπηκόων τρίτων χωρών: αλυσίδες συμβάσεων, πρότυπα προσλήψεων και ζητήματα επιβολής)</w:t>
      </w:r>
      <w:r w:rsidRPr="00937C43">
        <w:rPr>
          <w:rStyle w:val="FootnoteReference"/>
        </w:rPr>
        <w:footnoteReference w:id="8"/>
      </w:r>
      <w:r w:rsidRPr="00937C43">
        <w:t>,</w:t>
      </w:r>
    </w:p>
    <w:p w14:paraId="78C533D5" w14:textId="00A9D0BC" w:rsidR="00157EA6" w:rsidRPr="00937C43" w:rsidRDefault="00157EA6" w:rsidP="00157EA6">
      <w:pPr>
        <w:pStyle w:val="NormalHanging12a"/>
      </w:pPr>
      <w:r w:rsidRPr="00937C43">
        <w:t>–</w:t>
      </w:r>
      <w:r w:rsidRPr="00937C43">
        <w:tab/>
        <w:t xml:space="preserve">έχοντας υπόψη την έκθεση της ΕΑΕ, του Φεβρουαρίου </w:t>
      </w:r>
      <w:r w:rsidR="005B6E34">
        <w:t xml:space="preserve">του </w:t>
      </w:r>
      <w:r w:rsidRPr="00937C43">
        <w:t xml:space="preserve">2023, με τίτλο «Cooperation practices, possibilities and challenges between Member States — specifically in relation to the posting of third‑country nationals» (Πρακτικές, δυνατότητες και προκλήσεις συνεργασίας μεταξύ των κρατών μελών — ιδίως σε σχέση </w:t>
      </w:r>
      <w:r w:rsidRPr="00937C43">
        <w:lastRenderedPageBreak/>
        <w:t>με την απόσπαση υπηκόων τρίτων χωρών)</w:t>
      </w:r>
      <w:r w:rsidRPr="00937C43">
        <w:rPr>
          <w:rStyle w:val="FootnoteReference"/>
        </w:rPr>
        <w:footnoteReference w:id="9"/>
      </w:r>
      <w:r w:rsidRPr="00937C43">
        <w:t>,</w:t>
      </w:r>
    </w:p>
    <w:p w14:paraId="40626AF0" w14:textId="77777777" w:rsidR="00157EA6" w:rsidRPr="00937C43" w:rsidRDefault="00157EA6" w:rsidP="00157EA6">
      <w:pPr>
        <w:pStyle w:val="NormalHanging12a"/>
      </w:pPr>
      <w:r w:rsidRPr="00937C43">
        <w:t>–</w:t>
      </w:r>
      <w:r w:rsidRPr="00937C43">
        <w:tab/>
        <w:t>έχοντας υπόψη την έκθεση της ΕΑΕ, της 20ής Σεπτεμβρίου 2023, με τίτλο «Construction sector: Issues in information provision, enforcement of labour mobility law, social security coordination regulations, and cooperation between Member States» (Κατασκευαστικός τομέας: ζητήματα σχετικά με την παροχή πληροφοριών, την επιβολή της νομοθεσίας για την κινητικότητα του εργατικού δυναμικού, τους κανονισμούς για τον συντονισμό των συστημάτων κοινωνικής ασφάλισης και τη συνεργασία μεταξύ των κρατών μελών)</w:t>
      </w:r>
      <w:r w:rsidRPr="00937C43">
        <w:rPr>
          <w:rStyle w:val="FootnoteReference"/>
        </w:rPr>
        <w:footnoteReference w:id="10"/>
      </w:r>
      <w:r w:rsidRPr="00937C43">
        <w:t>,</w:t>
      </w:r>
    </w:p>
    <w:p w14:paraId="1AAD5D12" w14:textId="21A5286F" w:rsidR="00157EA6" w:rsidRPr="00937C43" w:rsidRDefault="00157EA6" w:rsidP="00157EA6">
      <w:pPr>
        <w:pStyle w:val="NormalHanging12a"/>
      </w:pPr>
      <w:r w:rsidRPr="00937C43">
        <w:t>–</w:t>
      </w:r>
      <w:r w:rsidRPr="00937C43">
        <w:tab/>
        <w:t xml:space="preserve">έχοντας υπόψη την έκθεση της Ευρωπόλ, του Δεκεμβρίου </w:t>
      </w:r>
      <w:r w:rsidR="005B6E34">
        <w:t xml:space="preserve">του </w:t>
      </w:r>
      <w:r w:rsidRPr="00937C43">
        <w:t>2024, με τίτλο «Leveraging legitimacy: How the EU’s most threatening criminal networks abuse legal business structures» (Αποκτώντας νομιμοποίηση: πώς τα απειλητικότερα εγκληματικά δίκτυα της ΕΕ εκμεταλλεύονται νόμιμες επιχειρηματικές δομές),</w:t>
      </w:r>
    </w:p>
    <w:p w14:paraId="07D833E4" w14:textId="77777777" w:rsidR="00157EA6" w:rsidRPr="00937C43" w:rsidRDefault="00157EA6" w:rsidP="00157EA6">
      <w:pPr>
        <w:pStyle w:val="NormalHanging12a"/>
      </w:pPr>
      <w:r w:rsidRPr="00937C43">
        <w:t>–</w:t>
      </w:r>
      <w:r w:rsidRPr="00937C43">
        <w:tab/>
        <w:t>έχοντας υπόψη το άρθρο 10 των κατευθυντήριων γραμμών της Διεθνούς Οργάνωσης Εργασίας (ΔΟΕ) σχετικά με τις γενικές αρχές της επιθεώρησης εργασίας,</w:t>
      </w:r>
    </w:p>
    <w:p w14:paraId="0C4B55B9" w14:textId="77777777" w:rsidR="00157EA6" w:rsidRPr="00937C43" w:rsidRDefault="00157EA6" w:rsidP="00157EA6">
      <w:pPr>
        <w:pStyle w:val="NormalHanging12a"/>
      </w:pPr>
      <w:r w:rsidRPr="00937C43">
        <w:t>–</w:t>
      </w:r>
      <w:r w:rsidRPr="00937C43">
        <w:tab/>
        <w:t>έχοντας υπόψη τη σύμβαση της ΔΟΕ σχετικά με τα ιδιωτικά γραφεία απασχόλησης (Σύμβαση αριθ. 181, 1997),</w:t>
      </w:r>
    </w:p>
    <w:p w14:paraId="41244DE8" w14:textId="77777777" w:rsidR="00157EA6" w:rsidRPr="00937C43" w:rsidRDefault="00157EA6" w:rsidP="00157EA6">
      <w:pPr>
        <w:pStyle w:val="NormalHanging12a"/>
      </w:pPr>
      <w:r w:rsidRPr="00937C43">
        <w:t>–</w:t>
      </w:r>
      <w:r w:rsidRPr="00937C43">
        <w:tab/>
        <w:t>έχοντας υπόψη τη σύμβαση της ΔΟΕ για την ασφάλεια και την υγεία στον τομέα των κατασκευών (Σύμβαση αριθ. 167, 1988),</w:t>
      </w:r>
    </w:p>
    <w:p w14:paraId="28CDA3DC" w14:textId="77777777" w:rsidR="00157EA6" w:rsidRPr="00937C43" w:rsidRDefault="00157EA6" w:rsidP="00157EA6">
      <w:pPr>
        <w:pStyle w:val="NormalHanging12a"/>
      </w:pPr>
      <w:r w:rsidRPr="00937C43">
        <w:t>–</w:t>
      </w:r>
      <w:r w:rsidRPr="00937C43">
        <w:tab/>
        <w:t>έχοντας υπόψη το ψήφισμά του της 25ης Νοεμβρίου 2021 σχετικά με τη θέσπιση ευρωπαϊκού διαβατηρίου κοινωνικής ασφάλισης για τη βελτίωση της ψηφιακής επιβολής των δικαιωμάτων κοινωνικής ασφάλισης και μιας δίκαιης κινητικότητας</w:t>
      </w:r>
      <w:r w:rsidRPr="00937C43">
        <w:rPr>
          <w:rStyle w:val="FootnoteReference"/>
        </w:rPr>
        <w:footnoteReference w:id="11"/>
      </w:r>
      <w:r w:rsidRPr="00937C43">
        <w:t>,</w:t>
      </w:r>
    </w:p>
    <w:p w14:paraId="7413FBF2" w14:textId="77777777" w:rsidR="00157EA6" w:rsidRPr="00937C43" w:rsidRDefault="00157EA6" w:rsidP="00157EA6">
      <w:pPr>
        <w:pStyle w:val="NormalHanging12a"/>
      </w:pPr>
      <w:r w:rsidRPr="00937C43">
        <w:t>–</w:t>
      </w:r>
      <w:r w:rsidRPr="00937C43">
        <w:tab/>
        <w:t>έχοντας υπόψη το ψήφισμά του της 13ης Μαρτίου 2025 σχετικά με τις κοινωνικές πτυχές και τις πτυχές απασχόλησης των διαδικασιών αναδιάρθρωσης: η ανάγκη να προστατεύονται οι θέσεις εργασίας και τα δικαιώματα των εργαζομένων</w:t>
      </w:r>
      <w:r w:rsidRPr="00937C43">
        <w:rPr>
          <w:rStyle w:val="FootnoteReference"/>
        </w:rPr>
        <w:footnoteReference w:id="12"/>
      </w:r>
      <w:r w:rsidRPr="00937C43">
        <w:t>,</w:t>
      </w:r>
    </w:p>
    <w:p w14:paraId="3DB568A0" w14:textId="77777777" w:rsidR="00157EA6" w:rsidRPr="00937C43" w:rsidRDefault="00157EA6" w:rsidP="00157EA6">
      <w:pPr>
        <w:pStyle w:val="NormalHanging12a"/>
      </w:pPr>
      <w:r w:rsidRPr="00937C43">
        <w:t>–</w:t>
      </w:r>
      <w:r w:rsidRPr="00937C43">
        <w:tab/>
        <w:t>έχοντας υπόψη το ψήφισμά του της 18ης Ιανουαρίου 2024 σχετικά με την αναθεώρηση της εντολής της Ευρωπαϊκής Αρχής Εργασίας</w:t>
      </w:r>
      <w:r w:rsidRPr="00937C43">
        <w:rPr>
          <w:rStyle w:val="FootnoteReference"/>
        </w:rPr>
        <w:footnoteReference w:id="13"/>
      </w:r>
      <w:r w:rsidRPr="00937C43">
        <w:t>,</w:t>
      </w:r>
    </w:p>
    <w:p w14:paraId="737BA9BF" w14:textId="1E167873" w:rsidR="00157EA6" w:rsidRPr="00937C43" w:rsidRDefault="00157EA6" w:rsidP="00157EA6">
      <w:pPr>
        <w:pStyle w:val="NormalHanging12a"/>
      </w:pPr>
      <w:r w:rsidRPr="00937C43">
        <w:t>–</w:t>
      </w:r>
      <w:r w:rsidRPr="00937C43">
        <w:tab/>
        <w:t>έχοντας υπόψη το ψήφισμά του της 9ης Σεπτεμβρίου 2025 σχετικά με τις δημόσιες συμβάσεις</w:t>
      </w:r>
      <w:r w:rsidRPr="00937C43">
        <w:rPr>
          <w:rStyle w:val="FootnoteReference"/>
        </w:rPr>
        <w:footnoteReference w:id="14"/>
      </w:r>
      <w:r w:rsidRPr="00937C43">
        <w:t>,</w:t>
      </w:r>
    </w:p>
    <w:p w14:paraId="6A2C0C9B" w14:textId="77777777" w:rsidR="00157EA6" w:rsidRPr="00937C43" w:rsidRDefault="00157EA6" w:rsidP="00157EA6">
      <w:pPr>
        <w:pStyle w:val="NormalHanging12a"/>
      </w:pPr>
      <w:r w:rsidRPr="00937C43">
        <w:t>–</w:t>
      </w:r>
      <w:r w:rsidRPr="00937C43">
        <w:tab/>
        <w:t>έχοντας υπόψη τη δήλωση της La Hulpe, της 16ης Απριλίου 2024, σχετικά με το μέλλον του ευρωπαϊκού πυλώνα κοινωνικών δικαιωμάτων,</w:t>
      </w:r>
    </w:p>
    <w:p w14:paraId="36EC78D7" w14:textId="77777777" w:rsidR="00157EA6" w:rsidRPr="00937C43" w:rsidRDefault="00157EA6" w:rsidP="00157EA6">
      <w:pPr>
        <w:pStyle w:val="NormalHanging12a"/>
      </w:pPr>
      <w:r w:rsidRPr="00937C43">
        <w:t>–</w:t>
      </w:r>
      <w:r w:rsidRPr="00937C43">
        <w:tab/>
        <w:t xml:space="preserve">έχοντας υπόψη την τριμερή δήλωση στη σύνοδο κορυφής των κοινωνικών εταίρων του Val Duchesse, της 31ης Ιανουαρίου 2024, για έναν γόνιμο ευρωπαϊκό κοινωνικό </w:t>
      </w:r>
      <w:r w:rsidRPr="00937C43">
        <w:lastRenderedPageBreak/>
        <w:t>διάλογο,</w:t>
      </w:r>
    </w:p>
    <w:p w14:paraId="28E4A47A" w14:textId="77777777" w:rsidR="00157EA6" w:rsidRPr="00937C43" w:rsidRDefault="00157EA6" w:rsidP="00157EA6">
      <w:pPr>
        <w:pStyle w:val="NormalHanging12a"/>
      </w:pPr>
      <w:r w:rsidRPr="00937C43">
        <w:t>–</w:t>
      </w:r>
      <w:r w:rsidRPr="00937C43">
        <w:tab/>
        <w:t>έχοντας υπόψη την Πράσινη Βίβλο της Επιτροπής, της 31ης Ιανουαρίου 2013, για τις αθέμιτες εμπορικές πρακτικές στην αλυσίδα εφοδιασμού από επιχείρηση σε επιχείρηση τροφίμων και άλλων καταναλωτικών προϊόντων στην Ευρώπη (COM(2013)0037),</w:t>
      </w:r>
    </w:p>
    <w:p w14:paraId="6686A406" w14:textId="77777777" w:rsidR="00157EA6" w:rsidRPr="00937C43" w:rsidRDefault="00157EA6" w:rsidP="00157EA6">
      <w:pPr>
        <w:pStyle w:val="NormalHanging12a"/>
      </w:pPr>
      <w:r w:rsidRPr="00937C43">
        <w:t>–</w:t>
      </w:r>
      <w:r w:rsidRPr="00937C43">
        <w:tab/>
        <w:t>έχοντας υπόψη την ανακοίνωση της Επιτροπής, της 29ης Ιανουαρίου 2025, με τίτλο «Πυξίδα ανταγωνιστικότητας για την ΕΕ» (COM(2025)0030),</w:t>
      </w:r>
    </w:p>
    <w:p w14:paraId="564F73DD" w14:textId="77777777" w:rsidR="00157EA6" w:rsidRPr="00937C43" w:rsidRDefault="00157EA6" w:rsidP="00157EA6">
      <w:pPr>
        <w:pStyle w:val="NormalHanging12a"/>
      </w:pPr>
      <w:r w:rsidRPr="00937C43">
        <w:t>–</w:t>
      </w:r>
      <w:r w:rsidRPr="00937C43">
        <w:tab/>
        <w:t>έχοντας υπόψη την έκτη Ευρωπαϊκή Έρευνα για τις Συνθήκες Εργασίας του Eurofound,</w:t>
      </w:r>
    </w:p>
    <w:p w14:paraId="411CBE86" w14:textId="5F17A8BF" w:rsidR="00157EA6" w:rsidRPr="00937C43" w:rsidRDefault="00157EA6" w:rsidP="00157EA6">
      <w:pPr>
        <w:pStyle w:val="NormalHanging12a"/>
      </w:pPr>
      <w:r w:rsidRPr="00937C43">
        <w:t xml:space="preserve"> –</w:t>
      </w:r>
      <w:r w:rsidRPr="00937C43">
        <w:tab/>
        <w:t>έχοντας υπόψη την έκθεση του Mario Draghi, της 9ης Σεπτεμβρίου 2024, με τίτλο «The future of European competitiveness» (Το μέλλον της ευρωπαϊκής ανταγωνιστικότητας) (</w:t>
      </w:r>
      <w:r w:rsidR="00B4721B">
        <w:t>«</w:t>
      </w:r>
      <w:r w:rsidRPr="00937C43">
        <w:t>έκθεση Draghi</w:t>
      </w:r>
      <w:r w:rsidR="00B4721B">
        <w:t>»</w:t>
      </w:r>
      <w:r w:rsidRPr="00937C43">
        <w:t>),</w:t>
      </w:r>
    </w:p>
    <w:p w14:paraId="06C60156" w14:textId="29B1807A" w:rsidR="00157EA6" w:rsidRPr="00937C43" w:rsidRDefault="00157EA6" w:rsidP="00157EA6">
      <w:pPr>
        <w:pStyle w:val="NormalHanging12a"/>
      </w:pPr>
      <w:r w:rsidRPr="00937C43">
        <w:t>–</w:t>
      </w:r>
      <w:r w:rsidRPr="00937C43">
        <w:tab/>
        <w:t>έχοντας υπόψη την έκθεση του Enrico Letta, της 17ης Απριλίου 2024, με τίτλο «Much more than a Market – speed, security, solidarity: empowering the Single Market to deliver a sustainable future and prosperity for all EU Citizens (Πολύ περισσότερο από μια απλή αγορά — Ταχύτητα, ασφάλεια, αλληλεγγύη: ενδυνάμωση της ενιαίας αγοράς για την επίτευξη βιώσιμου μέλλοντος και ευημερίας για όλους τους πολίτες της ΕΕ) (</w:t>
      </w:r>
      <w:r w:rsidR="00B4721B">
        <w:t>«</w:t>
      </w:r>
      <w:r w:rsidRPr="00937C43">
        <w:t>έκθεση Letta</w:t>
      </w:r>
      <w:r w:rsidR="00B4721B">
        <w:t>»</w:t>
      </w:r>
      <w:r w:rsidRPr="00937C43">
        <w:t>),</w:t>
      </w:r>
    </w:p>
    <w:p w14:paraId="752DEDDF" w14:textId="77777777" w:rsidR="00157EA6" w:rsidRPr="00937C43" w:rsidRDefault="00157EA6" w:rsidP="00157EA6">
      <w:pPr>
        <w:pStyle w:val="NormalHanging12a"/>
      </w:pPr>
      <w:r w:rsidRPr="00937C43">
        <w:t>–</w:t>
      </w:r>
      <w:r w:rsidRPr="00937C43">
        <w:tab/>
        <w:t>έχοντας υπόψη το έγγραφο θέσης, της 14ης Φεβρουαρίου 2025, των Κάτω Χωρών, του Βελγίου, της Δανίας, της Γερμανίας, της Ιταλίας, της Λετονίας και του Λουξεμβούργου σχετικά με τις προτεραιότητες πολιτικής της ΕΕ για την Επιτροπή της περιόδου 2024-2029 και τη δίκαιη απόσπαση υπηκόων τρίτων χωρών,</w:t>
      </w:r>
    </w:p>
    <w:p w14:paraId="7E0B7599" w14:textId="77777777" w:rsidR="00157EA6" w:rsidRPr="00937C43" w:rsidRDefault="00157EA6" w:rsidP="00157EA6">
      <w:pPr>
        <w:pStyle w:val="NormalHanging12a"/>
      </w:pPr>
      <w:r w:rsidRPr="00937C43">
        <w:t>–</w:t>
      </w:r>
      <w:r w:rsidRPr="00937C43">
        <w:tab/>
        <w:t>έχοντας υπόψη την απόφαση του Δικαστηρίου της 5ης Απριλίου 2017, στην υπόθεση C-298/15, «Borta» UAB κατά Klaipėdos valstybinio jūrų uosto direkcija VĮ</w:t>
      </w:r>
      <w:r w:rsidRPr="00DE6DBB">
        <w:rPr>
          <w:rStyle w:val="FootnoteReference"/>
        </w:rPr>
        <w:footnoteReference w:id="15"/>
      </w:r>
      <w:r w:rsidRPr="00937C43">
        <w:t xml:space="preserve"> σχετικά με τις δημόσιες συμβάσεις,</w:t>
      </w:r>
    </w:p>
    <w:p w14:paraId="18AB7CE0" w14:textId="77777777" w:rsidR="00157EA6" w:rsidRPr="00937C43" w:rsidRDefault="00157EA6" w:rsidP="00157EA6">
      <w:pPr>
        <w:pStyle w:val="NormalHanging12a"/>
      </w:pPr>
      <w:r w:rsidRPr="00937C43">
        <w:t>–</w:t>
      </w:r>
      <w:r w:rsidRPr="00937C43">
        <w:tab/>
        <w:t>έχοντας υπόψη τις εθνικές στρατηγικές για την καταπολέμηση της εργασιακής εκμετάλλευσης, της αναγκαστικής εργασίας και της αδήλωτης εργασίας</w:t>
      </w:r>
      <w:r w:rsidRPr="00937C43">
        <w:rPr>
          <w:rStyle w:val="FootnoteReference"/>
        </w:rPr>
        <w:footnoteReference w:id="16"/>
      </w:r>
      <w:r w:rsidRPr="00937C43">
        <w:t>,</w:t>
      </w:r>
    </w:p>
    <w:p w14:paraId="05E24E75" w14:textId="77777777" w:rsidR="00157EA6" w:rsidRPr="00937C43" w:rsidRDefault="00157EA6" w:rsidP="00157EA6">
      <w:pPr>
        <w:pStyle w:val="NormalHanging12a"/>
      </w:pPr>
      <w:r w:rsidRPr="00937C43">
        <w:t>–</w:t>
      </w:r>
      <w:r w:rsidRPr="00937C43">
        <w:tab/>
        <w:t>έχοντας υπόψη το άρθρο 55 του Κανονισμού του,</w:t>
      </w:r>
    </w:p>
    <w:p w14:paraId="55E89101" w14:textId="77777777" w:rsidR="00157EA6" w:rsidRPr="00937C43" w:rsidRDefault="00157EA6" w:rsidP="00157EA6">
      <w:pPr>
        <w:pStyle w:val="NormalHanging12a"/>
      </w:pPr>
      <w:r w:rsidRPr="00937C43">
        <w:t>–</w:t>
      </w:r>
      <w:r w:rsidRPr="00937C43">
        <w:tab/>
        <w:t>έχοντας υπόψη τη γνωμοδότηση της Επιτροπής Εσωτερικής Αγοράς και Προστασίας των Καταναλωτών,</w:t>
      </w:r>
    </w:p>
    <w:p w14:paraId="560FBD89" w14:textId="77777777" w:rsidR="00157EA6" w:rsidRPr="00937C43" w:rsidRDefault="00157EA6" w:rsidP="00157EA6">
      <w:pPr>
        <w:pStyle w:val="NormalHanging12a"/>
      </w:pPr>
      <w:r w:rsidRPr="00937C43">
        <w:t>–</w:t>
      </w:r>
      <w:r w:rsidRPr="00937C43">
        <w:tab/>
        <w:t xml:space="preserve">έχοντας υπόψη την έκθεση της Επιτροπής Απασχόλησης και Κοινωνικών Υποθέσεων </w:t>
      </w:r>
      <w:r w:rsidRPr="00937C43">
        <w:lastRenderedPageBreak/>
        <w:t>(A10-0256/2025),</w:t>
      </w:r>
    </w:p>
    <w:p w14:paraId="34E7195F" w14:textId="77777777" w:rsidR="00157EA6" w:rsidRPr="00937C43" w:rsidRDefault="00157EA6" w:rsidP="00157EA6">
      <w:pPr>
        <w:pStyle w:val="NormalHanging12a"/>
      </w:pPr>
      <w:r w:rsidRPr="00937C43">
        <w:t>Α.</w:t>
      </w:r>
      <w:r w:rsidRPr="00937C43">
        <w:tab/>
        <w:t>λαμβάνοντας υπόψη ότι η αρχή αριθ. 5 του ευρωπαϊκού πυλώνα κοινωνικών δικαιωμάτων υπενθυμίζει ότι, ανεξάρτητα από το είδος και τη διάρκεια της σχέσης απασχόλησης, οι εργαζόμενοι έχουν δικαίωμα σε δίκαιη και ίση μεταχείριση όσον αφορά τους όρους εργασίας, την πρόσβαση στην κοινωνική προστασία και την κατάρτιση· λαμβάνοντας υπόψη ότι υπενθυμίζει επίσης ότι θα πρέπει να αποτρέπονται οι σχέσεις απασχόλησης που συνεπάγονται επισφαλείς συνθήκες εργασίας·</w:t>
      </w:r>
    </w:p>
    <w:p w14:paraId="20C51ADE" w14:textId="77777777" w:rsidR="00157EA6" w:rsidRPr="00937C43" w:rsidRDefault="00157EA6" w:rsidP="00157EA6">
      <w:pPr>
        <w:pStyle w:val="NormalHanging12a"/>
      </w:pPr>
      <w:r w:rsidRPr="00937C43">
        <w:t>Β.</w:t>
      </w:r>
      <w:r w:rsidRPr="00937C43">
        <w:tab/>
        <w:t>λαμβάνοντας υπόψη ότι η ελεύθερη παροχή διασυνοριακών υπηρεσιών αποτελεί μία από τις τέσσερις βασικές αρχές της ενιαίας αγοράς και ότι η υπεργολαβία αποτελεί μέρος της ελεύθερης παροχής υπηρεσιών και της ελευθερίας εγκαταστάσεως· λαμβάνοντας υπόψη ότι η ΕΕ πρέπει να διατηρήσει και να ενισχύσει την ανταγωνιστικότητά της, ώστε οι επιχειρήσεις να μπορούν να ακμάσουν, δίνοντας ιδιαίτερη έμφαση στις μικρές και μεσαίες επιχειρήσεις (ΜΜΕ)· λαμβάνοντας υπόψη ότι πρέπει επίσης να θεσπίσει σαφείς και αναλογικούς κανόνες που δεν επιβάλλουν περιττές επιβαρύνσεις και να ενισχύσει την επιβολή·</w:t>
      </w:r>
    </w:p>
    <w:p w14:paraId="44A489D2" w14:textId="77777777" w:rsidR="00157EA6" w:rsidRPr="00937C43" w:rsidRDefault="00157EA6" w:rsidP="00157EA6">
      <w:pPr>
        <w:pStyle w:val="NormalHanging12a"/>
      </w:pPr>
      <w:r w:rsidRPr="00937C43">
        <w:t>Γ.</w:t>
      </w:r>
      <w:r w:rsidRPr="00937C43">
        <w:tab/>
        <w:t>λαμβάνοντας υπόψη ότι η εργασιακή εκμετάλλευση και κατάχρηση στην αγορά εργασίας της ΕΕ αποτελούν σοβαρό πρόβλημα σε τομείς υψηλού κινδύνου, το οποίο εκδηλώνεται με διαφορετικές μορφές, όπως, μεταξύ άλλων, έγκλημα που σχετίζεται με την εργασία, αδήλωτη εργασία, παράνομη εργασία, παραοικονομία, κοινωνικό ντάμπινγκ, εργασιακή εκμετάλλευση και σύγχρονη δουλεία·</w:t>
      </w:r>
    </w:p>
    <w:p w14:paraId="77480897" w14:textId="77777777" w:rsidR="00157EA6" w:rsidRPr="00937C43" w:rsidRDefault="00157EA6" w:rsidP="00157EA6">
      <w:pPr>
        <w:pStyle w:val="NormalHanging12a"/>
      </w:pPr>
      <w:r w:rsidRPr="00937C43">
        <w:t>Δ.</w:t>
      </w:r>
      <w:r w:rsidRPr="00937C43">
        <w:tab/>
        <w:t>λαμβάνοντας υπόψη ότι ορισμένοι τομείς ενέχουν μεγαλύτερο κίνδυνο εργασιακής εκμετάλλευσης και κατάχρησης, όπως οι τομείς των κατασκευών, της γεωργίας, της φιλοξενίας, των οικιακών εργασιών, των μεταφορών και της εφοδιαστικής, της επεξεργασίας κρέατος και τροφίμων, των υπηρεσιών καθαριότητας και της παροχής φροντίδας</w:t>
      </w:r>
      <w:r w:rsidRPr="00937C43">
        <w:rPr>
          <w:rStyle w:val="FootnoteReference"/>
        </w:rPr>
        <w:footnoteReference w:id="17"/>
      </w:r>
      <w:r w:rsidRPr="00937C43">
        <w:t>· λαμβάνοντας υπόψη ότι οι γυναίκες εκπροσωπούνται με δυσανάλογο τρόπο στην εργασία που ανατίθεται μέσω υπεργολαβίας και μεσολάβησης στους τομείς της φροντίδας, της καθαριότητας και της φιλοξενίας·</w:t>
      </w:r>
    </w:p>
    <w:p w14:paraId="217E77C0" w14:textId="77777777" w:rsidR="00157EA6" w:rsidRPr="00937C43" w:rsidRDefault="00157EA6" w:rsidP="00157EA6">
      <w:pPr>
        <w:pStyle w:val="NormalHanging12a"/>
      </w:pPr>
      <w:r w:rsidRPr="00937C43">
        <w:t>Ε.</w:t>
      </w:r>
      <w:r w:rsidRPr="00937C43">
        <w:tab/>
        <w:t>λαμβάνοντας υπόψη ότι οι συνέπειες της εργασιακής εκμετάλλευσης και κατάχρησης εκτείνονται πέραν των εργαζομένων που πλήττονται από άδικες και επικίνδυνες συνθήκες εργασίας, ανεπαρκείς μισθούς, απαράδεκτες συνθήκες στέγασης και επισφαλή απασχόληση, καθώς επηρεάζουν επίσης τις επιχειρήσεις, ιδίως τις ΜΜΕ, που υφίστανται αθέμιτο ανταγωνισμό και στρεβλώσεις της ενιαίας αγοράς·</w:t>
      </w:r>
    </w:p>
    <w:p w14:paraId="0BC4D400" w14:textId="77777777" w:rsidR="00157EA6" w:rsidRPr="00937C43" w:rsidRDefault="00157EA6" w:rsidP="00157EA6">
      <w:pPr>
        <w:pStyle w:val="NormalHanging12a"/>
      </w:pPr>
      <w:r w:rsidRPr="00937C43">
        <w:t>ΣΤ.</w:t>
      </w:r>
      <w:r w:rsidRPr="00937C43">
        <w:tab/>
        <w:t xml:space="preserve">λαμβάνοντας υπόψη ότι η Ευρωπόλ επισημαίνει ότι το 86 % των πλέον επιζήμιων εγκληματικών δικτύων χρησιμοποιούν νόμιμες επιχειρηματικές δομές στο πλαίσιο της εγκληματικής τους δράσης, γεγονός που συνιστά σοβαρή απειλή για τον θεμιτό ανταγωνισμό στην ενιαία αγορά· λαμβάνοντας υπόψη ότι η ανάλυση της Επιτροπής, καθώς και οι επιχειρησιακές πληροφορίες της ΕΑΕ, επισημαίνουν τους αυξημένους κινδύνους εργασιακής εκμετάλλευσης και κατάχρησης που συνδέονται με μακρές και πολύπλοκες αλυσίδες υπεργολαβίας, καθώς και με δόλιες μορφές εργασιακής </w:t>
      </w:r>
      <w:r w:rsidRPr="00937C43">
        <w:lastRenderedPageBreak/>
        <w:t>μεσολάβησης</w:t>
      </w:r>
      <w:r w:rsidRPr="00937C43">
        <w:rPr>
          <w:rStyle w:val="FootnoteReference"/>
        </w:rPr>
        <w:footnoteReference w:id="18"/>
      </w:r>
      <w:r w:rsidRPr="00937C43">
        <w:t>·</w:t>
      </w:r>
    </w:p>
    <w:p w14:paraId="1905AFE9" w14:textId="77777777" w:rsidR="00157EA6" w:rsidRPr="00937C43" w:rsidRDefault="00157EA6" w:rsidP="00157EA6">
      <w:pPr>
        <w:pStyle w:val="NormalHanging12a"/>
      </w:pPr>
      <w:r w:rsidRPr="00937C43">
        <w:t>Ζ.</w:t>
      </w:r>
      <w:r w:rsidRPr="00937C43">
        <w:tab/>
        <w:t>λαμβάνοντας υπόψη ότι κοινή μεταβλητή στους περισσότερους τομείς, στους οποίους ελλοχεύει υψηλός κίνδυνος εργασιακής εκμετάλλευσης, είναι η υψηλή ένταση εργασίας σε συνδυασμό με μακρές και πολύπλοκες αλυσίδες υπεργολαβίας κάθετα και οριζόντια</w:t>
      </w:r>
      <w:r w:rsidRPr="00937C43">
        <w:rPr>
          <w:rStyle w:val="FootnoteReference"/>
        </w:rPr>
        <w:footnoteReference w:id="19"/>
      </w:r>
      <w:r w:rsidRPr="00937C43">
        <w:t>, γεγονός που υπονομεύει τη διαφάνεια, τον ρόλο των κοινωνικών εταίρων, τις ισχύουσες συλλογικές συμβάσεις και τη δημοκρατία στην εργασία· λαμβάνοντας υπόψη ότι οι τομείς υψηλού κινδύνου συνδέονται επίσης συχνά με ισχυρή εξάρτηση από μεσάζοντες της αγοράς εργασίας, αποσπασμένους εργαζόμενους, μετακινούμενους εργαζόμενους της ΕΕ και υπηκόους τρίτων χωρών· λαμβάνοντας υπόψη ότι ορισμένες άτυπες μορφές απασχόλησης και πολύπλοκες διασυνοριακές ρυθμίσεις ενδέχεται να δημιουργήσουν σύγχυση ως προς τις ευθύνες, να δυσχεράνουν την ευαισθητοποίηση και να περιπλέξουν την επιβολή του εφαρμοστέου εργατικού δικαίου και των συλλογικών συμβάσεων, καθώς και τους ελέγχους σχετικά με τις άδειες εργασίας, τις εισφορές κοινωνικής ασφάλισης, τις πληρωμές φόρων και την ταυτότητα των εργαζομένων·</w:t>
      </w:r>
    </w:p>
    <w:p w14:paraId="0A3A420F" w14:textId="77777777" w:rsidR="00157EA6" w:rsidRPr="00937C43" w:rsidRDefault="00157EA6" w:rsidP="00157EA6">
      <w:pPr>
        <w:pStyle w:val="NormalHanging12a"/>
      </w:pPr>
      <w:r w:rsidRPr="00937C43">
        <w:t>Η.</w:t>
      </w:r>
      <w:r w:rsidRPr="00937C43">
        <w:tab/>
        <w:t>λαμβάνοντας υπόψη ότι η μη συμμόρφωση με τη νομοθεσία για την υγεία και την ασφάλεια στην εργασία αποτελεί συστατικό στοιχείο της εργασιακής εκμετάλλευσης, γεγονός που υπονομεύει την προσέγγιση του «οράματος για μηδενικές απώλειες» όσον αφορά τους θανάτους που συνδέονται με την εργασία, όπως ορίζεται στο στρατηγικό πλαίσιο της ΕΕ για την υγεία και την ασφάλεια στην εργασία κατά την περίοδο 2021-2027· λαμβάνοντας υπόψη ότι η σύμβαση αριθ. 167 της ΔΟΕ αναθέτει στους κύριους αναδόχους το καθήκον να συντονίζουν τα μέτρα για την ασφάλεια και την υγεία στην εργασία·</w:t>
      </w:r>
    </w:p>
    <w:p w14:paraId="7804E6B4" w14:textId="77777777" w:rsidR="00157EA6" w:rsidRPr="00937C43" w:rsidRDefault="00157EA6" w:rsidP="00157EA6">
      <w:pPr>
        <w:pStyle w:val="NormalHanging12a"/>
      </w:pPr>
      <w:r w:rsidRPr="00937C43">
        <w:t>Θ.</w:t>
      </w:r>
      <w:r w:rsidRPr="00937C43">
        <w:tab/>
        <w:t>λαμβάνοντας υπόψη ότι η παρουσία δόλιων και εγκληματικών παραγόντων στους ευρωπαϊκούς χώρους εργασίας ενέχει επίσης κινδύνους για την ασφάλεια, ιδίως όταν επηρεάζει τομείς ζωτικής σημασίας, όπως οι μεταφορές και η εφοδιαστική, οι κατασκευές, η ενέργεια και η υγειονομική περίθαλψη, ή δραστηριότητες με πρόσβαση σε ευαίσθητους ως προς την ασφάλεια χώρους εργασίας, ιδίως ο καθαρισμός και η συντήρηση·</w:t>
      </w:r>
    </w:p>
    <w:p w14:paraId="6F137C80" w14:textId="77777777" w:rsidR="00157EA6" w:rsidRPr="00937C43" w:rsidRDefault="00157EA6" w:rsidP="00157EA6">
      <w:pPr>
        <w:pStyle w:val="NormalHanging12a"/>
      </w:pPr>
      <w:r w:rsidRPr="00937C43">
        <w:lastRenderedPageBreak/>
        <w:t>Ι.</w:t>
      </w:r>
      <w:r w:rsidRPr="00937C43">
        <w:tab/>
        <w:t>λαμβάνοντας υπόψη ότι, σύμφωνα με την Επιτροπή</w:t>
      </w:r>
      <w:r w:rsidRPr="00937C43">
        <w:rPr>
          <w:rStyle w:val="FootnoteReference"/>
        </w:rPr>
        <w:footnoteReference w:id="20"/>
      </w:r>
      <w:r w:rsidRPr="00937C43">
        <w:t xml:space="preserve"> και μια έκθεση της ΕΑΕ για μια περιπτωσιολογική μελέτη</w:t>
      </w:r>
      <w:r w:rsidRPr="00937C43">
        <w:rPr>
          <w:rStyle w:val="FootnoteReference"/>
        </w:rPr>
        <w:footnoteReference w:id="21"/>
      </w:r>
      <w:r w:rsidRPr="00937C43">
        <w:t>, η απόσπαση εργαζομένων από τρίτες χώρες αυξάνεται, με έναν στους τέσσερις αποσπασμένους εργαζόμενους να είναι υπήκοος τρίτης χώρας· λαμβάνοντας υπόψη ότι οι μετακινούμενοι και οι διακινούμενοι εργαζόμενοι, συμπεριλαμβανομένων των εργαζομένων από τρίτες χώρες, είναι ιδιαίτερα ευάλωτοι στην εργασιακή εκμετάλλευση και στο έγκλημα που σχετίζεται με την εργασία και συχνά βρίσκονται σε έναν φαύλο κύκλο εξάρτησης όσον αφορά τις θεωρήσεις, τα υπερβολικά τέλη πρόσληψης, τις ταξιδιωτικές ρυθμίσεις και τη στέγαση· λαμβάνοντας υπόψη ότι οι υπήκοοι τρίτων χωρών έχουν λιγότερο την τάση να οργανώνονται και να προσχωρούν σε συνδικαλιστική οργάνωση και αντιμετωπίζουν περισσότερες δυσκολίες όσον αφορά την πρόσβαση στο δικαστικό σύστημα και την προάσπιση των δικαιωμάτων τους·</w:t>
      </w:r>
    </w:p>
    <w:p w14:paraId="599C371B" w14:textId="77777777" w:rsidR="00157EA6" w:rsidRPr="00937C43" w:rsidRDefault="00157EA6" w:rsidP="00157EA6">
      <w:pPr>
        <w:pStyle w:val="NormalHanging12a"/>
      </w:pPr>
      <w:r w:rsidRPr="00937C43">
        <w:t>ΙΑ.</w:t>
      </w:r>
      <w:r w:rsidRPr="00937C43">
        <w:tab/>
        <w:t>λαμβάνοντας υπόψη ότι αυξάνεται η δόλια πρακτική της «πρόσληψης με σκοπό την απόσπαση», σύμφωνα με την οποία οι υπήκοοι τρίτων χωρών προσλαμβάνονται για να εργαστούν όχι στο κράτος μέλος απασχόλησης, αλλά αποκλειστικά με σκοπό την απόσπασή τους σε άλλο κράτος μέλος· λαμβάνοντας υπόψη ότι η ΕΑΕ έχει χαρακτηρίσει το γεγονός αυτό ως αυξανόμενη πρόκληση όσον αφορά την επιβολή</w:t>
      </w:r>
      <w:r w:rsidRPr="00937C43">
        <w:rPr>
          <w:rStyle w:val="FootnoteReference"/>
        </w:rPr>
        <w:footnoteReference w:id="22"/>
      </w:r>
      <w:r w:rsidRPr="00937C43">
        <w:t>·</w:t>
      </w:r>
    </w:p>
    <w:p w14:paraId="58FAE358" w14:textId="77777777" w:rsidR="00157EA6" w:rsidRPr="00937C43" w:rsidRDefault="00157EA6" w:rsidP="00157EA6">
      <w:pPr>
        <w:pStyle w:val="NormalHanging12a"/>
      </w:pPr>
      <w:r w:rsidRPr="00937C43">
        <w:t>ΙΒ.</w:t>
      </w:r>
      <w:r w:rsidRPr="00937C43">
        <w:tab/>
        <w:t>λαμβάνοντας υπόψη ότι η οριζόντια και κάθετη υπεργολαβία αποτελεί σημαντική πρακτική σε πολλούς τομείς, ιδίως όσον αφορά τα έργα μεγάλης κλίμακας, διευκολύνοντας την ευέλικτη πρόσβαση σε εξειδικευμένη εμπειρογνωμοσύνη και απαντώντας σε συγκεκριμένες ανάγκες με οικονομικά αποδοτικό τρόπο· λαμβάνοντας υπόψη ότι η υπεργολαβία αποτελεί σημαντικό στοιχείο του τοπίου της απασχόλησης, ιδίως για τις ΜΜΕ και τις πολύ μικρές επιχειρήσεις· λαμβάνοντας υπόψη ότι η υπεργολαβία μπορεί να δημιουργήσει προστιθέμενη αξία για τις αναθέτουσες αρχές και να ενισχύσει την αποδοτικότητα και την καινοτομία, ιδίως σε τομείς που εκτίθενται στον παγκόσμιο ανταγωνισμό· λαμβάνοντας υπόψη ότι η υπεργολαβία δεν είναι εγγενώς προβληματική, ιδίως όταν υπάρχει ανάγκη για ειδικές ικανότητες· λαμβάνοντας υπόψη ότι η εύρυθμη λειτουργία της υπεργολαβίας είναι σημαντική για τον θεμιτό ανταγωνισμό στην ΕΕ, ιδίως προς όφελος των ΜΜΕ· λαμβάνοντας υπόψη ότι η έκταση της υπεργολαβίας ποικίλλει σημαντικά μεταξύ τομέων και μεταξύ εταιρειών·</w:t>
      </w:r>
    </w:p>
    <w:p w14:paraId="2BF08D53" w14:textId="77777777" w:rsidR="00157EA6" w:rsidRPr="00937C43" w:rsidRDefault="00157EA6" w:rsidP="00157EA6">
      <w:pPr>
        <w:pStyle w:val="NormalHanging12a"/>
      </w:pPr>
      <w:r w:rsidRPr="00937C43">
        <w:t>ΙΓ.</w:t>
      </w:r>
      <w:r w:rsidRPr="00937C43">
        <w:tab/>
        <w:t xml:space="preserve">λαμβάνοντας υπόψη ότι οι μακρές και πολύπλοκες αλυσίδες υπεργολαβίας μπορούν, ωστόσο, να στρεβλώσουν τον θεμιτό ανταγωνισμό, να αποκρύψουν τη λογοδοσία, να υπονομεύσουν τα δικαιώματα των εργαζομένων και να αυξήσουν τους κινδύνους που </w:t>
      </w:r>
      <w:r w:rsidRPr="00937C43">
        <w:lastRenderedPageBreak/>
        <w:t>σχετίζονται με την απάτη, την εργασιακή εκμετάλλευση, τη διείσδυση του εγκλήματος και την υγεία και ασφάλεια στην εργασία για τους εργαζομένους, ιδίως σε τομείς υψηλού κινδύνου και σε διασυνοριακές καταστάσεις· λαμβάνοντας υπόψη ότι, σε ορισμένες περιπτώσεις, η έλλειψη διαφάνειας και εποπτείας σε διευρυμένες συμφωνίες υπεργολαβίας μπορεί να δυσχεραίνει το έργο των αναθετουσών αρχών όσον αφορά τη διασφάλιση της συμμόρφωσης με το εφαρμοστέο ενωσιακό και εθνικό δίκαιο·</w:t>
      </w:r>
    </w:p>
    <w:p w14:paraId="1BE6C982" w14:textId="037D253D" w:rsidR="00157EA6" w:rsidRPr="00937C43" w:rsidRDefault="00157EA6" w:rsidP="00157EA6">
      <w:pPr>
        <w:pStyle w:val="NormalHanging12a"/>
      </w:pPr>
      <w:r w:rsidRPr="00937C43">
        <w:t>Ι</w:t>
      </w:r>
      <w:r w:rsidR="008245D5">
        <w:t>Δ</w:t>
      </w:r>
      <w:r w:rsidRPr="00937C43">
        <w:t>.</w:t>
      </w:r>
      <w:r w:rsidRPr="00937C43">
        <w:tab/>
        <w:t>λαμβάνοντας υπόψη ότι οι κανόνες που περιορίζουν την υπεργολαβία θα μπορούσαν να έχουν επίπτωση στις εφοδιαστικές αλυσίδες των εταιρειών, ιδίως σε τομείς που είναι εκτεθειμένοι στον παγκόσμιο ανταγωνισμό· λαμβάνοντας υπόψη ότι τέτοιου είδους μέτρα πρέπει να εξισορροπούνται με την ανάγκη προστασίας των ΜΜΕ που δραστηριοποιούνται σε τομείς όπου ο κίνδυνος καταχρηστικής υπεργολαβίας είναι χαμηλός και, σε αντίθεση με τους τομείς υψηλού κινδύνου, δεν υπάρχει ανάγκη περιορισμού των αλυσίδων υπεργολαβίας· λαμβάνοντας υπόψη ότι η από κοινού και εις ολόκληρον ευθύνη στις αλυσίδες υπεργολαβίας εξυπηρετεί τον διττό στόχο της παροχής προσφυγής σε εργαζόμενους που έχουν υποστεί εκμετάλλευση και της παροχής κινήτρων στους αναδόχους σε ολόκληρη την αλυσίδα ώστε να περιορίζουν οικειοθελώς την έκταση και την πολυπλοκότητα της υπεργολαβίας·</w:t>
      </w:r>
    </w:p>
    <w:p w14:paraId="7FCD3F63" w14:textId="730A55D2" w:rsidR="00157EA6" w:rsidRPr="00937C43" w:rsidRDefault="00157EA6" w:rsidP="00157EA6">
      <w:pPr>
        <w:pStyle w:val="NormalHanging12a"/>
      </w:pPr>
      <w:r w:rsidRPr="00937C43">
        <w:t>Ι</w:t>
      </w:r>
      <w:r w:rsidR="008245D5">
        <w:t>Ε</w:t>
      </w:r>
      <w:r w:rsidRPr="00937C43">
        <w:t>.</w:t>
      </w:r>
      <w:r w:rsidRPr="00937C43">
        <w:tab/>
        <w:t>λαμβάνοντας υπόψη ότι ορισμένα κράτη μέλη έχουν θεσπίσει νομοθεσία που περιορίζει την έκταση των αλυσίδων υπεργολαβίας ή απαγορεύει πλήρως την υπεργολαβία σε ορισμένους τομείς</w:t>
      </w:r>
      <w:r w:rsidRPr="00937C43">
        <w:rPr>
          <w:rStyle w:val="FootnoteReference"/>
        </w:rPr>
        <w:footnoteReference w:id="23"/>
      </w:r>
      <w:r w:rsidRPr="00937C43">
        <w:t>, γεγονός που οδήγησε σε αύξηση του αριθμού των άμεσα απασχολούμενων εργαζομένων· λαμβάνοντας υπόψη ότι η Επιτροπή θεωρεί ότι ο περιορισμός του αριθμού των επιπέδων στις αλυσίδες υπεργολαβίας και/ή η επέκταση της ευθύνης των υπεργολάβων σε ολόκληρη την αλυσίδα θα μπορούσε να βοηθήσει τα κράτη μέλη, ως τους κύριους υπεύθυνους φορείς για την επιβολή των κανόνων σχετικά με την απόσπαση εργαζομένων, και, κατά περίπτωση, τους κοινωνικούς εταίρους, να αυξήσουν τη διαφάνεια και την ευθύνη στις αλυσίδες υπεργολαβίας με αναλογικό και χωρίς διακρίσεις τρόπο</w:t>
      </w:r>
      <w:r w:rsidRPr="00937C43">
        <w:rPr>
          <w:rStyle w:val="FootnoteReference"/>
        </w:rPr>
        <w:footnoteReference w:id="24"/>
      </w:r>
      <w:r w:rsidRPr="00937C43">
        <w:t>· λαμβάνοντας υπόψη ότι υπάρχουν κάποιες επιχειρήσεις που έχουν περιορίσει οικειοθελώς την έκταση των αλυσίδων υπεργολαβίας τους·</w:t>
      </w:r>
    </w:p>
    <w:p w14:paraId="0005BDE4" w14:textId="6E8B501F" w:rsidR="00157EA6" w:rsidRPr="00937C43" w:rsidRDefault="00157EA6" w:rsidP="00157EA6">
      <w:pPr>
        <w:pStyle w:val="NormalHanging12a"/>
      </w:pPr>
      <w:r w:rsidRPr="00937C43">
        <w:t>Ι</w:t>
      </w:r>
      <w:r w:rsidR="008245D5">
        <w:t>ΣΤ</w:t>
      </w:r>
      <w:r w:rsidRPr="00937C43">
        <w:t>.</w:t>
      </w:r>
      <w:r w:rsidRPr="00937C43">
        <w:tab/>
        <w:t>λαμβάνοντας υπόψη ότι η πρακτική της εργασιακής μεσολάβησης δεν ορίζεται στο δίκαιο της ΕΕ, με εξαίρεση την εργασία μέσω εταιρείας προσωρινής απασχόλησης</w:t>
      </w:r>
      <w:r w:rsidRPr="00937C43">
        <w:rPr>
          <w:rStyle w:val="FootnoteReference"/>
        </w:rPr>
        <w:footnoteReference w:id="25"/>
      </w:r>
      <w:r w:rsidRPr="00937C43">
        <w:t xml:space="preserve">· λαμβάνοντας υπόψη ότι η εργασιακή μεσολάβηση μπορεί να λάβει πολλές μορφές, οι </w:t>
      </w:r>
      <w:r w:rsidRPr="00937C43">
        <w:lastRenderedPageBreak/>
        <w:t>οποίες καλύπτουν από εδραιωμένες εταιρείες έως μεμονωμένους υπεύθυνους προσλήψεων· λαμβάνοντας υπόψη ότι ακόμη και άτυποι μεσίτες και μεσάζοντες εποχικά εργαζομένων μπορεί να είναι συγκεκαλυμμένοι ως μεσάζοντες της αγοράς εργασίας·</w:t>
      </w:r>
    </w:p>
    <w:p w14:paraId="7752904B" w14:textId="718DB8C2" w:rsidR="00157EA6" w:rsidRPr="00937C43" w:rsidRDefault="00157EA6" w:rsidP="00157EA6">
      <w:pPr>
        <w:pStyle w:val="NormalHanging12a"/>
      </w:pPr>
      <w:r w:rsidRPr="00937C43">
        <w:t>Ι</w:t>
      </w:r>
      <w:r w:rsidR="008245D5">
        <w:t>Ζ</w:t>
      </w:r>
      <w:r w:rsidRPr="00937C43">
        <w:t>.</w:t>
      </w:r>
      <w:r w:rsidRPr="00937C43">
        <w:tab/>
        <w:t>λαμβάνοντας υπόψη ότι οι αθέμιτες εμπορικές πρακτικές, συμπεριλαμβανομένων των αγορών κάτω του κόστους της βιώσιμης παραγωγής, της επιβολής σύντομων χρόνων παράδοσης και των καθυστερημένων πληρωμών, προσδιορίζονται ως βασικοί παράγοντες που οδηγούν σε καταχρηστική υπεργολαβία· λαμβάνοντας υπόψη ότι οι ΜΜΕ που συμμετέχουν σε δημόσιες συμβάσεις μέσω υπεργολαβίας πλήττονται συχνά λόγω των καθυστερήσεων πληρωμών από τους κύριους αναδόχους·</w:t>
      </w:r>
    </w:p>
    <w:p w14:paraId="35767D7E" w14:textId="64F5E249" w:rsidR="00157EA6" w:rsidRPr="00937C43" w:rsidRDefault="008245D5" w:rsidP="00157EA6">
      <w:pPr>
        <w:pStyle w:val="NormalHanging12a"/>
      </w:pPr>
      <w:r>
        <w:t>ΙΗ</w:t>
      </w:r>
      <w:r w:rsidR="00157EA6" w:rsidRPr="00937C43">
        <w:t>.</w:t>
      </w:r>
      <w:r w:rsidR="00157EA6" w:rsidRPr="00937C43">
        <w:tab/>
        <w:t>λαμβάνοντας υπόψη ότι, σε τομείς με διαδεδομένη υπεργολαβία, η πρακτική της διασφάλισης της μεταφοράς των εργαζομένων με παράλληλη διατήρηση των δικαιωμάτων και των συνθηκών εργασίας τους όταν αλλάζει ο ανάδοχος, αποτελεί ουσιαστική εγγύηση για τη διασφάλιση της σταθερότητας της απασχόλησης, τον σεβασμό των προτύπων υγείας και ασφάλειας και την πρόληψη του κοινωνικού ντάμπινγκ·</w:t>
      </w:r>
    </w:p>
    <w:p w14:paraId="1DB90FEF" w14:textId="47F6F571" w:rsidR="00157EA6" w:rsidRPr="00937C43" w:rsidRDefault="008245D5" w:rsidP="00157EA6">
      <w:pPr>
        <w:pStyle w:val="NormalHanging12a"/>
      </w:pPr>
      <w:r>
        <w:t>ΙΘ</w:t>
      </w:r>
      <w:r w:rsidR="00157EA6" w:rsidRPr="00937C43">
        <w:t>.</w:t>
      </w:r>
      <w:r w:rsidR="00157EA6" w:rsidRPr="00937C43">
        <w:tab/>
        <w:t>λαμβάνοντας υπόψη ότι σε ορισμένες περιπτώσεις, μη ρυθμιζόμενοι ή συγκεκαλυμμένοι μεσάζοντες της αγοράς εργασίας χρησιμοποιούνται για την απόκρυψη και την καταστρατήγηση του εργατικού δικαίου και της ευθύνης του εργοδότη, ιδίως σε τομείς υψηλού κινδύνου· λαμβάνοντας υπόψη ότι οι καταχρηστικές πρακτικές πρόσληψης και μεσολάβησης συνδέονται συχνά με την παραποίηση ή την απόκρυψη πληροφοριών, τη μη παροχή γραπτών συμβάσεων, την επιβολή παράνομων τελών πρόσληψης, την αφαίρεση υπερβολικών εξόδων στέγασης από τους μισθούς, τη χρέωση των εργαζομένων για μεταφορά, κατάρτιση, εξοπλισμό ή άδειες εργασίας, την κατάσχεση διαβατηρίων ή τη χρήση αναγκαστικής εργασίας ή πρακτικών διάλυσης συνδικαλιστικών οργανώσεων· λαμβάνοντας υπόψη ότι οι βελτιωμένες και στοχευμένες επιθεωρήσεις εργασίας μπορούν να συμβάλουν στην καταπολέμηση τέτοιων παραβιάσεων·</w:t>
      </w:r>
    </w:p>
    <w:p w14:paraId="5FA51066" w14:textId="6832D19B" w:rsidR="00157EA6" w:rsidRPr="00937C43" w:rsidRDefault="00157EA6" w:rsidP="00157EA6">
      <w:pPr>
        <w:pStyle w:val="NormalHanging12a"/>
      </w:pPr>
      <w:r w:rsidRPr="00937C43">
        <w:t>Κ.</w:t>
      </w:r>
      <w:r w:rsidRPr="00937C43">
        <w:tab/>
        <w:t>λαμβάνοντας υπόψη ότι, ως απάντηση σε αυτές τις προκλήσεις, αρκετές χώρες της ΕΕ έχουν εγκρίνει εθνικά σχέδια δράσης και πολιτικές για την καταπολέμηση της εργασιακής εκμετάλλευσης, συμπεριλαμβανομένης της ανάληψης δράσης για την αντιμετώπιση των καταχρήσεων στις αλυσίδες υπεργολαβίας και από τους μεσάζοντες της αγοράς εργασίας</w:t>
      </w:r>
      <w:r w:rsidRPr="00937C43">
        <w:rPr>
          <w:rStyle w:val="FootnoteReference"/>
        </w:rPr>
        <w:footnoteReference w:id="26"/>
      </w:r>
      <w:r w:rsidRPr="00937C43">
        <w:t>·</w:t>
      </w:r>
    </w:p>
    <w:p w14:paraId="5A730B52" w14:textId="00A0142F" w:rsidR="00157EA6" w:rsidRPr="00937C43" w:rsidRDefault="00157EA6" w:rsidP="00157EA6">
      <w:pPr>
        <w:pStyle w:val="NormalHanging12a"/>
      </w:pPr>
      <w:r w:rsidRPr="00937C43">
        <w:t>Κ</w:t>
      </w:r>
      <w:r w:rsidR="008245D5">
        <w:t>Α</w:t>
      </w:r>
      <w:r w:rsidRPr="00937C43">
        <w:t>.</w:t>
      </w:r>
      <w:r w:rsidRPr="00937C43">
        <w:tab/>
        <w:t xml:space="preserve">λαμβάνοντας υπόψη ότι, ως απάντηση σε αυτές τις προκλήσεις, οι κοινωνικοί εταίροι σε ενωσιακό, εθνικό και τοπικό επίπεδο, καθώς και σε τομεακό και διατομεακό επίπεδο, έχουν λάβει μέτρα για την αντιμετώπιση ζητημάτων που σχετίζονται με την καταχρηστική υπεργολαβία και την καταχρηστική εργασιακή μεσολάβηση, μεταξύ </w:t>
      </w:r>
      <w:r w:rsidRPr="00937C43">
        <w:lastRenderedPageBreak/>
        <w:t>άλλων μέσω συλλογικών διαπραγματεύσεων καθώς και κοινών πρωτοβουλιών για τη διαφύλαξη των σοβαρών επιχειρήσεων και την προστασία των δικαιωμάτων των εργαζομένων·</w:t>
      </w:r>
    </w:p>
    <w:p w14:paraId="0A8622B5" w14:textId="1832FFA1" w:rsidR="00157EA6" w:rsidRPr="00937C43" w:rsidRDefault="00157EA6" w:rsidP="00157EA6">
      <w:pPr>
        <w:pStyle w:val="NormalHanging12a"/>
      </w:pPr>
      <w:r w:rsidRPr="00937C43">
        <w:t>Κ</w:t>
      </w:r>
      <w:r w:rsidR="008245D5">
        <w:t>Β</w:t>
      </w:r>
      <w:r w:rsidRPr="00937C43">
        <w:t>.</w:t>
      </w:r>
      <w:r w:rsidRPr="00937C43">
        <w:tab/>
        <w:t>λαμβάνοντας υπόψη ότι υπάρχει ήδη ειδική νομοθεσία που ρυθμίζει την υπεργολαβία στην πολιτική αεροπορία, συμπεριλαμβανομένων της μίσθωσης αεροσκαφών, πληρωμάτων και των υπηρεσιών συντήρησης και ασφάλισης, γνωστή και ως «πλήρης μίσθωση»· λαμβάνοντας υπόψη ότι η χρήση της πλήρους μίσθωσης έχει αυξηθεί και για σκοπούς άλλους πέραν της αρχικά προβλεπόμενης χρήσης της για την πλήρωση της δυναμικότητας κατά τη διάρκεια των περιόδων αιχμής· λαμβάνοντας υπόψη ότι η Επιτροπή θα πρέπει να αντιμετωπίσει τα προβλήματα που σχετίζονται με την πλήρη μίσθωση κατά την επικείμενη αναθεώρηση του κανονισμού για τις αεροπορικές υπηρεσίες</w:t>
      </w:r>
      <w:r w:rsidRPr="00937C43">
        <w:rPr>
          <w:rStyle w:val="FootnoteReference"/>
        </w:rPr>
        <w:footnoteReference w:id="27"/>
      </w:r>
      <w:r w:rsidRPr="00937C43">
        <w:t>·</w:t>
      </w:r>
    </w:p>
    <w:p w14:paraId="56EE2C08" w14:textId="778591F0" w:rsidR="00157EA6" w:rsidRPr="00937C43" w:rsidRDefault="00157EA6" w:rsidP="00157EA6">
      <w:pPr>
        <w:pStyle w:val="NormalHanging12a"/>
      </w:pPr>
      <w:r w:rsidRPr="00937C43">
        <w:t>Κ</w:t>
      </w:r>
      <w:r w:rsidR="008245D5">
        <w:t>Γ</w:t>
      </w:r>
      <w:r w:rsidRPr="00937C43">
        <w:t>.</w:t>
      </w:r>
      <w:r w:rsidRPr="00937C43">
        <w:tab/>
        <w:t>λαμβάνοντας υπόψη ότι η Επιτροπή επισημαίνει το νορβηγικό μοντέλο Skien</w:t>
      </w:r>
      <w:r w:rsidRPr="00937C43">
        <w:rPr>
          <w:rStyle w:val="FootnoteReference"/>
        </w:rPr>
        <w:footnoteReference w:id="28"/>
      </w:r>
      <w:r w:rsidRPr="00937C43">
        <w:t>, το οποίο αναπτύχθηκε από κοινού μεταξύ του δήμου Skien, των συνδικαλιστικών οργανώσεων και των εργοδοτικών οργανώσεων, και περιλαμβάνει αυστηρούς περιορισμούς στα μακρά επίπεδα υπεργολαβίας και προέγκριση της προσωρινής εργασίας, με στόχο τη διασφάλιση λογοδοσίας και αξιοπρεπών συνθηκών εργασίας σε τομείς υψηλού κινδύνου·</w:t>
      </w:r>
    </w:p>
    <w:p w14:paraId="0A1C042E" w14:textId="5A3C9058" w:rsidR="00157EA6" w:rsidRPr="00937C43" w:rsidRDefault="00157EA6" w:rsidP="00157EA6">
      <w:pPr>
        <w:pStyle w:val="NormalHanging12a"/>
      </w:pPr>
      <w:r w:rsidRPr="00937C43">
        <w:t>Κ</w:t>
      </w:r>
      <w:r w:rsidR="008245D5">
        <w:t>Δ</w:t>
      </w:r>
      <w:r w:rsidRPr="00937C43">
        <w:t>.</w:t>
      </w:r>
      <w:r w:rsidRPr="00937C43">
        <w:tab/>
        <w:t>λαμβάνοντας υπόψη ότι τα κράτη μέλη, η Επιτροπή και οι κοινωνικοί εταίροι που συμμετείχαν στη διακήρυξη La Hulpe δεσμεύτηκαν να δώσουν ιδιαίτερη προσοχή σε μέτρα στους τομείς της υπεργολαβίας και της εργασίας μέσω εταιρειών απασχόλησης, αναγνωρίζοντας τις κοινές προκλήσεις που παρουσιάζουν αυτά τα δύο φαινόμενα για τις ευρωπαϊκές αγορές εργασίας· λαμβάνοντας υπόψη ότι η έκθεση Letta υπογραμμίζει την επείγουσα ανάγκη ρύθμισης των πρακτικών υπεργολαβίας προκειμένου να αποτραπεί η εκμετάλλευση και η κατάχρηση· λαμβάνοντας υπόψη ότι η έκθεση προειδοποιεί ότι οι ανεξέλεγκτες αλυσίδες υπεργολαβίας μπορούν να οδηγήσουν σε διάβρωση των εργασιακών προτύπων, κοινωνικό ντάμπινγκ και υπονόμευση του θεμιτού ανταγωνισμού, καθώς και σε παραβιάσεις των υποχρεώσεων για την υγεία και την ασφάλεια·</w:t>
      </w:r>
    </w:p>
    <w:p w14:paraId="6FD900F2" w14:textId="607A74A1" w:rsidR="00157EA6" w:rsidRPr="00937C43" w:rsidRDefault="00157EA6" w:rsidP="00157EA6">
      <w:pPr>
        <w:pStyle w:val="NormalHanging12a"/>
      </w:pPr>
      <w:r w:rsidRPr="00937C43">
        <w:t>Κ</w:t>
      </w:r>
      <w:r w:rsidR="008245D5">
        <w:t>Ε</w:t>
      </w:r>
      <w:r w:rsidRPr="00937C43">
        <w:t>.</w:t>
      </w:r>
      <w:r w:rsidRPr="00937C43">
        <w:tab/>
        <w:t>λαμβάνοντας υπόψη ότι το άρθρο 12 παράγραφος 2 της οδηγίας 2014/67/ΕΕ υποχρεώνει τα κράτη μέλη να καθιερώσουν την ευθύνη των υπεργολάβων στο πλαίσιο της απόσπασης εργαζομένων στον κατασκευαστικό τομέα, και ότι το άρθρο 12 παράγραφος 1 παρέχει στα κράτη μέλη τη δυνατότητα να επεκτείνουν αυτή τη ρύθμιση και σε άλλους τομείς και να θεσπίσουν πιο αυστηρούς κανόνες για την ευθύνη·</w:t>
      </w:r>
    </w:p>
    <w:p w14:paraId="73063281" w14:textId="54D93D92" w:rsidR="00157EA6" w:rsidRPr="00937C43" w:rsidRDefault="00157EA6" w:rsidP="00157EA6">
      <w:pPr>
        <w:pStyle w:val="NormalHanging12a"/>
      </w:pPr>
      <w:r w:rsidRPr="00937C43">
        <w:t>Κ</w:t>
      </w:r>
      <w:r w:rsidR="008245D5">
        <w:t>ΣΤ</w:t>
      </w:r>
      <w:r w:rsidRPr="00937C43">
        <w:t>.</w:t>
      </w:r>
      <w:r w:rsidRPr="00937C43">
        <w:tab/>
        <w:t xml:space="preserve">λαμβάνοντας υπόψη ότι τα περισσότερα κράτη μέλη διαθέτουν ορισμένους κανόνες σχετικά με τις αλυσίδες υπεργολαβίας και τους μεσάζοντες της αγοράς εργασίας με βάση της εθνικές ιδιαιτερότητες· λαμβάνοντας, ωστόσο, υπόψη ότι το επίπεδο ρύθμισης </w:t>
      </w:r>
      <w:r w:rsidRPr="00937C43">
        <w:lastRenderedPageBreak/>
        <w:t>διαφέρει σημαντικά από το ένα κράτος μέλος στο άλλο, προκαλώντας έτσι κατακερματισμό στην ενιαία αγορά· λαμβάνοντας υπόψη ότι εξακολουθούν να υπάρχουν προκλήσεις λόγω των διαφορετικών ερμηνειών όσον αφορά την εφαρμογή των κανόνων της εσωτερικής αγοράς σχετικά με τη ρύθμιση των αλυσίδων υπεργολαβίας και των μεσαζόντων της αγοράς εργασίας· λαμβάνοντας υπόψη ότι η οδηγία 2014/24/ΕΕ όχι μόνο δεν παρέχει στις αναθέτουσες αρχές επαρκή εργαλεία για την αποτελεσματική αντιμετώπιση της μη εκτέλεσης δημόσιων συμβάσεων αλλά και παρεμποδίζει, σε ορισμένες περιπτώσεις, τις αρχές που επιθυμούν να λάβουν προληπτικά μέτρα·</w:t>
      </w:r>
    </w:p>
    <w:p w14:paraId="4FCC82F6" w14:textId="2D1BF843" w:rsidR="00157EA6" w:rsidRPr="00937C43" w:rsidRDefault="00157EA6" w:rsidP="00157EA6">
      <w:pPr>
        <w:pStyle w:val="NormalHanging12a"/>
      </w:pPr>
      <w:r w:rsidRPr="00937C43">
        <w:t>Κ</w:t>
      </w:r>
      <w:r w:rsidR="008245D5">
        <w:t>Ζ</w:t>
      </w:r>
      <w:r w:rsidRPr="00937C43">
        <w:t>.</w:t>
      </w:r>
      <w:r w:rsidRPr="00937C43">
        <w:tab/>
        <w:t>λαμβάνοντας υπόψη ότι η καταπολέμηση της αδήλωτης εργασίας, της εμπορίας ανθρώπων και της εργασιακής εκμετάλλευσης απαιτεί αυστηρές εργασιακές επιθεωρήσεις, διασυνοριακούς ελέγχους και αποτελεσματική αδειοδότηση ή καταχώριση των μεσαζόντων της αγοράς εργασίας· λαμβάνοντας υπόψη ότι η επιβολή των ισχυόντων κανόνων και η καλύτερη συνεργασία μεταξύ των κρατών μελών μπορούν να συμβάλουν στην αντιμετώπιση των προβλημάτων που συνδέονται με καταχρηστικές μορφές υπεργολαβίας και εργασιακής μεσολάβησης·</w:t>
      </w:r>
    </w:p>
    <w:p w14:paraId="73C8FA32" w14:textId="77777777" w:rsidR="00157EA6" w:rsidRPr="00937C43" w:rsidRDefault="00157EA6" w:rsidP="00157EA6">
      <w:pPr>
        <w:pStyle w:val="NormalHanging12a"/>
        <w:rPr>
          <w:b/>
          <w:i/>
          <w:iCs/>
        </w:rPr>
      </w:pPr>
      <w:r w:rsidRPr="00937C43">
        <w:rPr>
          <w:b/>
          <w:i/>
        </w:rPr>
        <w:t>Πρόληψη της εργασιακής εκμετάλλευσης</w:t>
      </w:r>
    </w:p>
    <w:p w14:paraId="00334069" w14:textId="3780D42E" w:rsidR="00157EA6" w:rsidRPr="00937C43" w:rsidRDefault="00DE6DBB" w:rsidP="00DE6DBB">
      <w:pPr>
        <w:pStyle w:val="NormalHanging12a"/>
        <w:ind w:hanging="570"/>
      </w:pPr>
      <w:r w:rsidRPr="00937C43">
        <w:t>1.</w:t>
      </w:r>
      <w:r w:rsidRPr="00937C43">
        <w:tab/>
      </w:r>
      <w:r w:rsidR="00157EA6" w:rsidRPr="00937C43">
        <w:t>τονίζει την ανάγκη για μια ολοκληρωμένη προσέγγιση της ΕΕ για την αντιμετώπιση της εργασιακής εκμετάλλευσης, συμπεριλαμβανομένης της παράνομης εργασίας και του οργανωμένου εγκλήματος που συνδέεται με αυτήν, καθώς και των καταχρηστικών μορφών επιχειρηματικών πρακτικών, ιδίως της καταχρηστικής υπεργολαβίας και της καταχρηστικής εργασιακής μεσολάβησης· ζητεί, ως εκ τούτου, μια στρατηγική της ΕΕ για την καταπολέμηση αυτών των προβλημάτων, ο αντίκτυπος των οποίων μπορεί να διαφέρει μεταξύ των κρατών μελών και μεταξύ των τομέων· τονίζει ότι η εργασιακή εκμετάλλευση δεν συνιστά μόνο παραβίαση των δικαιωμάτων των εργαζομένων και των ανθρωπίνων δικαιωμάτων, αλλά υπονομεύει και τον θεμιτό ανταγωνισμό για τις επιχειρήσεις· χαιρετίζει, στο πλαίσιο αυτό, τη δέσμευση της Επιτροπής να παρουσιάσει μια δέσμη μέτρων για τη δίκαιη κινητικότητα το 2026· υπενθυμίζει ότι οι γενικοί στόχοι της ενίσχυσης της ανταγωνιστικότητας των ευρωπαϊκών εταιρειών, της απλούστευσης και της μείωσης του περιττού διοικητικού φόρτου δεν πρέπει να οδηγήσουν σε χαμηλότερο επίπεδο προστασίας των εργαζομένων· τονίζει την ανάγκη για αυστηρότερη επιβολή της ισχύουσας εργατικής νομοθεσίας, ώστε να διασφαλιστούν η αποτελεσματική προστασία των δικαιωμάτων των εργαζομένων και οι ισότιμοι όροι ανταγωνισμού στην ενιαία αγορά·</w:t>
      </w:r>
    </w:p>
    <w:p w14:paraId="493AB384" w14:textId="0EB4572B" w:rsidR="00157EA6" w:rsidRPr="00937C43" w:rsidRDefault="00DE6DBB" w:rsidP="00DE6DBB">
      <w:pPr>
        <w:pStyle w:val="NormalHanging12a"/>
        <w:ind w:hanging="570"/>
      </w:pPr>
      <w:r w:rsidRPr="00937C43">
        <w:t>2.</w:t>
      </w:r>
      <w:r w:rsidRPr="00937C43">
        <w:tab/>
      </w:r>
      <w:r w:rsidR="00157EA6" w:rsidRPr="00937C43">
        <w:t>υπενθυμίζει τις προκλήσεις που αντιμετωπίζουν ορισμένα κράτη μέλη, λόγω των διαφορετικών ερμηνειών των κανόνων της ενιαίας αγοράς, όσον αφορά τη ρύθμιση της υπεργολαβίας σε εθνικό επίπεδο, για παράδειγμα, μέσω του περιορισμού του μήκους των αλυσίδων υπεργολαβίας, της από κοινού και εις ολόκληρον ευθύνης και των απαιτήσεων για την άμεση απασχόληση· καλεί την Επιτροπή να αποσαφηνίσει τις δυνατότητες για τα κράτη μέλη να εγκρίνουν νομοθεσία που είναι αναλογική για την αντιμετώπιση των κινδύνων και των προβλημάτων που απορρέουν από τις μακρές και πολύπλοκες αλυσίδες υπεργολαβίας· καλεί την Επιτροπή να εντείνει τις προσπάθειες για την καταπολέμηση της εργασιακής εκμετάλλευσης·</w:t>
      </w:r>
    </w:p>
    <w:p w14:paraId="317F646A" w14:textId="1E32675F" w:rsidR="00157EA6" w:rsidRPr="00937C43" w:rsidRDefault="00DE6DBB" w:rsidP="00DE6DBB">
      <w:pPr>
        <w:pStyle w:val="NormalHanging12a"/>
        <w:ind w:hanging="570"/>
      </w:pPr>
      <w:r w:rsidRPr="00937C43">
        <w:t>3.</w:t>
      </w:r>
      <w:r w:rsidRPr="00937C43">
        <w:tab/>
      </w:r>
      <w:r w:rsidR="00157EA6" w:rsidRPr="00937C43">
        <w:t xml:space="preserve">επαναλαμβάνει την έκκλησή του προς την Επιτροπή, προκειμένου να δοθεί τέλος στην καταχρηστική υπεργολαβία, να προστατευθούν τα δικαιώματα των εργαζομένων και να </w:t>
      </w:r>
      <w:r w:rsidR="00157EA6" w:rsidRPr="00937C43">
        <w:lastRenderedPageBreak/>
        <w:t>ενισχυθεί η διαφάνεια και η λογοδοσία σε ολόκληρη την εφοδιαστική αλυσίδα</w:t>
      </w:r>
      <w:r w:rsidR="00157EA6" w:rsidRPr="00937C43">
        <w:rPr>
          <w:rStyle w:val="FootnoteReference"/>
        </w:rPr>
        <w:footnoteReference w:id="29"/>
      </w:r>
      <w:r w:rsidR="00157EA6" w:rsidRPr="00937C43">
        <w:t>·</w:t>
      </w:r>
    </w:p>
    <w:p w14:paraId="7F3C137E" w14:textId="0E459359" w:rsidR="00157EA6" w:rsidRPr="00937C43" w:rsidRDefault="00DE6DBB" w:rsidP="00DE6DBB">
      <w:pPr>
        <w:pStyle w:val="NormalHanging12a"/>
        <w:ind w:hanging="570"/>
      </w:pPr>
      <w:r w:rsidRPr="00937C43">
        <w:t>4.</w:t>
      </w:r>
      <w:r w:rsidRPr="00937C43">
        <w:tab/>
      </w:r>
      <w:r w:rsidR="00157EA6" w:rsidRPr="00937C43">
        <w:t>τονίζει ότι κάθε πρωτοβουλία σε επίπεδο ΕΕ που αποσκοπεί στην αντιμετώπιση της εργασιακής εκμετάλλευσης και των πολύπλοκων αλυσίδων υπεργολαβίας θα πρέπει να λαμβάνει υπόψη τις βέλτιστες πρακτικές των κρατών μελών, να αναπτύσσεται σε στενή συνεργασία με τους κοινωνικούς εταίρους, συμπεριλαμβανομένων των ευρωπαϊκών επιτροπών κλαδικού κοινωνικού διαλόγου (CDSS), και να προσαρμόζεται σε συγκεκριμένες πραγματικότητες ανά τομέα· υπενθυμίζει ότι οποιαδήποτε τομεακά μέτρα και πρωτοβουλίες, συμπεριλαμβανομένης της από κοινού και εις ολόκληρον ευθύνης σε τομείς υψηλού κινδύνου, πρέπει να συμμορφώνονται με το δίκαιο της ΕΕ και να μη δημιουργούν περιττά εμπόδια στις διασυνοριακές επιχειρηματικές δραστηριότητες· υπογραμμίζει ότι τα ειδικά τομεακά μέτρα και πρωτοβουλίες μπορούν επίσης να προβλέπουν λιγότερο αυστηρές κανονιστικές απαιτήσεις για τις εταιρείες σε τομείς χαμηλού κινδύνου·</w:t>
      </w:r>
    </w:p>
    <w:p w14:paraId="3EC4B293" w14:textId="4505E596" w:rsidR="00157EA6" w:rsidRPr="00937C43" w:rsidRDefault="00DE6DBB" w:rsidP="00DE6DBB">
      <w:pPr>
        <w:pStyle w:val="NormalHanging12a"/>
        <w:ind w:hanging="570"/>
      </w:pPr>
      <w:r w:rsidRPr="00937C43">
        <w:t>5.</w:t>
      </w:r>
      <w:r w:rsidRPr="00937C43">
        <w:tab/>
      </w:r>
      <w:r w:rsidR="00157EA6" w:rsidRPr="00937C43">
        <w:t>επισημαίνει ότι η αρχή της από κοινού και εις ολόκληρον ευθύνης μπορεί να διασφαλίσει ότι ο κύριος ανάδοχος φέρει τη συνολική ευθύνη για τις υπηρεσίες που παρέχονται σε ολόκληρη την αλυσίδα υπεργολαβίας· θεωρεί ότι μια τέτοια αρχή μπορεί να εγγυηθεί ότι η ποιότητα, η απόδοση και η συμμόρφωση με τα εργασιακά και κοινωνικά πρότυπα και τα πρότυπα ασφάλειας διασφαλίζονται συμβατικά σε όλα τα επίπεδα της αλυσίδας υπεργολαβίας· σημειώνει ότι αρκετά κράτη μέλη έχουν αποφασίσει να θεσπίσουν αυστηρότερους κανόνες περί ευθύνης στις αλυσίδες υπεργολαβίας από τους ελάχιστους που ορίζονται στο άρθρο 12 της οδηγίας 2014/67/ΕΕ·</w:t>
      </w:r>
    </w:p>
    <w:p w14:paraId="1B03772A" w14:textId="12D9B51D" w:rsidR="00157EA6" w:rsidRPr="00937C43" w:rsidRDefault="00DE6DBB" w:rsidP="00DE6DBB">
      <w:pPr>
        <w:pStyle w:val="NormalHanging12a"/>
        <w:ind w:hanging="570"/>
      </w:pPr>
      <w:r w:rsidRPr="00937C43">
        <w:t>6.</w:t>
      </w:r>
      <w:r w:rsidRPr="00937C43">
        <w:tab/>
      </w:r>
      <w:r w:rsidR="00157EA6" w:rsidRPr="00937C43">
        <w:t>καλεί την Επιτροπή και τα κράτη μέλη να αντιμετωπίσουν τις πρακτικές βάσει των οποίων ο κύριος ανάδοχος αναθέτει υπεργολαβικά όλες τις εργασίες χωρίς να εκτελεί ο ίδιος καμία εργασία, γνωστή και ως «οικονομική υπεργολαβία»· υπογραμμίζει ότι οι κύριοι ανάδοχοι θα πρέπει να εκτελούν οι ίδιοι ένα καθορισμένο μέρος της σύμβασης· επαναλαμβάνει, στο πλαίσιο αυτό, την έκκλησή του προς την Επιτροπή να αξιολογήσει τον αντίκτυπο των δημόσιων συμβάσεων που εκτελούνται κυρίως από άμεσους εργαζόμενους του επιτυχόντος προσφέροντος και συνιστά οι κανόνες για τις δημόσιες συμβάσεις να ενθαρρύνουν τις εταιρείες να διαθέτουν επαρκές εσωτερικό προσωπικό ώστε να υλοποιούν τα έργα για τα οποία τους ανατίθενται δημόσιες συμβάσεις</w:t>
      </w:r>
      <w:r w:rsidR="00157EA6" w:rsidRPr="00937C43">
        <w:rPr>
          <w:rStyle w:val="FootnoteReference"/>
        </w:rPr>
        <w:footnoteReference w:id="30"/>
      </w:r>
      <w:r w:rsidR="00157EA6" w:rsidRPr="00937C43">
        <w:t>·</w:t>
      </w:r>
    </w:p>
    <w:p w14:paraId="6EFF3DDA" w14:textId="7A6BC10B" w:rsidR="00157EA6" w:rsidRPr="00937C43" w:rsidRDefault="00DE6DBB" w:rsidP="00DE6DBB">
      <w:pPr>
        <w:pStyle w:val="NormalHanging12a"/>
        <w:ind w:hanging="570"/>
      </w:pPr>
      <w:r w:rsidRPr="00937C43">
        <w:t>7.</w:t>
      </w:r>
      <w:r w:rsidRPr="00937C43">
        <w:tab/>
      </w:r>
      <w:r w:rsidR="00157EA6" w:rsidRPr="00937C43">
        <w:t>καλεί την Επιτροπή και τα κράτη μέλη να αντιμετωπίσουν τις παράνομες πρακτικές στις αλυσίδες υπεργολαβίας, προκειμένου να διασφαλιστούν η ανταγωνιστικότητα των επιχειρήσεων και δίκαιες και ασφαλείς συνθήκες εργασίας· ενθαρρύνει, στο πλαίσιο αυτό, τις άμεσες εργασιακές σχέσεις σε τομείς υψηλού κινδύνου, όπου αυτό είναι εφικτό, δικαιολογημένο, αναλογικό και βασίζεται σε επιτακτικούς λόγους δημοσίου συμφέροντος, όπως η προστασία των εργαζομένων και των δικαιωμάτων τους·</w:t>
      </w:r>
    </w:p>
    <w:p w14:paraId="50F4CBDB" w14:textId="77BBCB1B" w:rsidR="00157EA6" w:rsidRPr="00937C43" w:rsidRDefault="00DE6DBB" w:rsidP="00DE6DBB">
      <w:pPr>
        <w:pStyle w:val="NormalHanging12a"/>
        <w:ind w:hanging="570"/>
      </w:pPr>
      <w:r w:rsidRPr="00937C43">
        <w:t>8.</w:t>
      </w:r>
      <w:r w:rsidRPr="00937C43">
        <w:tab/>
      </w:r>
      <w:r w:rsidR="00157EA6" w:rsidRPr="00937C43">
        <w:t xml:space="preserve">καλεί την Επιτροπή και τα κράτη μέλη να ενθαρρύνουν τη συμπερίληψη διατάξεων σχετικών με τα οφέλη για την κοινότητα στις δημόσιες συμβάσεις και στα έργα που χρηματοδοτούνται από την ΕΕ, όπως για παράδειγμα η απαίτηση προς τους αναδόχους και τους υπεργολάβους να συμβάλουν στην ανάπτυξη τοπικών δεξιοτήτων ή σε </w:t>
      </w:r>
      <w:r w:rsidR="00157EA6" w:rsidRPr="00937C43">
        <w:lastRenderedPageBreak/>
        <w:t>πρωτοβουλίες κοινωνικής ένταξης, δημιουργώντας έτσι θετικές δευτερογενείς επιπτώσεις από τις δημόσιες επενδύσεις·</w:t>
      </w:r>
    </w:p>
    <w:p w14:paraId="5A3D6D8B" w14:textId="5A6BE1A1" w:rsidR="00157EA6" w:rsidRPr="00937C43" w:rsidRDefault="00DE6DBB" w:rsidP="00DE6DBB">
      <w:pPr>
        <w:pStyle w:val="NormalHanging12a"/>
        <w:ind w:hanging="570"/>
      </w:pPr>
      <w:r w:rsidRPr="00937C43">
        <w:t>9.</w:t>
      </w:r>
      <w:r w:rsidRPr="00937C43">
        <w:tab/>
      </w:r>
      <w:r w:rsidR="00157EA6" w:rsidRPr="00937C43">
        <w:t>τονίζει ότι οι εθνικές και περιφερειακές πρωτοβουλίες που περιορίζουν τα επίπεδα υπεργολαβίας ξεκινούν συχνά από κοινού από τους κοινωνικούς εταίρους, συμπεριλαμβανομένων των εκπροσώπων των ΜΜΕ· τονίζει ότι οι πρωτοβουλίες αυτές θα πρέπει να γίνονται σεβαστές, ενώ οι περιορισμοί στην υπεργολαβία πρέπει να είναι αναλογικοί·</w:t>
      </w:r>
    </w:p>
    <w:p w14:paraId="01A0574D" w14:textId="4251E285" w:rsidR="00157EA6" w:rsidRPr="00937C43" w:rsidRDefault="00DE6DBB" w:rsidP="00DE6DBB">
      <w:pPr>
        <w:pStyle w:val="NormalHanging12a"/>
        <w:ind w:hanging="570"/>
      </w:pPr>
      <w:r w:rsidRPr="00937C43">
        <w:t>10.</w:t>
      </w:r>
      <w:r w:rsidRPr="00937C43">
        <w:tab/>
      </w:r>
      <w:r w:rsidR="00157EA6" w:rsidRPr="00937C43">
        <w:t>σημειώνει ότι το μήκος και η πολυπλοκότητα των αλυσίδων υπεργολαβίας αποτελούν σημαντική πρόκληση για τις επιθεωρήσεις εργασίας όσον αφορά τον καθορισμό της νομικής ευθύνης για παραβιάσεις του εργατικού δικαίου, η οποία πρέπει να αντιμετωπιστεί·</w:t>
      </w:r>
    </w:p>
    <w:p w14:paraId="7F41C45D" w14:textId="3B3383BE" w:rsidR="00157EA6" w:rsidRPr="00937C43" w:rsidRDefault="00DE6DBB" w:rsidP="00DE6DBB">
      <w:pPr>
        <w:pStyle w:val="NormalHanging12a"/>
        <w:ind w:hanging="570"/>
      </w:pPr>
      <w:r w:rsidRPr="00937C43">
        <w:t>11.</w:t>
      </w:r>
      <w:r w:rsidRPr="00937C43">
        <w:tab/>
      </w:r>
      <w:r w:rsidR="00157EA6" w:rsidRPr="00937C43">
        <w:t>τονίζει τη σημασία της συμπερίληψης διατάξεων που λαμβάνουν υπόψη τη διάσταση του φύλου σε κάθε νέο πλαίσιο·</w:t>
      </w:r>
    </w:p>
    <w:p w14:paraId="1917281D" w14:textId="61815F57" w:rsidR="00157EA6" w:rsidRPr="00937C43" w:rsidRDefault="00DE6DBB" w:rsidP="00DE6DBB">
      <w:pPr>
        <w:pStyle w:val="NormalHanging12a"/>
        <w:ind w:hanging="570"/>
      </w:pPr>
      <w:r w:rsidRPr="00937C43">
        <w:t>12.</w:t>
      </w:r>
      <w:r w:rsidRPr="00937C43">
        <w:tab/>
      </w:r>
      <w:r w:rsidR="00157EA6" w:rsidRPr="00937C43">
        <w:t>υπογραμμίζει ότι, προκειμένου να περιοριστεί ο κατακερματισμός της ενιαίας αγοράς, οι τομείς υψηλού κινδύνου θα πρέπει να καθοριστούν από την Επιτροπή σε στενή συνεργασία με τα κράτη μέλη και τους κοινωνικούς εταίρους, συμπεριλαμβανομένων των επιτροπών κλαδικού κοινωνικού διαλόγου· τονίζει ότι τα κράτη μέλη μπορούν να ζητήσουν από την Επιτροπή να τους επιτρέψει να προσαρμόσουν, όπου απαιτείται, τον κοινό κατάλογο των τομέων υψηλού κινδύνου στην ιδιαίτερη εθνική τους κατάσταση, προκειμένου να διασφαλιστεί η καλύτερη δυνατή προσέγγιση για την αντιμετώπιση της καταχρηστικής υπεργολαβίας, της εργασιακής εκμετάλλευσης και του εγκλήματος που σχετίζεται με την εργασία· υπογραμμίζει ότι κάθε προσδιορισμός και προσαρμογή των τομέων υψηλού κινδύνου θα πρέπει να βασίζεται σε ακριβή και επικαιροποιημένα δεδομένα·</w:t>
      </w:r>
    </w:p>
    <w:p w14:paraId="286A9703" w14:textId="082DD642" w:rsidR="00157EA6" w:rsidRPr="00937C43" w:rsidRDefault="00DE6DBB" w:rsidP="00DE6DBB">
      <w:pPr>
        <w:pStyle w:val="NormalHanging12a"/>
        <w:ind w:hanging="570"/>
      </w:pPr>
      <w:r w:rsidRPr="00937C43">
        <w:t>13.</w:t>
      </w:r>
      <w:r w:rsidRPr="00937C43">
        <w:tab/>
      </w:r>
      <w:r w:rsidR="00157EA6" w:rsidRPr="00937C43">
        <w:t>σημειώνει ότι η χρήση της υπεργολαβίας για την εκτέλεση βασικών επιχειρηματικών δραστηριοτήτων μπορεί να οδηγήσει σε κατακερματισμένους και επισφαλείς χώρους εργασίας, μειωμένη διαφάνεια και λογοδοσία και μεγαλύτερη έκθεση των εργαζομένων σε περισσότερες ώρες εργασίας, χαμηλότερους μισθούς και άλλες παραβιάσεις του εργατικού δικαίου, καθώς και σε εργασιακή ανασφάλεια και επισφάλεια</w:t>
      </w:r>
      <w:r w:rsidR="00157EA6" w:rsidRPr="00937C43">
        <w:rPr>
          <w:rStyle w:val="FootnoteReference"/>
        </w:rPr>
        <w:footnoteReference w:id="31"/>
      </w:r>
      <w:r w:rsidR="00157EA6" w:rsidRPr="00937C43">
        <w:t>· τονίζει ότι, σύμφωνα με την οδηγία 2002/14/ΕΚ</w:t>
      </w:r>
      <w:r w:rsidR="00157EA6" w:rsidRPr="00937C43">
        <w:rPr>
          <w:rStyle w:val="FootnoteReference"/>
        </w:rPr>
        <w:footnoteReference w:id="32"/>
      </w:r>
      <w:r w:rsidR="00157EA6" w:rsidRPr="00937C43">
        <w:t xml:space="preserve">, οι εκπρόσωποι των εργαζομένων πρέπει να ενημερώνονται και να ζητείται η γνώμη τους σχετικά με αποφάσεις που ενδέχεται να οδηγήσουν σε σημαντικές αλλαγές στην οργάνωση της εργασίας ή στις συμβατικές σχέσεις· καλεί την Επιτροπή και τα κράτη μέλη να διασφαλίσουν την αρχή της ίσης </w:t>
      </w:r>
      <w:r w:rsidR="00157EA6" w:rsidRPr="00937C43">
        <w:lastRenderedPageBreak/>
        <w:t>μεταχείρισης, καθώς και αξιοπρεπείς συνθήκες εργασίας για όλους τους εργαζόμενους·</w:t>
      </w:r>
    </w:p>
    <w:p w14:paraId="1C300397" w14:textId="3C1EE46C" w:rsidR="00157EA6" w:rsidRPr="00937C43" w:rsidRDefault="00DE6DBB" w:rsidP="00DE6DBB">
      <w:pPr>
        <w:pStyle w:val="NormalHanging12a"/>
        <w:ind w:hanging="570"/>
      </w:pPr>
      <w:r w:rsidRPr="00937C43">
        <w:t>14.</w:t>
      </w:r>
      <w:r w:rsidRPr="00937C43">
        <w:tab/>
      </w:r>
      <w:r w:rsidR="00157EA6" w:rsidRPr="00937C43">
        <w:t>εκφράζει την ανησυχία του για την έλλειψη νομικής σαφήνειας όσον αφορά τη διαφοροποίηση μεταξύ πραγματικών και πλασματικών αποσπάσεων υπηκόων τρίτων χωρών, καθώς και για την κατάχρηση του δικαίου της ΕΕ σχετικά με την παροχή υπηρεσιών με σκοπό την καταστρατήγηση των κανόνων για τη μετανάστευση και του εθνικού εργατικού δικαίου· τονίζει ότι οι δόλιες αποσπάσεις διαβρώνουν τον κοινωνικό ιστό της ενιαίας αγοράς και εκμεταλλεύονται την κατάσταση των πλέον ευάλωτων ατόμων· καλεί την Επιτροπή, σύμφωνα με την έκθεση Letta, να επανεξετάσει τις προκλήσεις που αφορούν την επιβολή, ιδίως με όρους διασυνοριακής συνεργασίας, και να λάβει τα κατάλληλα μέτρα για τον τερματισμό των αποσπάσεων χωρίς πραγματική σύνδεση των εργαζομένων με το κράτος μέλος αποστολής· υπενθυμίζει το γενικό συμπέρασμα των εκθέσεων Letta και Draghi σχετικά με την ανάγκη ενίσχυσης της ανταγωνιστικότητας της ενιαίας αγοράς·</w:t>
      </w:r>
    </w:p>
    <w:p w14:paraId="790685DA" w14:textId="4E4EB266" w:rsidR="00157EA6" w:rsidRPr="00937C43" w:rsidRDefault="00DE6DBB" w:rsidP="00DE6DBB">
      <w:pPr>
        <w:pStyle w:val="NormalHanging12a"/>
        <w:ind w:hanging="570"/>
      </w:pPr>
      <w:r w:rsidRPr="00937C43">
        <w:t>15.</w:t>
      </w:r>
      <w:r w:rsidRPr="00937C43">
        <w:tab/>
      </w:r>
      <w:r w:rsidR="00157EA6" w:rsidRPr="00937C43">
        <w:t>σημειώνει με ανησυχία τους κινδύνους που σχετίζονται με την απόσπαση όταν αυτή συνδυάζεται με καταχρηστικές μορφές υπεργολαβίας και εργασιακής μεσολάβησης· καλεί την ΕΑΕ να εξετάσει τη χρήση των μεσαζόντων της αγοράς εργασίας στο πλαίσιο των αποσπάσεων, συμπεριλαμβανομένου του κινδύνου χρήσης αυτών των ρυθμίσεων για την αποφυγή ευθυνών, την καταστρατήγηση των υποχρεώσεων κοινωνικής ασφάλισης και τη διάβρωση των προτύπων υγείας και ασφάλειας· καλεί την Επιτροπή να αντιμετωπίσει κάθε πιθανή κατάχρηση της οδηγίας για την εργασία μέσω εταιρείας προσωρινής απασχόλησης</w:t>
      </w:r>
      <w:r w:rsidR="00157EA6" w:rsidRPr="00937C43">
        <w:rPr>
          <w:rStyle w:val="FootnoteReference"/>
        </w:rPr>
        <w:footnoteReference w:id="33"/>
      </w:r>
      <w:r w:rsidR="00157EA6" w:rsidRPr="00937C43">
        <w:t xml:space="preserve"> στο πλαίσιο της απόσπασης εργαζομένων·</w:t>
      </w:r>
    </w:p>
    <w:p w14:paraId="0A49FFC6" w14:textId="32F3CEBB" w:rsidR="00157EA6" w:rsidRPr="00937C43" w:rsidRDefault="00DE6DBB" w:rsidP="00DE6DBB">
      <w:pPr>
        <w:pStyle w:val="NormalHanging12a"/>
        <w:ind w:hanging="570"/>
      </w:pPr>
      <w:r w:rsidRPr="00937C43">
        <w:t>16.</w:t>
      </w:r>
      <w:r w:rsidRPr="00937C43">
        <w:tab/>
      </w:r>
      <w:r w:rsidR="00157EA6" w:rsidRPr="00937C43">
        <w:t>τονίζει ότι η στέγαση που παρέχεται σε εργαζόμενο από εργοδότη ή μεσάζοντα της αγοράς εργασίας πρέπει να συμμορφώνεται με τα ισχύοντα πρότυπα ποιότητας, υγιεινής και ασφάλειας· υπογραμμίζει ότι το ενοίκιο για την εν λόγω στέγαση πρέπει να είναι αναλογικό και να μην εισάγει διακρίσεις· ζητεί την ενσωμάτωση των επιθεωρήσεων στέγασης στις επιθεωρήσεις εργασίας σε τομείς υψηλού κινδύνου, προκειμένου να αποτρέπονται οι εργοδότες ή οι μεσάζοντες της αγοράς εργασίας από το να παρέχουν στους εργαζόμενους υποβαθμισμένη, επισφαλή ή υπερπλήρη στέγαση· τονίζει ότι οι συμβατικές διατάξεις που διέπουν τη στέγαση ενός εργαζομένου δεν πρέπει να οδηγούν σε επισφαλείς συνθήκες στέγασης σε περίπτωση τερματισμού της σχέσης εργασίας·</w:t>
      </w:r>
    </w:p>
    <w:p w14:paraId="53E600E8" w14:textId="34516DF3" w:rsidR="00157EA6" w:rsidRPr="00937C43" w:rsidRDefault="00DE6DBB" w:rsidP="00DE6DBB">
      <w:pPr>
        <w:pStyle w:val="NormalHanging12a"/>
        <w:ind w:hanging="570"/>
      </w:pPr>
      <w:r w:rsidRPr="00937C43">
        <w:t>17.</w:t>
      </w:r>
      <w:r w:rsidRPr="00937C43">
        <w:tab/>
      </w:r>
      <w:r w:rsidR="00157EA6" w:rsidRPr="00937C43">
        <w:t>καλεί την Επιτροπή να συνεργαστεί με τα κράτη μέλη για τη διασφάλιση της αποδοτικής εφαρμογής και επιβολής της ισχύουσας νομοθεσίας σχετικά με την απόσπαση εργαζομένων· υπενθυμίζει ότι η ΕΕ έχει εγκρίνει μια σειρά νομικών μέσων για την καταπολέμηση της εργασιακής εκμετάλλευσης και της παράνομης εργασίας, η επιβολή των οποίων πρέπει να βελτιωθεί σε εθνικό επίπεδο· καλεί την Επιτροπή να προβεί σε απολογισμό της κατάστασης, να διασφαλίσει την αποδοτική και αποτελεσματική εφαρμογή και επιβολή των σχετικών νομικών μέσων από τα κράτη μέλη και να κινήσει, όπου απαιτείται, διαδικασίες επί παραβάσει κατά των κρατών μελών που δεν συμμορφώνονται με το εφαρμοστέο δίκαιο της ΕΕ·</w:t>
      </w:r>
    </w:p>
    <w:p w14:paraId="39BDA40A" w14:textId="3C80CD51" w:rsidR="00157EA6" w:rsidRPr="00937C43" w:rsidRDefault="00DE6DBB" w:rsidP="00DE6DBB">
      <w:pPr>
        <w:pStyle w:val="NormalHanging12a"/>
        <w:ind w:hanging="570"/>
      </w:pPr>
      <w:r w:rsidRPr="00937C43">
        <w:t>18.</w:t>
      </w:r>
      <w:r w:rsidRPr="00937C43">
        <w:tab/>
      </w:r>
      <w:r w:rsidR="00157EA6" w:rsidRPr="00937C43">
        <w:t xml:space="preserve">επισημαίνει την προστιθέμενη αξία των δημόσιων και διαλειτουργικών μητρώων αδειοδοτημένων μεσαζόντων της αγοράς εργασίας· υπογραμμίζει ότι οποιαδήποτε </w:t>
      </w:r>
      <w:r w:rsidR="00157EA6" w:rsidRPr="00937C43">
        <w:lastRenderedPageBreak/>
        <w:t>αδειοδότηση ή καταχώριση θα πρέπει να υπόκειται σε ελάχιστα κριτήρια ακεραιότητας· καλεί την Επιτροπή να προβεί σε απολογισμό των εθνικών πρακτικών και της εθνικής νομοθεσίας σχετικά με τους μεσάζοντες της αγοράς εργασίας και να διασφαλίσει ότι οι μεσάζοντες της αγοράς εργασίας που δραστηριοποιούνται στην ΕΕ δεν χρεώνουν τέλη ούτε μετακυλίουν οποιοδήποτε κόστος στους εργαζόμενους, άμεσα ή έμμεσα, εν όλω ή εν μέρει· υπογραμμίζει ότι οι μεσάζοντες της αγοράς εργασίας που παραβιάζουν το εφαρμοστέο δίκαιο ή τις συλλογικές συμβάσεις θα πρέπει να υπόκεινται σε αποτρεπτικές κυρώσεις, όπως η διαγραφή τους από τα δημόσια μητρώα και ο αποκλεισμός τους από τις δημόσιες συμβάσεις·</w:t>
      </w:r>
    </w:p>
    <w:p w14:paraId="3B4AF2B8" w14:textId="630E73E4" w:rsidR="00157EA6" w:rsidRPr="00937C43" w:rsidRDefault="00DE6DBB" w:rsidP="00DE6DBB">
      <w:pPr>
        <w:pStyle w:val="NormalHanging12a"/>
        <w:ind w:hanging="570"/>
      </w:pPr>
      <w:r w:rsidRPr="00937C43">
        <w:t>19.</w:t>
      </w:r>
      <w:r w:rsidRPr="00937C43">
        <w:tab/>
      </w:r>
      <w:r w:rsidR="00157EA6" w:rsidRPr="00937C43">
        <w:t>ζητεί να διασφαλιστεί, στο πλαίσιο της επικείμενης αναθεώρησης των οδηγιών για τις δημόσιες συμβάσεις, ότι τα κριτήρια αποκλεισμού αντιμετωπίζουν καλύτερα συγκεκριμένους τομεακούς κινδύνους που σχετίζονται με την απάτη, τη διαφθορά και τη διείσδυση του εγκλήματος· τονίζει ότι οι διάφοροι τομείς απαιτούν διακριτά και προσαρμοσμένα κριτήρια αποκλεισμού, που αντικατοπτρίζουν τις ιδιαίτερες ευπάθειες του εκάστοτε τομέα· επισημαίνει ότι οι αναθέτουσες αρχές θα πρέπει να έχουν την εξουσία να προσαρμόζουν τις διαδικασίες σύναψης συμβάσεων με στόχο την καταπολέμηση και την αντιμετώπιση εγκληματικών δραστηριοτήτων· επισημαίνει ότι, προκειμένου να προωθηθεί μεγαλύτερη αποδοτικότητα και απλούστευση, οι διατάξεις σχετικά με τους λόγους αποκλεισμού θα πρέπει να εξορθολογιστούν· υπογραμμίζει ότι κάθε οικονομικός φορέας που παραβιάζει τις υποχρεώσεις του βάσει της ισχύουσας εργατικής και περιβαλλοντικής νομοθεσίας σύμφωνα με το άρθρο 18 παράγραφος 2 της οδηγίας 2014/24/ΕΕ θα πρέπει ουσιαστικά να αποκλείεται από την επίμαχη διαδικασία σύναψης δημόσιας σύμβασης·</w:t>
      </w:r>
    </w:p>
    <w:p w14:paraId="454E4393" w14:textId="6668F1BB" w:rsidR="00157EA6" w:rsidRPr="00937C43" w:rsidRDefault="00DE6DBB" w:rsidP="00DE6DBB">
      <w:pPr>
        <w:pStyle w:val="NormalHanging12a"/>
        <w:ind w:hanging="570"/>
      </w:pPr>
      <w:r w:rsidRPr="00937C43">
        <w:t>20.</w:t>
      </w:r>
      <w:r w:rsidRPr="00937C43">
        <w:tab/>
      </w:r>
      <w:r w:rsidR="00157EA6" w:rsidRPr="00937C43">
        <w:t>τονίζει την αξία των εθνικών μητρώων επιχειρήσεων και του Ευρωπαϊκού Συστήματος Διασύνδεσης Μητρώων Επιχειρήσεων για τις επιχειρήσεις που αναζητούν πληροφορίες σχετικά με τους υπεργολάβους, για τις συνδικαλιστικές οργανώσεις που επιδιώκουν να συμμετάσχουν σε συλλογικές διαπραγματεύσεις και για τις αρχές επιβολής του νόμου· εκφράζει τη λύπη του για το γεγονός ότι το επίπεδο των πληροφοριών που είναι προσβάσιμες στα εθνικά μητρώα επιχειρήσεων ποικίλλει σημαντικά· καλεί την Επιτροπή να επανεξετάσει τον τρόπο με τον οποίο μπορεί να βελτιωθεί το επίπεδο των δημόσια διαθέσιμων πληροφοριών, με βάση τις βέλτιστες πρακτικές στα κράτη μέλη·</w:t>
      </w:r>
    </w:p>
    <w:p w14:paraId="66834A39" w14:textId="1092AFA4" w:rsidR="00157EA6" w:rsidRPr="00937C43" w:rsidRDefault="00DE6DBB" w:rsidP="00DE6DBB">
      <w:pPr>
        <w:pStyle w:val="NormalHanging12a"/>
        <w:ind w:hanging="570"/>
      </w:pPr>
      <w:r w:rsidRPr="00937C43">
        <w:t>21.</w:t>
      </w:r>
      <w:r w:rsidRPr="00937C43">
        <w:tab/>
      </w:r>
      <w:r w:rsidR="00157EA6" w:rsidRPr="00937C43">
        <w:t>εκφράζει την ανησυχία του για το γεγονός ότι οι αποσπασμένοι εργαζόμενοι και οι εργαζόμενοι σε αλυσίδες υπεργολαβίας αντιμετωπίζουν δυσανάλογους κινδύνους όσον αφορά την ασφάλεια και την υγεία στην εργασία λόγω κατακερματισμένων αλυσίδων ευθύνης και ασαφούς συντονισμού, ιδίως στον κατασκευαστικό τομέα· τονίζει, στο πλαίσιο αυτό, τη σημασία της ενημέρωσης και της διαβούλευσης των αποσπασμένων εργαζομένων και των εργαζομένων στις αλυσίδες υπεργολαβίας, καθώς και της αποτελεσματικής επιβολής των διατάξεων για την υγεία και την ασφάλεια, όπως ορίζονται στη σύμβαση αριθ. 167 της ΔΟΕ· θεωρεί σημαντικό, στο πλαίσιο αυτό, να ενισχυθεί ο ρόλος των κοινωνικών εταίρων στην ανάπτυξη εργαλείων και κατάρτισης για τους εργαζομένους και να προωθηθούν περαιτέρω οι υγιείς συνθήκες εργασίας στο επόμενο στρατηγικό πλαίσιο της ΕΕ για την υγεία και την ασφάλεια στην εργασία· καλεί την Επιτροπή να αξιολογήσει κατά πόσον η ισχύουσα νομοθεσία για την ασφάλεια και την υγεία στην εργασία καλύπτει επαρκώς την εφαρμογή των ελάχιστων απαιτήσεων ασφάλειας και υγείας στις αλυσίδες υπεργολαβίας·</w:t>
      </w:r>
    </w:p>
    <w:p w14:paraId="55C35528" w14:textId="77777777" w:rsidR="00157EA6" w:rsidRPr="00937C43" w:rsidRDefault="00157EA6" w:rsidP="00157EA6">
      <w:pPr>
        <w:pStyle w:val="NormalHanging12a"/>
        <w:rPr>
          <w:b/>
          <w:i/>
          <w:iCs/>
        </w:rPr>
      </w:pPr>
      <w:r w:rsidRPr="00937C43">
        <w:rPr>
          <w:b/>
          <w:i/>
        </w:rPr>
        <w:t>Επιβολή και έλεγχος</w:t>
      </w:r>
    </w:p>
    <w:p w14:paraId="41A6C150" w14:textId="6F93B4F9" w:rsidR="00157EA6" w:rsidRPr="00937C43" w:rsidRDefault="00DE6DBB" w:rsidP="00DE6DBB">
      <w:pPr>
        <w:pStyle w:val="NormalHanging12a"/>
        <w:ind w:hanging="570"/>
      </w:pPr>
      <w:r w:rsidRPr="00937C43">
        <w:lastRenderedPageBreak/>
        <w:t>22.</w:t>
      </w:r>
      <w:r w:rsidRPr="00937C43">
        <w:tab/>
      </w:r>
      <w:r w:rsidR="00157EA6" w:rsidRPr="00937C43">
        <w:t>υπενθυμίζει τη σημασία της διασυνοριακής συνεργασίας, της αποδοτικής επιβολής και της διαφάνειας για την αντιμετώπιση των εγκληματικών δικτύων που συνδέονται με το έγκλημα που σχετίζεται με την εργασία· υποστηρίζει την ενισχυμένη συνεργασία μεταξύ της ΕΑΕ, της Ευρωπόλ, των εθνικών αρχών και των κοινωνικών εταίρων για τον σκοπό αυτόν· τονίζει την ανάγκη για αποδοτικά και με επαρκείς πόρους συστήματα επιβολής με στόχο την καταπολέμηση της εργασιακής εκμετάλλευσης και την προώθηση του θεμιτού ανταγωνισμού στην ενιαία αγορά· τονίζει την ανάγκη αντιμετώπισης των καταχρηστικών υπεργολαβιών που χρησιμοποιούν τεχνητές ρυθμίσεις, όπως εικονικές εταιρείες και ψευδή εργασία μέσω εταιρείας προσωρινής απασχόλησης· υπενθυμίζει ότι η οδηγία 2009/52/ΕΚ υποχρεώνει τα κράτη μέλη να διασφαλίζουν αποτελεσματικές και κατάλληλες επιθεωρήσεις με σκοπό να ελεγχθεί η απασχόληση παράνομα διαμενόντων υπηκόων τρίτων χωρών και καλεί την Επιτροπή και τα κράτη μέλη να διασφαλίσουν την ορθή επιβολή·</w:t>
      </w:r>
    </w:p>
    <w:p w14:paraId="3552F57A" w14:textId="07E176B5" w:rsidR="00157EA6" w:rsidRPr="00937C43" w:rsidRDefault="00DE6DBB" w:rsidP="00DE6DBB">
      <w:pPr>
        <w:pStyle w:val="NormalHanging12a"/>
        <w:ind w:hanging="570"/>
      </w:pPr>
      <w:r w:rsidRPr="00937C43">
        <w:t>23.</w:t>
      </w:r>
      <w:r w:rsidRPr="00937C43">
        <w:tab/>
      </w:r>
      <w:r w:rsidR="00157EA6" w:rsidRPr="00937C43">
        <w:t>εκφράζει την ικανοποίησή του για την έκθεση αξιολόγησης της Επιτροπής σχετικά με την ΕΑΕ και επαναλαμβάνει την έκκλησή του</w:t>
      </w:r>
      <w:r w:rsidR="00157EA6" w:rsidRPr="00937C43">
        <w:rPr>
          <w:rStyle w:val="FootnoteReference"/>
        </w:rPr>
        <w:footnoteReference w:id="34"/>
      </w:r>
      <w:r w:rsidR="00157EA6" w:rsidRPr="00937C43">
        <w:t xml:space="preserve"> προς την Επιτροπή να ενισχύσει σημαντικά την εντολή της ΕΑΕ, επιτρέποντάς της να διερευνά εικαζόμενες παραβιάσεις του εργατικού δικαίου της ΕΕ και να κινεί και να διεξάγει επιθεωρήσεις διασυνοριακών υποθέσεων με δική της πρωτοβουλία, μέσω της επέκτασης του πεδίου εφαρμογής της εντολής της ΕΑΕ ώστε να καλύπτει την κινητικότητα του εργατικού δυναμικού για υπηκόους τρίτων χωρών, μέσω της ενίσχυσης της ικανότητάς της να διενεργεί αναλύσεις επιχειρησιακού κινδύνου καθώς και μέσω της παροχής επαρκών πόρων για την εκτέλεση των καθηκόντων της· τονίζει την ανάγκη για περαιτέρω ευθυγράμμιση και απλούστευση των κανονισμών και των διαδικασιών ελέγχου της κινητικότητας του εργατικού δυναμικού, συμπεριλαμβανομένων των ενιαίων προτύπων ελέγχου και της καλύτερης ανταλλαγής πληροφοριών, υπό την καθοδήγηση της ΕΑΕ· συνιστά τη δημιουργία ειδικών μονάδων επιβολής ανά τομέα στο πλαίσιο της ΕΑΕ, ιδίως για τους τομείς των κατασκευών, των μεταφορών και της γεωργίας, και την ενίσχυση της συνεργασίας με τους κοινωνικούς εταίρους στους αντίστοιχους τομείς·</w:t>
      </w:r>
    </w:p>
    <w:p w14:paraId="4AA013E0" w14:textId="6C049BFF" w:rsidR="00157EA6" w:rsidRPr="00937C43" w:rsidRDefault="00DE6DBB" w:rsidP="00DE6DBB">
      <w:pPr>
        <w:pStyle w:val="NormalHanging12a"/>
        <w:ind w:hanging="570"/>
      </w:pPr>
      <w:r w:rsidRPr="00937C43">
        <w:t>24.</w:t>
      </w:r>
      <w:r w:rsidRPr="00937C43">
        <w:tab/>
      </w:r>
      <w:r w:rsidR="00157EA6" w:rsidRPr="00937C43">
        <w:t>τονίζει τον ζωτικό ρόλο των επιθεωρήσεων εργασίας τόσο στον εντοπισμό και την πρόληψη της εργασιακής εκμετάλλευσης όσο και στη συνολική συμμόρφωση με την εργατική νομοθεσία· παροτρύνει τα κράτη μέλη να αυξήσουν τον αριθμό των επιθεωρητών εργασίας που διαθέτουν και τη στήριξή τους προς τις επιθεωρήσεις εργασίας· υπενθυμίζει ότι η οδηγία 2006/22/ΕΚ</w:t>
      </w:r>
      <w:r w:rsidR="00157EA6" w:rsidRPr="00937C43">
        <w:rPr>
          <w:rStyle w:val="FootnoteReference"/>
        </w:rPr>
        <w:footnoteReference w:id="35"/>
      </w:r>
      <w:r w:rsidR="00157EA6" w:rsidRPr="00937C43">
        <w:t xml:space="preserve"> προβλέπει ήδη ελάχιστους κανόνες για τον έλεγχο της συμμόρφωσης με την κοινωνική νομοθεσία στον τομέα των οδικών μεταφορών και καλεί την Επιτροπή και τα κράτη μέλη να βελτιώσουν την ποιότητα και τη συχνότητα των επιθεωρήσεων εργασίας και να διασφαλίζουν επαρκή ελάχιστη ικανότητα επιθεώρησης της εργασίας, σύμφωνα με το κριτήριο αναφοράς της ΔΟΕ για τουλάχιστον έναν επιθεωρητή εργασίας ανά 10 000 εργαζόμενους· τονίζει ότι, παρά τη σημασία τους για την έναρξη στοχευμένων επιθεωρήσεων, οι μηχανισμοί υποβολής καταγγελιών εξακολουθούν να μην χρησιμοποιούνται επαρκώς και να μην είναι </w:t>
      </w:r>
      <w:r w:rsidR="00157EA6" w:rsidRPr="00937C43">
        <w:lastRenderedPageBreak/>
        <w:t>προσβάσιμοι, ιδίως για τους μετακινούμενους εργαζόμενους και τους εργαζόμενους από τρίτες χώρες· υπενθυμίζει ότι σύμφωνα με την οδηγία 2009/52/ΕΚ, τα κράτη μέλη πρέπει να διασφαλίζουν ότι υπάρχουν αποτελεσματικοί μηχανισμοί μέσω των οποίων υπήκοοι τρίτων χωρών που απασχολούνται παράνομα μπορούν να υποβάλλουν καταγγελίες κατά του εργοδότη τους·</w:t>
      </w:r>
    </w:p>
    <w:p w14:paraId="7A2747F2" w14:textId="0A86AF6D" w:rsidR="00157EA6" w:rsidRPr="00937C43" w:rsidRDefault="00DE6DBB" w:rsidP="00DE6DBB">
      <w:pPr>
        <w:pStyle w:val="NormalHanging12a"/>
        <w:ind w:hanging="570"/>
      </w:pPr>
      <w:r w:rsidRPr="00937C43">
        <w:t>25.</w:t>
      </w:r>
      <w:r w:rsidRPr="00937C43">
        <w:tab/>
      </w:r>
      <w:r w:rsidR="00157EA6" w:rsidRPr="00937C43">
        <w:t>υπογραμμίζει τη σημασία των ακριβών και επικαιροποιημένων δεδομένων· τονίζει ότι το επίπεδο πληροφόρησης σχετικά με τη σύνθεση των αλυσίδων υπεργολαβίας και με το έγκλημα που σχετίζεται με την εργασία παρουσιάζει αποκλίσεις σε ολόκληρη την Ευρώπη και ότι αυτό αποτελεί πρόκληση τόσο για την επιβολή όσο και για τη χάραξη πολιτικής· καλεί την Επιτροπή να ενισχύσει τη συλλογή δεδομένων επ’ αυτού και επισημαίνει τον ρόλο της ΕΑΕ στην παροχή αξιόπιστων πληροφοριών σχετικά με τις γενικές τάσεις και την καταχρηστική συμπεριφορά σε διασυνοριακές καταστάσεις·</w:t>
      </w:r>
    </w:p>
    <w:p w14:paraId="50000B5F" w14:textId="39A1AD6B" w:rsidR="00157EA6" w:rsidRPr="00937C43" w:rsidRDefault="00DE6DBB" w:rsidP="00DE6DBB">
      <w:pPr>
        <w:pStyle w:val="NormalHanging12a"/>
        <w:ind w:hanging="570"/>
      </w:pPr>
      <w:r w:rsidRPr="00937C43">
        <w:t>26.</w:t>
      </w:r>
      <w:r w:rsidRPr="00937C43">
        <w:tab/>
      </w:r>
      <w:r w:rsidR="00157EA6" w:rsidRPr="00937C43">
        <w:t>επισημαίνει την επιτυχία των πρωτοβουλιών για την ταυτοποίηση των χώρων εργασίας σε εθνικό και τομεακό επίπεδο, όπως τα δελτία κοινωνικής ταυτότητας· χαιρετίζει, στο πλαίσιο αυτό, τη συμπερίληψη του ευρωπαϊκού διαβατηρίου κοινωνικής ασφάλισης (ESSPASS) στο πρόγραμμα εργασίας της Επιτροπής για το 2026· επαναλαμβάνει την έκκλησή του</w:t>
      </w:r>
      <w:r w:rsidR="00157EA6" w:rsidRPr="00937C43">
        <w:rPr>
          <w:rStyle w:val="FootnoteReference"/>
        </w:rPr>
        <w:footnoteReference w:id="36"/>
      </w:r>
      <w:r w:rsidR="00157EA6" w:rsidRPr="00937C43">
        <w:t xml:space="preserve"> για ταχεία ανάπτυξη του συστήματος ESSPASS και για βελτίωση της προστασίας και της ψηφιακής επιβολής των δικαιωμάτων κοινωνικής ασφάλισης και μιας δίκαιης κινητικότητας, συμπεριλαμβανομένων της επαλήθευσης σε πραγματικό χρόνο και της ανταλλαγής πληροφοριών μεταξύ των αρχών επιβολής· ζητεί την ενσωμάτωση του ESSPASS στα εθνικά και τομεακά συστήματα καρτών εργασίας, προκειμένου να διασφαλιστούν η διαλειτουργικότητα και η ελαχιστοποίηση των διαταραχών· υπογραμμίζει ότι το ESSPASS θα πρέπει να μειώσει τον περιττό διοικητικό φόρτο, να απλουστεύσει τη συμμόρφωση για τις επιχειρήσεις, με ελάχιστο κόστος συμμόρφωσης για τις ΜΜΕ, και να στηρίξει την ΕΑΕ και τις εθνικές αρχές στην καταπολέμηση των καταχρήσεων και των εγκληματικών δραστηριοτήτων· τονίζει ότι είναι σημαντικό να υπάρχει ισχυρή ασφάλεια και προστασία των δεδομένων για το ESSPASS και να συμμετέχουν οι κοινωνικοί εταίροι στον σχεδιασμό και την ανάπτυξη του συστήματος· σημειώνει, επιπλέον, τις εν εξελίξει εργασίες όσον αφορά άλλες πρωτοβουλίες της ΕΕ, όπως το πορτοφόλι ψηφιακής ταυτότητας, που θα μπορούσαν να συμβάλουν στη βελτίωση της ικανότητας των αρχών να αντιμετωπίζουν εγκληματικές συμπεριφορές χωρίς να επιβαρύνουν τις ΜΜΕ ή να αυξάνουν το κόστος για τους καταναλωτές·</w:t>
      </w:r>
    </w:p>
    <w:p w14:paraId="2CC10A1D" w14:textId="77777777" w:rsidR="00157EA6" w:rsidRPr="00937C43" w:rsidRDefault="00157EA6" w:rsidP="00157EA6">
      <w:pPr>
        <w:pStyle w:val="NormalHanging12a"/>
        <w:rPr>
          <w:b/>
          <w:i/>
          <w:iCs/>
        </w:rPr>
      </w:pPr>
      <w:r w:rsidRPr="00937C43">
        <w:rPr>
          <w:b/>
          <w:i/>
        </w:rPr>
        <w:t>Επιβολή κυρώσεων για την εργασιακή εκμετάλλευση</w:t>
      </w:r>
    </w:p>
    <w:p w14:paraId="04ADC2C5" w14:textId="7EFC8C5C" w:rsidR="00157EA6" w:rsidRPr="00937C43" w:rsidRDefault="00DE6DBB" w:rsidP="00DE6DBB">
      <w:pPr>
        <w:pStyle w:val="NormalHanging12a"/>
        <w:ind w:hanging="570"/>
      </w:pPr>
      <w:r w:rsidRPr="00937C43">
        <w:t>27.</w:t>
      </w:r>
      <w:r w:rsidRPr="00937C43">
        <w:tab/>
      </w:r>
      <w:r w:rsidR="00157EA6" w:rsidRPr="00937C43">
        <w:t xml:space="preserve">σημειώνει με ανησυχία ότι τα άτομα που υπόκεινται σε απαγορεύσεις άσκησης εμπορικής δραστηριότητας σε ένα κράτος μέλος μπορούν να παρακάμπτουν τους εθνικούς περιορισμούς με την καταχώριση και τη λειτουργία μιας επιχείρησης σε άλλο κράτος μέλος, υπονομεύοντας έτσι τον αγώνα κατά της εργασιακής εκμετάλλευσης σε ολόκληρη την ενιαία αγορά· καλεί την Επιτροπή να διασφαλίσει αποτελεσματικότερη ανταλλαγή πληροφοριών και συνεργασία μεταξύ των κρατών μελών, καθώς και την αμοιβαία αναγνώριση των απαγορεύσεων άσκησης εμπορικής δραστηριότητας και των ποινικών κυρώσεων, σύμφωνα με τις Συνθήκες, ώστε να αποφεύγεται η </w:t>
      </w:r>
      <w:r w:rsidR="00157EA6" w:rsidRPr="00937C43">
        <w:lastRenderedPageBreak/>
        <w:t>καταστρατήγηση των περιορισμών· υπογραμμίζει, στο πλαίσιο αυτό, τη σημασία της συμμόρφωσης με το κράτος δικαίου και τις εγγυήσεις δίκαιης δίκης· συνιστά τη χρήση του συστήματος πληροφόρησης για την εσωτερική αγορά (IMI) για την έγκαιρη και ασφαλή ανταλλαγή χρήσιμων πληροφοριών μεταξύ των κρατών μελών·</w:t>
      </w:r>
    </w:p>
    <w:p w14:paraId="1915B6F1" w14:textId="2D2EFF15" w:rsidR="00157EA6" w:rsidRPr="00937C43" w:rsidRDefault="00DE6DBB" w:rsidP="00DE6DBB">
      <w:pPr>
        <w:pStyle w:val="NormalHanging12a"/>
        <w:ind w:hanging="570"/>
      </w:pPr>
      <w:r w:rsidRPr="00937C43">
        <w:t>28.</w:t>
      </w:r>
      <w:r w:rsidRPr="00937C43">
        <w:tab/>
      </w:r>
      <w:r w:rsidR="00157EA6" w:rsidRPr="00937C43">
        <w:t>σημειώνει τις αποκλίσεις όσον αφορά τις ποινές και τα καθεστώτα κυρώσεων στους διάφορους τομείς πολιτικής της ΕΕ· τονίζει ότι οι ποινές και οι κυρώσεις για εγκλήματα που σχετίζονται με την εργασία και παραβιάσεις των δικαιωμάτων των εργαζομένων πρέπει να είναι αποτελεσματικές, αποτρεπτικές και αναλογικές προς τη φύση, τη σοβαρότητα και τη διάρκεια της παράβασης της επιχείρησης και προς τον αριθμό των εργαζομένων που επηρεάζονται· καλεί την Επιτροπή να εξετάσει το ενδεχόμενο σύνδεσης των κυρώσεων με το μέγεθος ή τον κύκλο εργασιών των εταιρειών, προκειμένου να διασφαλιστούν η αναλογικότητα, το αποτρεπτικό αποτέλεσμα και οι ίσοι όροι ανταγωνισμού· υπογραμμίζει την ανάγκη για έναν μηχανισμό ανάκτησης ανεξόφλητων μισθών, εισφορών κοινωνικής ασφάλισης, προστίμων και αποζημιώσεων σε διασυνοριακές υποθέσεις·</w:t>
      </w:r>
    </w:p>
    <w:p w14:paraId="7117F7F1" w14:textId="1DD91CB5" w:rsidR="00157EA6" w:rsidRPr="00937C43" w:rsidRDefault="00DE6DBB" w:rsidP="00DE6DBB">
      <w:pPr>
        <w:pStyle w:val="NormalHanging12a"/>
        <w:ind w:hanging="570"/>
      </w:pPr>
      <w:r w:rsidRPr="00937C43">
        <w:t>29.</w:t>
      </w:r>
      <w:r w:rsidRPr="00937C43">
        <w:tab/>
      </w:r>
      <w:r w:rsidR="00157EA6" w:rsidRPr="00937C43">
        <w:t>επισημαίνει το πρόβλημα των δόλιων και εγκληματικών παραγόντων στην αγορά εργασίας που χρησιμοποιούν στρατηγικές πτωχεύσεις και εξαφανίσεις επιχειρήσεων για να αποφύγουν την ευθύνη για εκκρεμείς πληρωμές και κυρώσεις· καλεί την Επιτροπή και τα κράτη μέλη να αναλύσουν τα ζητήματα που συνδέονται με τις στρατηγικές πτωχεύσεις και τις εξαφανιζόμενες εταιρείες, ιδίως σε διασυνοριακές υποθέσεις, και να λάβουν τις αναγκαίες πρωτοβουλίες για να μειώσουν τη συχνότητα εμφάνισής τους·</w:t>
      </w:r>
    </w:p>
    <w:p w14:paraId="3F8FC1D3" w14:textId="7DCF8974" w:rsidR="00157EA6" w:rsidRPr="00937C43" w:rsidRDefault="00DE6DBB" w:rsidP="00DE6DBB">
      <w:pPr>
        <w:pStyle w:val="NormalHanging12a"/>
        <w:ind w:hanging="570"/>
      </w:pPr>
      <w:r w:rsidRPr="00937C43">
        <w:t>30.</w:t>
      </w:r>
      <w:r w:rsidRPr="00937C43">
        <w:tab/>
      </w:r>
      <w:r w:rsidR="00157EA6" w:rsidRPr="00937C43">
        <w:t>υπενθυμίζει ότι η σύνδεση των δημόσιων δαπανών με τον σεβασμό των δικαιωμάτων των εργαζομένων και τις αξιοπρεπείς συνθήκες εργασίας αποτελεί ένα από τα διαθέσιμα μέσα για την αντιμετώπιση της καταχρηστικής υπεργολαβίας και του εγκλήματος που σχετίζεται με την εργασία·</w:t>
      </w:r>
    </w:p>
    <w:p w14:paraId="090B9D70" w14:textId="77777777" w:rsidR="00157EA6" w:rsidRPr="00937C43" w:rsidRDefault="00157EA6" w:rsidP="00157EA6">
      <w:pPr>
        <w:pStyle w:val="NormalHanging12a"/>
        <w:jc w:val="center"/>
      </w:pPr>
      <w:r w:rsidRPr="00937C43">
        <w:t>°</w:t>
      </w:r>
    </w:p>
    <w:p w14:paraId="1DA386BD" w14:textId="77777777" w:rsidR="00157EA6" w:rsidRPr="00937C43" w:rsidRDefault="00157EA6" w:rsidP="00157EA6">
      <w:pPr>
        <w:pStyle w:val="NormalHanging12a"/>
        <w:jc w:val="center"/>
      </w:pPr>
      <w:r w:rsidRPr="00937C43">
        <w:t>°</w:t>
      </w:r>
      <w:r w:rsidRPr="00937C43">
        <w:tab/>
        <w:t>°</w:t>
      </w:r>
    </w:p>
    <w:p w14:paraId="2574CB37" w14:textId="7E397878" w:rsidR="00937C43" w:rsidRPr="00937C43" w:rsidRDefault="00DE6DBB" w:rsidP="00DE6DBB">
      <w:pPr>
        <w:pStyle w:val="NormalHanging12a"/>
        <w:ind w:hanging="570"/>
      </w:pPr>
      <w:r w:rsidRPr="00937C43">
        <w:t>31.</w:t>
      </w:r>
      <w:r w:rsidRPr="00937C43">
        <w:tab/>
      </w:r>
      <w:r w:rsidR="00157EA6" w:rsidRPr="00937C43">
        <w:t>αναθέτει στην Πρόεδρό του να διαβιβάσει το παρόν ψήφισμα στο Συμβούλιο και στην Επιτροπή.</w:t>
      </w:r>
    </w:p>
    <w:p w14:paraId="13F25AB0" w14:textId="5F2FD677" w:rsidR="00E365E1" w:rsidRPr="00937C43" w:rsidRDefault="00E365E1" w:rsidP="00485C0D"/>
    <w:sectPr w:rsidR="00E365E1" w:rsidRPr="00937C43" w:rsidSect="00937C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AA86B" w14:textId="77777777" w:rsidR="00485C0D" w:rsidRPr="00937C43" w:rsidRDefault="00485C0D">
      <w:r w:rsidRPr="00937C43">
        <w:separator/>
      </w:r>
    </w:p>
  </w:endnote>
  <w:endnote w:type="continuationSeparator" w:id="0">
    <w:p w14:paraId="3ABAB9B8" w14:textId="77777777" w:rsidR="00485C0D" w:rsidRPr="00937C43" w:rsidRDefault="00485C0D">
      <w:r w:rsidRPr="00937C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564DF" w14:textId="77777777" w:rsidR="00064002" w:rsidRPr="00937C4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6DB34" w14:textId="77777777" w:rsidR="00064002" w:rsidRPr="00937C4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1C06A" w14:textId="77777777" w:rsidR="00064002" w:rsidRPr="00937C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ABFF1" w14:textId="77777777" w:rsidR="00485C0D" w:rsidRPr="00937C43" w:rsidRDefault="00485C0D">
      <w:r w:rsidRPr="00937C43">
        <w:separator/>
      </w:r>
    </w:p>
  </w:footnote>
  <w:footnote w:type="continuationSeparator" w:id="0">
    <w:p w14:paraId="2217B8F6" w14:textId="77777777" w:rsidR="00485C0D" w:rsidRPr="00937C43" w:rsidRDefault="00485C0D">
      <w:r w:rsidRPr="00937C43">
        <w:continuationSeparator/>
      </w:r>
    </w:p>
  </w:footnote>
  <w:footnote w:id="1">
    <w:p w14:paraId="294839AE" w14:textId="77A9B567"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 xml:space="preserve">ΕΕ L 18 της 21.1.1997, σ. 1, ELI: </w:t>
      </w:r>
      <w:hyperlink r:id="rId1" w:history="1">
        <w:r w:rsidRPr="00937C43">
          <w:rPr>
            <w:rStyle w:val="Hyperlink"/>
            <w:sz w:val="24"/>
            <w:lang w:val="el-GR"/>
          </w:rPr>
          <w:t>http://data.europa.eu/eli/dir/1996/71/oj</w:t>
        </w:r>
      </w:hyperlink>
      <w:r w:rsidRPr="00937C43">
        <w:rPr>
          <w:sz w:val="24"/>
          <w:lang w:val="el-GR"/>
        </w:rPr>
        <w:t>.</w:t>
      </w:r>
    </w:p>
  </w:footnote>
  <w:footnote w:id="2">
    <w:p w14:paraId="52D996BC" w14:textId="29FE72DA"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005B6E34">
        <w:rPr>
          <w:sz w:val="24"/>
          <w:lang w:val="el-GR"/>
        </w:rPr>
        <w:t>ΕΕ</w:t>
      </w:r>
      <w:r w:rsidRPr="00937C43">
        <w:rPr>
          <w:sz w:val="24"/>
          <w:lang w:val="el-GR"/>
        </w:rPr>
        <w:t xml:space="preserve"> L 159 της 28.5.2014, σ. 11,</w:t>
      </w:r>
      <w:r w:rsidRPr="00937C43">
        <w:rPr>
          <w:color w:val="333333"/>
          <w:sz w:val="24"/>
          <w:shd w:val="clear" w:color="auto" w:fill="FFFFFF"/>
          <w:lang w:val="el-GR"/>
        </w:rPr>
        <w:t xml:space="preserve"> </w:t>
      </w:r>
      <w:r w:rsidRPr="00937C43">
        <w:rPr>
          <w:sz w:val="24"/>
          <w:lang w:val="el-GR"/>
        </w:rPr>
        <w:t>ELI: </w:t>
      </w:r>
      <w:hyperlink r:id="rId2" w:tooltip="Πρόσβαση στο έγγραφο μέσω URI τύπου ELI." w:history="1">
        <w:r w:rsidRPr="00937C43">
          <w:rPr>
            <w:rStyle w:val="Hyperlink"/>
            <w:sz w:val="24"/>
            <w:lang w:val="el-GR"/>
          </w:rPr>
          <w:t>http://data.europa.eu/eli/dir/2014/67/oj</w:t>
        </w:r>
      </w:hyperlink>
      <w:r w:rsidRPr="00937C43">
        <w:rPr>
          <w:sz w:val="24"/>
          <w:lang w:val="el-GR"/>
        </w:rPr>
        <w:t>.</w:t>
      </w:r>
    </w:p>
  </w:footnote>
  <w:footnote w:id="3">
    <w:p w14:paraId="007891ED" w14:textId="6BEAC9FD"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 xml:space="preserve">ΕΕ L 101 της 15.4.2011, σ. 1, ELI: </w:t>
      </w:r>
      <w:hyperlink r:id="rId3" w:history="1">
        <w:r w:rsidRPr="00937C43">
          <w:rPr>
            <w:rStyle w:val="Hyperlink"/>
            <w:sz w:val="24"/>
            <w:lang w:val="el-GR"/>
          </w:rPr>
          <w:t>http://data.europa.eu/eli/dir/2011/36/oj.</w:t>
        </w:r>
      </w:hyperlink>
    </w:p>
  </w:footnote>
  <w:footnote w:id="4">
    <w:p w14:paraId="2C82EC98" w14:textId="12DB2AF0"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ΕΕ L 168 της 30.6.2009, σ. 24, ELI: </w:t>
      </w:r>
      <w:hyperlink r:id="rId4" w:tooltip="Πρόσβαση στο έγγραφο μέσω URI τύπου ELI." w:history="1">
        <w:r w:rsidRPr="00937C43">
          <w:rPr>
            <w:rStyle w:val="Hyperlink"/>
            <w:sz w:val="24"/>
            <w:lang w:val="el-GR"/>
          </w:rPr>
          <w:t>http://data.europa.eu/eli/dir/2009/52/oj</w:t>
        </w:r>
      </w:hyperlink>
      <w:r w:rsidRPr="00937C43">
        <w:rPr>
          <w:sz w:val="24"/>
          <w:lang w:val="el-GR"/>
        </w:rPr>
        <w:t>.</w:t>
      </w:r>
    </w:p>
  </w:footnote>
  <w:footnote w:id="5">
    <w:p w14:paraId="35BB3F3D" w14:textId="2AC67DA9"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ΕΕ L 94 της 28.3.2014, σ. 65, ELI: </w:t>
      </w:r>
      <w:hyperlink r:id="rId5" w:tooltip="Πρόσβαση στο έγγραφο μέσω URI τύπου ELI." w:history="1">
        <w:r w:rsidRPr="00937C43">
          <w:rPr>
            <w:rStyle w:val="Hyperlink"/>
            <w:sz w:val="24"/>
            <w:lang w:val="el-GR"/>
          </w:rPr>
          <w:t>http://data.europa.eu/eli/dir/2014/24/oj</w:t>
        </w:r>
      </w:hyperlink>
      <w:r w:rsidRPr="00937C43">
        <w:rPr>
          <w:sz w:val="24"/>
          <w:lang w:val="el-GR"/>
        </w:rPr>
        <w:t>.</w:t>
      </w:r>
    </w:p>
  </w:footnote>
  <w:footnote w:id="6">
    <w:p w14:paraId="6B75D918" w14:textId="01B2BC4A"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ΕΕ L, 2024/1760, 5.7.2024, ELI: </w:t>
      </w:r>
      <w:hyperlink r:id="rId6" w:tgtFrame="_blank" w:tooltip="Πρόσβαση στο έγγραφο μέσω URI τύπου ELI." w:history="1">
        <w:r w:rsidRPr="00937C43">
          <w:rPr>
            <w:rStyle w:val="Hyperlink"/>
            <w:sz w:val="24"/>
            <w:lang w:val="el-GR"/>
          </w:rPr>
          <w:t>http://data.europa.eu/eli/dir/2024/1760/oj</w:t>
        </w:r>
      </w:hyperlink>
      <w:r w:rsidRPr="00937C43">
        <w:rPr>
          <w:sz w:val="24"/>
          <w:lang w:val="el-GR"/>
        </w:rPr>
        <w:t>.</w:t>
      </w:r>
    </w:p>
  </w:footnote>
  <w:footnote w:id="7">
    <w:p w14:paraId="23164C48" w14:textId="0824A160"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hyperlink r:id="rId7" w:history="1">
        <w:r w:rsidRPr="00937C43">
          <w:rPr>
            <w:rStyle w:val="Hyperlink"/>
            <w:sz w:val="24"/>
            <w:lang w:val="el-GR"/>
          </w:rPr>
          <w:t>https://data.europa.eu/doi/10.2826/844552</w:t>
        </w:r>
      </w:hyperlink>
      <w:r w:rsidRPr="00937C43">
        <w:rPr>
          <w:sz w:val="24"/>
          <w:lang w:val="el-GR"/>
        </w:rPr>
        <w:t>.</w:t>
      </w:r>
    </w:p>
  </w:footnote>
  <w:footnote w:id="8">
    <w:p w14:paraId="297922A0" w14:textId="0A7DF6B8"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hyperlink r:id="rId8" w:history="1">
        <w:r w:rsidRPr="00937C43">
          <w:rPr>
            <w:rStyle w:val="Hyperlink"/>
            <w:sz w:val="24"/>
            <w:lang w:val="el-GR"/>
          </w:rPr>
          <w:t>https://www.ela.europa.eu/sites/default/files/2025-03/ELA-posting-third-country-nationals-report.pdf</w:t>
        </w:r>
      </w:hyperlink>
      <w:r w:rsidRPr="00937C43">
        <w:rPr>
          <w:sz w:val="24"/>
          <w:lang w:val="el-GR"/>
        </w:rPr>
        <w:t>.</w:t>
      </w:r>
    </w:p>
  </w:footnote>
  <w:footnote w:id="9">
    <w:p w14:paraId="27321E02" w14:textId="3BADBACB"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hyperlink r:id="rId9" w:history="1">
        <w:r w:rsidRPr="00937C43">
          <w:rPr>
            <w:rStyle w:val="Hyperlink"/>
            <w:sz w:val="24"/>
            <w:lang w:val="el-GR"/>
          </w:rPr>
          <w:t>https://www.ela.europa.eu/sites/default/files/2023-04/ela-report-posting-third-country-nationals.pdf</w:t>
        </w:r>
      </w:hyperlink>
      <w:r w:rsidRPr="00937C43">
        <w:rPr>
          <w:sz w:val="24"/>
          <w:lang w:val="el-GR"/>
        </w:rPr>
        <w:t>.</w:t>
      </w:r>
    </w:p>
  </w:footnote>
  <w:footnote w:id="10">
    <w:p w14:paraId="48B5E9F3" w14:textId="461C61F2"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hyperlink r:id="rId10" w:history="1">
        <w:r w:rsidRPr="00937C43">
          <w:rPr>
            <w:rStyle w:val="Hyperlink"/>
            <w:sz w:val="24"/>
            <w:lang w:val="el-GR"/>
          </w:rPr>
          <w:t>https://www.ela.europa.eu/en/publications/construction-sector-issues-information-provision-enforcement-labour-mobility-law</w:t>
        </w:r>
      </w:hyperlink>
      <w:r w:rsidRPr="00937C43">
        <w:rPr>
          <w:sz w:val="24"/>
          <w:lang w:val="el-GR"/>
        </w:rPr>
        <w:t>.</w:t>
      </w:r>
    </w:p>
  </w:footnote>
  <w:footnote w:id="11">
    <w:p w14:paraId="05DCE41A" w14:textId="22CD4B77"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ΕΕ C 224 της 8.6.2022, σ. 81.</w:t>
      </w:r>
    </w:p>
  </w:footnote>
  <w:footnote w:id="12">
    <w:p w14:paraId="06275E3D" w14:textId="55DBBDFA" w:rsidR="00157EA6" w:rsidRPr="0079399E" w:rsidRDefault="00157EA6" w:rsidP="00937C43">
      <w:pPr>
        <w:pStyle w:val="FootnoteText"/>
        <w:ind w:left="567" w:hanging="567"/>
        <w:rPr>
          <w:sz w:val="24"/>
          <w:lang w:val="el-GR"/>
        </w:rPr>
      </w:pPr>
      <w:r w:rsidRPr="00937C43">
        <w:rPr>
          <w:rStyle w:val="FootnoteReference"/>
          <w:sz w:val="24"/>
          <w:lang w:val="el-GR"/>
        </w:rPr>
        <w:footnoteRef/>
      </w:r>
      <w:r w:rsidR="00937C43" w:rsidRPr="0079399E">
        <w:rPr>
          <w:sz w:val="24"/>
          <w:lang w:val="el-GR"/>
        </w:rPr>
        <w:t xml:space="preserve"> </w:t>
      </w:r>
      <w:r w:rsidR="00937C43" w:rsidRPr="0079399E">
        <w:rPr>
          <w:sz w:val="24"/>
          <w:lang w:val="el-GR"/>
        </w:rPr>
        <w:tab/>
      </w:r>
      <w:r w:rsidRPr="00937C43">
        <w:rPr>
          <w:sz w:val="24"/>
          <w:lang w:val="el-GR"/>
        </w:rPr>
        <w:t>ΕΕ</w:t>
      </w:r>
      <w:r w:rsidRPr="0079399E">
        <w:rPr>
          <w:sz w:val="24"/>
          <w:lang w:val="el-GR"/>
        </w:rPr>
        <w:t xml:space="preserve"> </w:t>
      </w:r>
      <w:r w:rsidRPr="00DE6DBB">
        <w:rPr>
          <w:sz w:val="24"/>
          <w:lang w:val="fi-FI"/>
        </w:rPr>
        <w:t>C</w:t>
      </w:r>
      <w:r w:rsidRPr="0079399E">
        <w:rPr>
          <w:sz w:val="24"/>
          <w:lang w:val="el-GR"/>
        </w:rPr>
        <w:t xml:space="preserve">, </w:t>
      </w:r>
      <w:r w:rsidRPr="00DE6DBB">
        <w:rPr>
          <w:sz w:val="24"/>
          <w:lang w:val="fi-FI"/>
        </w:rPr>
        <w:t>C</w:t>
      </w:r>
      <w:r w:rsidRPr="0079399E">
        <w:rPr>
          <w:sz w:val="24"/>
          <w:lang w:val="el-GR"/>
        </w:rPr>
        <w:t xml:space="preserve">/2025/3156, 20.6.2025, </w:t>
      </w:r>
      <w:hyperlink r:id="rId11" w:history="1">
        <w:r w:rsidRPr="00DE6DBB">
          <w:rPr>
            <w:rStyle w:val="Hyperlink"/>
            <w:sz w:val="24"/>
            <w:lang w:val="fi-FI"/>
          </w:rPr>
          <w:t>ELI</w:t>
        </w:r>
        <w:r w:rsidRPr="0079399E">
          <w:rPr>
            <w:rStyle w:val="Hyperlink"/>
            <w:sz w:val="24"/>
            <w:lang w:val="el-GR"/>
          </w:rPr>
          <w:t>:</w:t>
        </w:r>
      </w:hyperlink>
      <w:hyperlink r:id="rId12" w:history="1">
        <w:r w:rsidRPr="0079399E">
          <w:rPr>
            <w:rStyle w:val="Hyperlink"/>
            <w:sz w:val="24"/>
            <w:lang w:val="el-GR"/>
          </w:rPr>
          <w:t xml:space="preserve"> </w:t>
        </w:r>
        <w:r w:rsidRPr="00DE6DBB">
          <w:rPr>
            <w:rStyle w:val="Hyperlink"/>
            <w:sz w:val="24"/>
            <w:lang w:val="fi-FI"/>
          </w:rPr>
          <w:t>http</w:t>
        </w:r>
        <w:r w:rsidRPr="0079399E">
          <w:rPr>
            <w:rStyle w:val="Hyperlink"/>
            <w:sz w:val="24"/>
            <w:lang w:val="el-GR"/>
          </w:rPr>
          <w:t>://</w:t>
        </w:r>
        <w:r w:rsidRPr="00DE6DBB">
          <w:rPr>
            <w:rStyle w:val="Hyperlink"/>
            <w:sz w:val="24"/>
            <w:lang w:val="fi-FI"/>
          </w:rPr>
          <w:t>data</w:t>
        </w:r>
        <w:r w:rsidRPr="0079399E">
          <w:rPr>
            <w:rStyle w:val="Hyperlink"/>
            <w:sz w:val="24"/>
            <w:lang w:val="el-GR"/>
          </w:rPr>
          <w:t>.</w:t>
        </w:r>
        <w:r w:rsidRPr="00DE6DBB">
          <w:rPr>
            <w:rStyle w:val="Hyperlink"/>
            <w:sz w:val="24"/>
            <w:lang w:val="fi-FI"/>
          </w:rPr>
          <w:t>europa</w:t>
        </w:r>
        <w:r w:rsidRPr="0079399E">
          <w:rPr>
            <w:rStyle w:val="Hyperlink"/>
            <w:sz w:val="24"/>
            <w:lang w:val="el-GR"/>
          </w:rPr>
          <w:t>.</w:t>
        </w:r>
        <w:r w:rsidRPr="00DE6DBB">
          <w:rPr>
            <w:rStyle w:val="Hyperlink"/>
            <w:sz w:val="24"/>
            <w:lang w:val="fi-FI"/>
          </w:rPr>
          <w:t>eu</w:t>
        </w:r>
        <w:r w:rsidRPr="0079399E">
          <w:rPr>
            <w:rStyle w:val="Hyperlink"/>
            <w:sz w:val="24"/>
            <w:lang w:val="el-GR"/>
          </w:rPr>
          <w:t>/</w:t>
        </w:r>
        <w:r w:rsidRPr="00DE6DBB">
          <w:rPr>
            <w:rStyle w:val="Hyperlink"/>
            <w:sz w:val="24"/>
            <w:lang w:val="fi-FI"/>
          </w:rPr>
          <w:t>eli</w:t>
        </w:r>
        <w:r w:rsidRPr="0079399E">
          <w:rPr>
            <w:rStyle w:val="Hyperlink"/>
            <w:sz w:val="24"/>
            <w:lang w:val="el-GR"/>
          </w:rPr>
          <w:t>/</w:t>
        </w:r>
        <w:r w:rsidRPr="00DE6DBB">
          <w:rPr>
            <w:rStyle w:val="Hyperlink"/>
            <w:sz w:val="24"/>
            <w:lang w:val="fi-FI"/>
          </w:rPr>
          <w:t>C</w:t>
        </w:r>
        <w:r w:rsidRPr="0079399E">
          <w:rPr>
            <w:rStyle w:val="Hyperlink"/>
            <w:sz w:val="24"/>
            <w:lang w:val="el-GR"/>
          </w:rPr>
          <w:t>/2025/3156/</w:t>
        </w:r>
        <w:r w:rsidRPr="00DE6DBB">
          <w:rPr>
            <w:rStyle w:val="Hyperlink"/>
            <w:sz w:val="24"/>
            <w:lang w:val="fi-FI"/>
          </w:rPr>
          <w:t>oj</w:t>
        </w:r>
      </w:hyperlink>
      <w:r w:rsidRPr="0079399E">
        <w:rPr>
          <w:sz w:val="24"/>
          <w:lang w:val="el-GR"/>
        </w:rPr>
        <w:t>.</w:t>
      </w:r>
    </w:p>
  </w:footnote>
  <w:footnote w:id="13">
    <w:p w14:paraId="2F5704C1" w14:textId="1CF5C7B4" w:rsidR="00157EA6" w:rsidRPr="00DE6DBB" w:rsidRDefault="00157EA6" w:rsidP="00937C43">
      <w:pPr>
        <w:pStyle w:val="FootnoteText"/>
        <w:ind w:left="567" w:hanging="567"/>
        <w:rPr>
          <w:sz w:val="24"/>
          <w:lang w:val="fi-FI"/>
        </w:rPr>
      </w:pPr>
      <w:r w:rsidRPr="00937C43">
        <w:rPr>
          <w:rStyle w:val="FootnoteReference"/>
          <w:sz w:val="24"/>
          <w:lang w:val="el-GR"/>
        </w:rPr>
        <w:footnoteRef/>
      </w:r>
      <w:r w:rsidR="00937C43" w:rsidRPr="00DE6DBB">
        <w:rPr>
          <w:sz w:val="24"/>
          <w:lang w:val="fi-FI"/>
        </w:rPr>
        <w:t xml:space="preserve"> </w:t>
      </w:r>
      <w:r w:rsidR="00937C43" w:rsidRPr="00DE6DBB">
        <w:rPr>
          <w:sz w:val="24"/>
          <w:lang w:val="fi-FI"/>
        </w:rPr>
        <w:tab/>
      </w:r>
      <w:r w:rsidRPr="00937C43">
        <w:rPr>
          <w:sz w:val="24"/>
          <w:lang w:val="el-GR"/>
        </w:rPr>
        <w:t>ΕΕ</w:t>
      </w:r>
      <w:r w:rsidRPr="00DE6DBB">
        <w:rPr>
          <w:sz w:val="24"/>
          <w:lang w:val="fi-FI"/>
        </w:rPr>
        <w:t xml:space="preserve"> C, C/2024/5741, 17.10.2024, ELI: </w:t>
      </w:r>
      <w:hyperlink r:id="rId13" w:history="1">
        <w:r w:rsidRPr="00DE6DBB">
          <w:rPr>
            <w:rStyle w:val="Hyperlink"/>
            <w:sz w:val="24"/>
            <w:lang w:val="fi-FI"/>
          </w:rPr>
          <w:t>http://data.europa.eu/eli/C/2024/5741/oj</w:t>
        </w:r>
      </w:hyperlink>
      <w:r w:rsidRPr="00DE6DBB">
        <w:rPr>
          <w:sz w:val="24"/>
          <w:lang w:val="fi-FI"/>
        </w:rPr>
        <w:t>.</w:t>
      </w:r>
    </w:p>
  </w:footnote>
  <w:footnote w:id="14">
    <w:p w14:paraId="385E3B9A" w14:textId="0A3CA0B3"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Κείμενα που εγκρίθηκαν, P10_TA(2025)0174.</w:t>
      </w:r>
    </w:p>
  </w:footnote>
  <w:footnote w:id="15">
    <w:p w14:paraId="12215478" w14:textId="2188E6CB"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005B6E34">
        <w:rPr>
          <w:sz w:val="24"/>
          <w:lang w:val="el-GR"/>
        </w:rPr>
        <w:t>Α</w:t>
      </w:r>
      <w:r w:rsidRPr="00937C43">
        <w:rPr>
          <w:sz w:val="24"/>
          <w:lang w:val="el-GR"/>
        </w:rPr>
        <w:t>πόφαση του Δικαστηρίου της 5ης Απριλίου 2017, «Borta» UAB κατά Klaipėdos valstybinio jūrų uosto direkcija VĮ, C-298/15, ECLI:EU:C:2017:266.</w:t>
      </w:r>
    </w:p>
  </w:footnote>
  <w:footnote w:id="16">
    <w:p w14:paraId="23B24B0C" w14:textId="3FD0BA6D"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Βλέπε, για παράδειγμα: το «Nationaler Aktionsplan gegen Arbeitsausbeutung und Zwangsarbeit» του γερμανικού Ομοσπονδιακού Υπουργείου Εργασίας και Κοινωνικών Υποθέσεων (2025)· το «Piano nazionale per la lotta al lavoro sommerso» του ιταλικού Υπουργείου Εργασίας και Κοινωνικών Πολιτικών (2022)· το «Plan de Acción contra el Trabajo Forzoso» του ισπανικού Υπουργείου Ένταξης, Κοινωνικής Ασφάλισης και Μετανάστευσης (2021)· το «Nationell strategi mot arbetslivskriminalitet» (2022) της σουηδικής κυβέρνησης και, επίσης, το «Strategi mot arbeidslivskriminalitet» της νορβηγικής κυβέρνησης (2021).</w:t>
      </w:r>
    </w:p>
  </w:footnote>
  <w:footnote w:id="17">
    <w:p w14:paraId="09F5E1D5" w14:textId="42506998"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Ευρωπαϊκή Επιτροπή, τέταρτη έκθεση σχετικά με την πρόοδο που σημειώνεται στις ενέργειες για την καταπολέμηση της εμπορίας ανθρώπων, (COM(2022)0736)· Ευρωπαϊκή Επιτροπή, πέμπτη έκθεση σχετικά με την πρόοδο που σημειώνεται στις ενέργειες για την καταπολέμηση της εμπορίας ανθρώπων, (COM(2025)0008).</w:t>
      </w:r>
    </w:p>
  </w:footnote>
  <w:footnote w:id="18">
    <w:p w14:paraId="38E54D05" w14:textId="07545634"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 xml:space="preserve">ΕΑΕ, </w:t>
      </w:r>
      <w:r w:rsidRPr="00937C43">
        <w:rPr>
          <w:i/>
          <w:sz w:val="24"/>
          <w:lang w:val="el-GR"/>
        </w:rPr>
        <w:t>Posting of third-country nationals: contracting chains, recruitment patterns, and enforcement issues</w:t>
      </w:r>
      <w:r w:rsidRPr="00937C43">
        <w:rPr>
          <w:sz w:val="24"/>
          <w:lang w:val="el-GR"/>
        </w:rPr>
        <w:t xml:space="preserve"> (Απόσπαση υπηκόων τρίτων χωρών: αλυσίδες συμβάσεων, πρότυπα προσλήψεων και ζητήματα επιβολής) (2025)· ΕΑΕ, </w:t>
      </w:r>
      <w:r w:rsidRPr="00937C43">
        <w:rPr>
          <w:i/>
          <w:sz w:val="24"/>
          <w:lang w:val="el-GR"/>
        </w:rPr>
        <w:t>Counteracting undeclared work and labour exploitation of third-country national workers</w:t>
      </w:r>
      <w:r w:rsidRPr="00937C43">
        <w:rPr>
          <w:sz w:val="24"/>
          <w:lang w:val="el-GR"/>
        </w:rPr>
        <w:t xml:space="preserve"> (Καταπολέμηση της αδήλωτης εργασίας και της εργασιακής εκμετάλλευσης εργαζομένων υπηκόων τρίτων χωρών) (2021)· ΕΑΕ, </w:t>
      </w:r>
      <w:r w:rsidRPr="00937C43">
        <w:rPr>
          <w:i/>
          <w:sz w:val="24"/>
          <w:lang w:val="el-GR"/>
        </w:rPr>
        <w:t>Tackling undeclared work in supply chains – Learning Resource Paper</w:t>
      </w:r>
      <w:r w:rsidRPr="00937C43">
        <w:rPr>
          <w:sz w:val="24"/>
          <w:lang w:val="el-GR"/>
        </w:rPr>
        <w:t xml:space="preserve"> (Αντιμετώπιση της αδήλωτης εργασίας στις εφοδιαστικές αλυσίδες – Έγγραφο μαθησιακών πόρων) (2022)· Έκθεση της Επιτροπής σχετικά με την εφαρμογή και την εκτέλεση της οδηγίας (ΕΕ) 2018/957 του Ευρωπαϊκού Κοινοβουλίου και του Συμβουλίου, της 28ης Ιουνίου 2018, για την τροποποίηση της οδηγίας 96/71/ΕΚ σχετικά με την απόσπαση εργαζομένων στο πλαίσιο παροχής υπηρεσιών (COM(2024)0320).</w:t>
      </w:r>
    </w:p>
  </w:footnote>
  <w:footnote w:id="19">
    <w:p w14:paraId="4FC88BD6" w14:textId="28866FE3"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Ανακοίνωση της Επιτροπής με τίτλο «Κατευθυντήριες γραμμές για την εφαρμογή του άρθρου 101 της Συνθήκης για τη λειτουργία της Ευρωπαϊκής Ένωσης στις συμφωνίες οριζόντιας συνεργασίας» ( ΕΕ C 259 της 21.7.2023, σ. 1).</w:t>
      </w:r>
    </w:p>
  </w:footnote>
  <w:footnote w:id="20">
    <w:p w14:paraId="5BA97478" w14:textId="4E8B5D6F"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 xml:space="preserve">Ευρωπαϊκή Επιτροπή: Γενική Διεύθυνση Απασχόλησης, Κοινωνικών Υποθέσεων και Ένταξης, EFTHEIA, HIVA-KU Leuven, IRIS, Milieu και WIIW, </w:t>
      </w:r>
      <w:hyperlink r:id="rId14" w:history="1">
        <w:r w:rsidRPr="00937C43">
          <w:rPr>
            <w:rStyle w:val="Hyperlink"/>
            <w:i/>
            <w:sz w:val="24"/>
            <w:lang w:val="el-GR"/>
          </w:rPr>
          <w:t>Posting of workers – Collection of data from the prior declaration tools – Reference year 2022</w:t>
        </w:r>
      </w:hyperlink>
      <w:r w:rsidRPr="00937C43">
        <w:rPr>
          <w:sz w:val="24"/>
          <w:lang w:val="el-GR"/>
        </w:rPr>
        <w:t xml:space="preserve"> (Απόσπαση εργαζομένων – Συλλογή δεδομένων από τα εργαλεία υποβολής εκ των προτέρων δήλωσης – Έτος αναφοράς 2022), Υπηρεσία Εκδόσεων της Ευρωπαϊκής Ένωσης, 2024.</w:t>
      </w:r>
    </w:p>
  </w:footnote>
  <w:footnote w:id="21">
    <w:p w14:paraId="0EE616BC" w14:textId="538C5A5E"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Έκθεση της ΕΑΕ σχετικά με τις αλυσίδες συμβάσεων και τους τρόπους πρόσληψης αποσπασμένων υπηκόων τρίτων χωρών, Μάρτιος 2025, και έκθεση της ΕΑΕ σχετικά με τις πρακτικές και τις δυνατότητες συνεργασίας μεταξύ των κρατών μελών καθώς και τις σχετικές προκλήσεις – ιδίως σε σχέση με την απόσπαση υπηκόων τρίτων χωρών, Φεβρουάριος 2023.</w:t>
      </w:r>
    </w:p>
  </w:footnote>
  <w:footnote w:id="22">
    <w:p w14:paraId="2C02D66E" w14:textId="5233EBE8"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Έκθεση της ΕΑΕ με τίτλο «Posting of third-country nationals: contracting chains, recruitment patterns, and enforcement issues» (Απόσπαση υπηκόων τρίτων χωρών: αλυσίδες συμβάσεων, πρότυπα προσλήψεων και ζητήματα επιβολής), 2025.</w:t>
      </w:r>
    </w:p>
  </w:footnote>
  <w:footnote w:id="23">
    <w:p w14:paraId="1F95520D" w14:textId="437A550F"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 xml:space="preserve">Ευρωπαϊκή Επιτροπή: Γενική Διεύθυνση Απασχόλησης, Κοινωνικών Υποθέσεων και Ένταξης, ECORYS, HIVA-KU Leuven, Spark Legal and Policy Consulting και wmp consult, </w:t>
      </w:r>
      <w:hyperlink r:id="rId15" w:history="1">
        <w:r w:rsidRPr="00937C43">
          <w:rPr>
            <w:rStyle w:val="Hyperlink"/>
            <w:i/>
            <w:sz w:val="24"/>
            <w:lang w:val="el-GR"/>
          </w:rPr>
          <w:t>Study supporting the Monitoring of the Posting of Workers Directive 2018/957/EU and of the Enforcement Directive 2014/67/EU – The situation of temporary cross-border mobile workers and workers in subcontracting chains</w:t>
        </w:r>
      </w:hyperlink>
      <w:r w:rsidRPr="00937C43">
        <w:rPr>
          <w:sz w:val="24"/>
          <w:lang w:val="el-GR"/>
        </w:rPr>
        <w:t xml:space="preserve"> (Μελέτη για την υποστήριξη της παρακολούθησης της οδηγίας (ΕΕ) 2018/957 σχετικά με την απόσπαση εργαζομένων και της οδηγίας 2014/67/ΕΕ για την εφαρμογή – Η κατάσταση των προσωρινά διασυνοριακών μετακινούμενων εργαζομένων και των εργαζομένων σε αλυσίδες υπεργολαβίας), Υπηρεσία Εκδόσεων της Ευρωπαϊκής Ένωσης, 2024.</w:t>
      </w:r>
    </w:p>
  </w:footnote>
  <w:footnote w:id="24">
    <w:p w14:paraId="3E798C99" w14:textId="63E9BC9F"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Έκθεση της Επιτροπής σχετικά με την εφαρμογή και την εκτέλεση της οδηγίας (ΕΕ) 2018/957 του Ευρωπαϊκού Κοινοβουλίου και του Συμβουλίου, της 28ης Ιουνίου 2018, για την τροποποίηση της οδηγίας 96/71/ΕΚ σχετικά με την απόσπαση εργαζομένων στο πλαίσιο παροχής υπηρεσιών (COM(2024)0320).</w:t>
      </w:r>
    </w:p>
  </w:footnote>
  <w:footnote w:id="25">
    <w:p w14:paraId="5813952F" w14:textId="3385EBCD"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Έκθεση της Επιτροπής σχετικά με την εφαρμογή και την εκτέλεση της οδηγίας (ΕΕ) 2018/957 του Ευρωπαϊκού Κοινοβουλίου και του Συμβουλίου, της 28ης Ιουνίου 2018, για την τροποποίηση της οδηγίας 96/71/ΕΚ σχετικά με την απόσπαση εργαζομένων στο πλαίσιο παροχής υπηρεσιών (COM(2024)0320).</w:t>
      </w:r>
    </w:p>
  </w:footnote>
  <w:footnote w:id="26">
    <w:p w14:paraId="2E380172" w14:textId="65475FF7"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Για παράδειγμα, Σουηδία (</w:t>
      </w:r>
      <w:hyperlink r:id="rId16" w:history="1">
        <w:r w:rsidRPr="00B4721B">
          <w:rPr>
            <w:rStyle w:val="Hyperlink"/>
            <w:sz w:val="24"/>
            <w:lang w:val="el-GR"/>
          </w:rPr>
          <w:t>https://www.regeringen.se/contentassets/f6f461b310984b598ee4f7a2d83350d0/nationell-strategi-mot-arbetslivskriminalitet.pdf</w:t>
        </w:r>
      </w:hyperlink>
      <w:r w:rsidRPr="00937C43">
        <w:rPr>
          <w:sz w:val="24"/>
          <w:lang w:val="el-GR"/>
        </w:rPr>
        <w:t>), Φινλανδία (</w:t>
      </w:r>
      <w:hyperlink r:id="rId17" w:history="1">
        <w:r w:rsidRPr="005B6E34">
          <w:rPr>
            <w:rStyle w:val="Hyperlink"/>
            <w:sz w:val="24"/>
            <w:lang w:val="el-GR"/>
          </w:rPr>
          <w:t>https://julkaisut.valtioneuvosto.fi/bitstream/handle/10024/165395/TEM_2024_5.pdf</w:t>
        </w:r>
      </w:hyperlink>
      <w:r w:rsidRPr="00937C43">
        <w:rPr>
          <w:sz w:val="24"/>
          <w:lang w:val="el-GR"/>
        </w:rPr>
        <w:t>), Ιταλία, Γερμανία (</w:t>
      </w:r>
      <w:hyperlink r:id="rId18" w:history="1">
        <w:r w:rsidRPr="00937C43">
          <w:rPr>
            <w:rStyle w:val="Hyperlink"/>
            <w:sz w:val="24"/>
            <w:lang w:val="el-GR"/>
          </w:rPr>
          <w:t>https://www.bmas.de/DE/Service/Presse/Meldungen/2025/nationaler-aktionsplan-gegen-arbeitsausbeutung-und-zwangsarbeit-beschlossen.html</w:t>
        </w:r>
      </w:hyperlink>
      <w:r w:rsidRPr="00937C43">
        <w:rPr>
          <w:sz w:val="24"/>
          <w:lang w:val="el-GR"/>
        </w:rPr>
        <w:t>), Ισπανία και Νορβηγία (</w:t>
      </w:r>
      <w:hyperlink r:id="rId19" w:history="1">
        <w:r w:rsidRPr="00B4721B">
          <w:rPr>
            <w:rStyle w:val="Hyperlink"/>
            <w:sz w:val="24"/>
            <w:lang w:val="el-GR"/>
          </w:rPr>
          <w:t>https://www.regjeringen.no/no/dokumenter/strategi-mot-arbeidslivskriminalitet-2021/id2831867/</w:t>
        </w:r>
      </w:hyperlink>
      <w:r w:rsidRPr="00937C43">
        <w:rPr>
          <w:sz w:val="24"/>
          <w:lang w:val="el-GR"/>
        </w:rPr>
        <w:t>).</w:t>
      </w:r>
    </w:p>
  </w:footnote>
  <w:footnote w:id="27">
    <w:p w14:paraId="359C4630" w14:textId="66FF4032"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Κανονισμός (ΕΚ) αριθ. 1008/2008 του Ευρωπαϊκού Κοινοβουλίου και του Συμβουλίου, της 24ης Σεπτεμβρίου 2008, σχετικά με κοινούς κανόνες για την εκμετάλλευση των αεροπορικών υπηρεσιών στην Κοινότητα (ΕΕ L 293 της 31.10.2008, σ. 3, ELI: </w:t>
      </w:r>
      <w:hyperlink r:id="rId20" w:tooltip="Πρόσβαση στο έγγραφο μέσω URI τύπου ELI." w:history="1">
        <w:r w:rsidRPr="00937C43">
          <w:rPr>
            <w:rStyle w:val="Hyperlink"/>
            <w:sz w:val="24"/>
            <w:lang w:val="el-GR"/>
          </w:rPr>
          <w:t>http://data.europa.eu/eli/reg/2008/1008/oj</w:t>
        </w:r>
      </w:hyperlink>
      <w:r w:rsidRPr="00937C43">
        <w:rPr>
          <w:sz w:val="24"/>
          <w:lang w:val="el-GR"/>
        </w:rPr>
        <w:t>).</w:t>
      </w:r>
    </w:p>
  </w:footnote>
  <w:footnote w:id="28">
    <w:p w14:paraId="473D6CC3" w14:textId="0B3DA118"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 xml:space="preserve">Ευρωπαϊκή Επιτροπή: Εκτελεστικός Οργανισμός για τις Μικρομεσαίες Επιχειρήσεις, </w:t>
      </w:r>
      <w:hyperlink r:id="rId21" w:history="1">
        <w:r w:rsidRPr="00937C43">
          <w:rPr>
            <w:rStyle w:val="Hyperlink"/>
            <w:i/>
            <w:sz w:val="24"/>
            <w:lang w:val="el-GR"/>
          </w:rPr>
          <w:t>Making socially responsible public procurement work – 71 good practice cases</w:t>
        </w:r>
      </w:hyperlink>
      <w:r w:rsidRPr="00937C43">
        <w:rPr>
          <w:sz w:val="24"/>
          <w:lang w:val="el-GR"/>
        </w:rPr>
        <w:t xml:space="preserve"> (Αποτελεσματικές κοινωνικά υπεύθυνες δημόσιες συμβάσεις – 71 περιπτώσεις ορθών πρακτικών) , Υπηρεσία Εκδόσεων, 2020.</w:t>
      </w:r>
    </w:p>
  </w:footnote>
  <w:footnote w:id="29">
    <w:p w14:paraId="1A826011" w14:textId="4D7FB539"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Ψήφισμα του Ευρωπαϊκού Κοινοβουλίου της 9ης Σεπτεμβρίου 2025 σχετικά με τις δημόσιες συμβάσεις.</w:t>
      </w:r>
    </w:p>
  </w:footnote>
  <w:footnote w:id="30">
    <w:p w14:paraId="16AC1CE2" w14:textId="4D6E48F8"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Ψήφισμα του Ευρωπαϊκού Κοινοβουλίου της 9ης Σεπτεμβρίου 2025 σχετικά με τις δημόσιες συμβάσεις.</w:t>
      </w:r>
    </w:p>
  </w:footnote>
  <w:footnote w:id="31">
    <w:p w14:paraId="63DCC01F" w14:textId="57052793"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 xml:space="preserve">Μελέτη του Ευρωπαϊκού Κοινοβουλίου, 2016, </w:t>
      </w:r>
      <w:r w:rsidRPr="00937C43">
        <w:rPr>
          <w:i/>
          <w:sz w:val="24"/>
          <w:lang w:val="el-GR"/>
        </w:rPr>
        <w:t>Precarious Employment in Europe: Volume 1: Patterns, Trends and Policy Strategies</w:t>
      </w:r>
      <w:r w:rsidRPr="00937C43">
        <w:rPr>
          <w:sz w:val="24"/>
          <w:lang w:val="el-GR"/>
        </w:rPr>
        <w:t xml:space="preserve"> (Επισφαλής απασχόληση στην Ευρώπη, Τόμος 1: Πρότυπα, τάσεις και στρατηγικές πολιτικής)· Eurofound, 2010, </w:t>
      </w:r>
      <w:r w:rsidRPr="00937C43">
        <w:rPr>
          <w:i/>
          <w:sz w:val="24"/>
          <w:lang w:val="el-GR"/>
        </w:rPr>
        <w:t>Key elements of fair employment and decent work</w:t>
      </w:r>
      <w:r w:rsidRPr="00937C43">
        <w:rPr>
          <w:sz w:val="24"/>
          <w:lang w:val="el-GR"/>
        </w:rPr>
        <w:t xml:space="preserve"> (Βασικά στοιχεία της δίκαιης απασχόλησης και της αξιοπρεπούς εργασίας)· Ευρωπαϊκή Επιτροπή, Κοινό Κέντρο Ερευνών, </w:t>
      </w:r>
      <w:hyperlink r:id="rId22" w:history="1">
        <w:r w:rsidRPr="00937C43">
          <w:rPr>
            <w:rStyle w:val="Hyperlink"/>
            <w:i/>
            <w:sz w:val="24"/>
            <w:lang w:val="el-GR"/>
          </w:rPr>
          <w:t>Outsourcing, working conditions and inequality</w:t>
        </w:r>
      </w:hyperlink>
      <w:r w:rsidRPr="00937C43">
        <w:rPr>
          <w:sz w:val="24"/>
          <w:lang w:val="el-GR"/>
        </w:rPr>
        <w:t xml:space="preserve"> (Εξωτερική ανάθεση, συνθήκες εργασίας και ανισότητα)</w:t>
      </w:r>
      <w:r w:rsidRPr="00937C43">
        <w:rPr>
          <w:i/>
          <w:sz w:val="24"/>
          <w:lang w:val="el-GR"/>
        </w:rPr>
        <w:t xml:space="preserve">, </w:t>
      </w:r>
      <w:r w:rsidRPr="00937C43">
        <w:rPr>
          <w:sz w:val="24"/>
          <w:lang w:val="el-GR"/>
        </w:rPr>
        <w:t>2025.</w:t>
      </w:r>
    </w:p>
  </w:footnote>
  <w:footnote w:id="32">
    <w:p w14:paraId="26C3640B" w14:textId="4F4B88E1"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Οδηγία 2002/14/ΕΚ του Ευρωπαϊκού Κοινοβουλίου και του Συμβουλίου, της 11ης</w:t>
      </w:r>
      <w:r w:rsidR="005B6E34">
        <w:rPr>
          <w:sz w:val="24"/>
          <w:lang w:val="el-GR"/>
        </w:rPr>
        <w:t> </w:t>
      </w:r>
      <w:r w:rsidRPr="00937C43">
        <w:rPr>
          <w:sz w:val="24"/>
          <w:lang w:val="el-GR"/>
        </w:rPr>
        <w:t>Μαρτίου 2002, περί θεσπίσεως γενικού πλαισίου ενημερώσεως και διαβουλεύσεως των εργαζομένων στην Ευρωπαϊκή Κοινότητα – Κοινή δήλωση του Ευρωπαϊκού Κοινοβουλίου, του Συμβουλίου και της Επιτροπής για την εκπροσώπηση των εργαζομένων (ΕΕ L 80 της 23.3.2002, σ. 29, ELI: </w:t>
      </w:r>
      <w:hyperlink r:id="rId23" w:tooltip="Πρόσβαση στο έγγραφο μέσω URI τύπου ELI." w:history="1">
        <w:r w:rsidRPr="00937C43">
          <w:rPr>
            <w:rStyle w:val="Hyperlink"/>
            <w:sz w:val="24"/>
            <w:lang w:val="el-GR"/>
          </w:rPr>
          <w:t>http://data.europa.eu/eli/dir/2002/14/oj</w:t>
        </w:r>
      </w:hyperlink>
      <w:r w:rsidRPr="00937C43">
        <w:rPr>
          <w:sz w:val="24"/>
          <w:lang w:val="el-GR"/>
        </w:rPr>
        <w:t>).</w:t>
      </w:r>
    </w:p>
  </w:footnote>
  <w:footnote w:id="33">
    <w:p w14:paraId="30E1BA5C" w14:textId="34B39CDD"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Οδηγία 2008/104/ΕΚ του Ευρωπαϊκού Κοινοβουλίου και του Συμβουλίου, της 19ης</w:t>
      </w:r>
      <w:r w:rsidR="005B6E34">
        <w:rPr>
          <w:sz w:val="24"/>
          <w:lang w:val="el-GR"/>
        </w:rPr>
        <w:t> </w:t>
      </w:r>
      <w:r w:rsidRPr="00937C43">
        <w:rPr>
          <w:sz w:val="24"/>
          <w:lang w:val="el-GR"/>
        </w:rPr>
        <w:t>Νοεμβρίου 2008, περί της εργασίας μέσω εταιρείας προσωρινής απασχόλησης (ΕΕ L 327 της 5.12.2008, σ. 9, ELI: </w:t>
      </w:r>
      <w:hyperlink r:id="rId24" w:tooltip="Πρόσβαση στο έγγραφο μέσω URI τύπου ELI." w:history="1">
        <w:r w:rsidRPr="00937C43">
          <w:rPr>
            <w:rStyle w:val="Hyperlink"/>
            <w:sz w:val="24"/>
            <w:lang w:val="el-GR"/>
          </w:rPr>
          <w:t>http://data.europa.eu/eli/dir/2008/104/oj</w:t>
        </w:r>
      </w:hyperlink>
      <w:r w:rsidRPr="00937C43">
        <w:rPr>
          <w:sz w:val="24"/>
          <w:lang w:val="el-GR"/>
        </w:rPr>
        <w:t>).</w:t>
      </w:r>
    </w:p>
  </w:footnote>
  <w:footnote w:id="34">
    <w:p w14:paraId="5EB73662" w14:textId="454819D4"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Ψήφισμα του Ευρωπαϊκού Κοινοβουλίου, της 18ης Ιανουαρίου 2024, σχετικά με την αναθεώρηση της εντολής της Ευρωπαϊκής Αρχής Εργασίας.</w:t>
      </w:r>
    </w:p>
  </w:footnote>
  <w:footnote w:id="35">
    <w:p w14:paraId="35AE3B13" w14:textId="6E0BF88F"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Οδηγία 2006/22/ΕΚ του Ευρωπαϊκού Κοινοβουλίου και του Συμβουλίου, της 15ης</w:t>
      </w:r>
      <w:r w:rsidR="005B6E34">
        <w:rPr>
          <w:sz w:val="24"/>
          <w:lang w:val="el-GR"/>
        </w:rPr>
        <w:t> </w:t>
      </w:r>
      <w:r w:rsidRPr="00937C43">
        <w:rPr>
          <w:sz w:val="24"/>
          <w:lang w:val="el-GR"/>
        </w:rPr>
        <w:t xml:space="preserve">Μαρτίου 2006, για καθορισμό ελάχιστων προϋποθέσεων για την εφαρμογή των κανονισμών (ΕΟΚ) αριθ. 3820/85 και (ΕΟΚ) αριθ. 3821/85 του Συμβουλίου σχετικά με την κοινωνική νομοθεσία όσον αφορά δραστηριότητες οδικών μεταφορών και για την κατάργηση της οδηγίας 88/599/ΕΟΚ του Συμβουλίου (ΕΕ L 102 της 11.4.2006, σ. 35, ELI: </w:t>
      </w:r>
      <w:hyperlink r:id="rId25" w:history="1">
        <w:r w:rsidRPr="00937C43">
          <w:rPr>
            <w:rStyle w:val="Hyperlink"/>
            <w:sz w:val="24"/>
            <w:lang w:val="el-GR"/>
          </w:rPr>
          <w:t>http://data.europa.eu/eli/dir/2006/22/oj</w:t>
        </w:r>
      </w:hyperlink>
      <w:r w:rsidRPr="00937C43">
        <w:rPr>
          <w:sz w:val="24"/>
          <w:lang w:val="el-GR"/>
        </w:rPr>
        <w:t>).</w:t>
      </w:r>
    </w:p>
  </w:footnote>
  <w:footnote w:id="36">
    <w:p w14:paraId="781D09D6" w14:textId="0C05715E" w:rsidR="00157EA6" w:rsidRPr="00937C43" w:rsidRDefault="00157EA6" w:rsidP="00937C43">
      <w:pPr>
        <w:pStyle w:val="FootnoteText"/>
        <w:ind w:left="567" w:hanging="567"/>
        <w:rPr>
          <w:sz w:val="24"/>
          <w:lang w:val="el-GR"/>
        </w:rPr>
      </w:pPr>
      <w:r w:rsidRPr="00937C43">
        <w:rPr>
          <w:rStyle w:val="FootnoteReference"/>
          <w:sz w:val="24"/>
          <w:lang w:val="el-GR"/>
        </w:rPr>
        <w:footnoteRef/>
      </w:r>
      <w:r w:rsidR="00937C43" w:rsidRPr="00937C43">
        <w:rPr>
          <w:sz w:val="24"/>
          <w:lang w:val="el-GR"/>
        </w:rPr>
        <w:t xml:space="preserve"> </w:t>
      </w:r>
      <w:r w:rsidR="00937C43" w:rsidRPr="00937C43">
        <w:rPr>
          <w:sz w:val="24"/>
          <w:lang w:val="el-GR"/>
        </w:rPr>
        <w:tab/>
      </w:r>
      <w:r w:rsidRPr="00937C43">
        <w:rPr>
          <w:sz w:val="24"/>
          <w:lang w:val="el-GR"/>
        </w:rPr>
        <w:t>Ψήφισμα του Ευρωπαϊκού Κοινοβουλίου, της 25ης Νοεμβρίου 2021, σχετικά με τη θέσπιση ευρωπαϊκού διαβατηρίου κοινωνικής ασφάλισης για τη βελτίωση της ψηφιακής επιβολής των δικαιωμάτων κοινωνικής ασφάλισης και μιας δίκαιης κινητικότητας</w:t>
      </w:r>
      <w:r w:rsidR="005B6E34">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C7BC5" w14:textId="77777777" w:rsidR="00064002" w:rsidRPr="00937C4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9CD8C" w14:textId="77777777" w:rsidR="00064002" w:rsidRPr="00937C4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2DEC" w14:textId="77777777" w:rsidR="00064002" w:rsidRPr="00937C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10655"/>
    <w:multiLevelType w:val="hybridMultilevel"/>
    <w:tmpl w:val="29FC1920"/>
    <w:lvl w:ilvl="0" w:tplc="7D98C94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8486900"/>
    <w:multiLevelType w:val="hybridMultilevel"/>
    <w:tmpl w:val="C674E7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1793665">
    <w:abstractNumId w:val="9"/>
  </w:num>
  <w:num w:numId="2" w16cid:durableId="853884653">
    <w:abstractNumId w:val="9"/>
  </w:num>
  <w:num w:numId="3" w16cid:durableId="1424956609">
    <w:abstractNumId w:val="7"/>
  </w:num>
  <w:num w:numId="4" w16cid:durableId="1043217203">
    <w:abstractNumId w:val="7"/>
  </w:num>
  <w:num w:numId="5" w16cid:durableId="1997030507">
    <w:abstractNumId w:val="6"/>
  </w:num>
  <w:num w:numId="6" w16cid:durableId="664628387">
    <w:abstractNumId w:val="6"/>
  </w:num>
  <w:num w:numId="7" w16cid:durableId="2088652434">
    <w:abstractNumId w:val="5"/>
  </w:num>
  <w:num w:numId="8" w16cid:durableId="2030794924">
    <w:abstractNumId w:val="5"/>
  </w:num>
  <w:num w:numId="9" w16cid:durableId="911506265">
    <w:abstractNumId w:val="4"/>
  </w:num>
  <w:num w:numId="10" w16cid:durableId="1885487157">
    <w:abstractNumId w:val="4"/>
  </w:num>
  <w:num w:numId="11" w16cid:durableId="1528837828">
    <w:abstractNumId w:val="8"/>
  </w:num>
  <w:num w:numId="12" w16cid:durableId="2047828225">
    <w:abstractNumId w:val="8"/>
  </w:num>
  <w:num w:numId="13" w16cid:durableId="1308045596">
    <w:abstractNumId w:val="3"/>
  </w:num>
  <w:num w:numId="14" w16cid:durableId="1778065095">
    <w:abstractNumId w:val="3"/>
  </w:num>
  <w:num w:numId="15" w16cid:durableId="711806449">
    <w:abstractNumId w:val="2"/>
  </w:num>
  <w:num w:numId="16" w16cid:durableId="795752678">
    <w:abstractNumId w:val="2"/>
  </w:num>
  <w:num w:numId="17" w16cid:durableId="79259741">
    <w:abstractNumId w:val="1"/>
  </w:num>
  <w:num w:numId="18" w16cid:durableId="18240702">
    <w:abstractNumId w:val="1"/>
  </w:num>
  <w:num w:numId="19" w16cid:durableId="53704725">
    <w:abstractNumId w:val="0"/>
  </w:num>
  <w:num w:numId="20" w16cid:durableId="1985694862">
    <w:abstractNumId w:val="0"/>
  </w:num>
  <w:num w:numId="21" w16cid:durableId="247077448">
    <w:abstractNumId w:val="9"/>
  </w:num>
  <w:num w:numId="22" w16cid:durableId="307782953">
    <w:abstractNumId w:val="7"/>
  </w:num>
  <w:num w:numId="23" w16cid:durableId="1557736938">
    <w:abstractNumId w:val="6"/>
  </w:num>
  <w:num w:numId="24" w16cid:durableId="1138229609">
    <w:abstractNumId w:val="5"/>
  </w:num>
  <w:num w:numId="25" w16cid:durableId="1820804358">
    <w:abstractNumId w:val="4"/>
  </w:num>
  <w:num w:numId="26" w16cid:durableId="1492329807">
    <w:abstractNumId w:val="8"/>
  </w:num>
  <w:num w:numId="27" w16cid:durableId="1679043775">
    <w:abstractNumId w:val="3"/>
  </w:num>
  <w:num w:numId="28" w16cid:durableId="472986452">
    <w:abstractNumId w:val="2"/>
  </w:num>
  <w:num w:numId="29" w16cid:durableId="970093645">
    <w:abstractNumId w:val="1"/>
  </w:num>
  <w:num w:numId="30" w16cid:durableId="2007399484">
    <w:abstractNumId w:val="0"/>
  </w:num>
  <w:num w:numId="31" w16cid:durableId="778524646">
    <w:abstractNumId w:val="9"/>
  </w:num>
  <w:num w:numId="32" w16cid:durableId="841625882">
    <w:abstractNumId w:val="7"/>
  </w:num>
  <w:num w:numId="33" w16cid:durableId="1468737690">
    <w:abstractNumId w:val="6"/>
  </w:num>
  <w:num w:numId="34" w16cid:durableId="1885754801">
    <w:abstractNumId w:val="5"/>
  </w:num>
  <w:num w:numId="35" w16cid:durableId="1077824536">
    <w:abstractNumId w:val="4"/>
  </w:num>
  <w:num w:numId="36" w16cid:durableId="1792897632">
    <w:abstractNumId w:val="8"/>
  </w:num>
  <w:num w:numId="37" w16cid:durableId="1752458429">
    <w:abstractNumId w:val="3"/>
  </w:num>
  <w:num w:numId="38" w16cid:durableId="182787784">
    <w:abstractNumId w:val="2"/>
  </w:num>
  <w:num w:numId="39" w16cid:durableId="965044108">
    <w:abstractNumId w:val="1"/>
  </w:num>
  <w:num w:numId="40" w16cid:durableId="16318863">
    <w:abstractNumId w:val="0"/>
  </w:num>
  <w:num w:numId="41" w16cid:durableId="1992176789">
    <w:abstractNumId w:val="11"/>
  </w:num>
  <w:num w:numId="42" w16cid:durableId="1448699148">
    <w:abstractNumId w:val="11"/>
  </w:num>
  <w:num w:numId="43" w16cid:durableId="1255167295">
    <w:abstractNumId w:val="11"/>
  </w:num>
  <w:num w:numId="44" w16cid:durableId="198473262">
    <w:abstractNumId w:val="13"/>
  </w:num>
  <w:num w:numId="45" w16cid:durableId="1832408677">
    <w:abstractNumId w:val="12"/>
  </w:num>
  <w:num w:numId="46" w16cid:durableId="8036986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EL"/>
    <w:docVar w:name="dvnumam" w:val="41"/>
    <w:docVar w:name="dvpe" w:val="775.631"/>
    <w:docVar w:name="dvrapporteur" w:val="Εισηγητής: "/>
    <w:docVar w:name="dvtitre" w:val="Απόφαση του Ευρωπαϊκού Κοινοβουλίου της ... 2026 σχετικά με την εξέταση των αλυσίδων υπεργολαβίας και του ρόλου των μεσαζόντων με στόχο την προστασία των δικαιωμάτων των εργαζομένων(2025/2133(INI))"/>
  </w:docVars>
  <w:rsids>
    <w:rsidRoot w:val="00485C0D"/>
    <w:rsid w:val="00002272"/>
    <w:rsid w:val="00032C26"/>
    <w:rsid w:val="00064002"/>
    <w:rsid w:val="000677B9"/>
    <w:rsid w:val="000831BA"/>
    <w:rsid w:val="000A42CC"/>
    <w:rsid w:val="000E7DD9"/>
    <w:rsid w:val="000F397D"/>
    <w:rsid w:val="0010095E"/>
    <w:rsid w:val="00125B37"/>
    <w:rsid w:val="00157EA6"/>
    <w:rsid w:val="00187494"/>
    <w:rsid w:val="001F32AE"/>
    <w:rsid w:val="002767FF"/>
    <w:rsid w:val="002B18FE"/>
    <w:rsid w:val="002B5493"/>
    <w:rsid w:val="00343214"/>
    <w:rsid w:val="00361C00"/>
    <w:rsid w:val="00395FA1"/>
    <w:rsid w:val="003E15D4"/>
    <w:rsid w:val="00411CCE"/>
    <w:rsid w:val="0041666E"/>
    <w:rsid w:val="00421060"/>
    <w:rsid w:val="00471C19"/>
    <w:rsid w:val="00485C0D"/>
    <w:rsid w:val="004867E3"/>
    <w:rsid w:val="00494A28"/>
    <w:rsid w:val="004C0004"/>
    <w:rsid w:val="004C5D52"/>
    <w:rsid w:val="0050519A"/>
    <w:rsid w:val="005072A1"/>
    <w:rsid w:val="00514517"/>
    <w:rsid w:val="00545827"/>
    <w:rsid w:val="00560270"/>
    <w:rsid w:val="00571A87"/>
    <w:rsid w:val="00577CFD"/>
    <w:rsid w:val="005B6E34"/>
    <w:rsid w:val="005C2568"/>
    <w:rsid w:val="005F1B17"/>
    <w:rsid w:val="006037C0"/>
    <w:rsid w:val="006631B6"/>
    <w:rsid w:val="00680577"/>
    <w:rsid w:val="006F74FA"/>
    <w:rsid w:val="00731ADD"/>
    <w:rsid w:val="00734777"/>
    <w:rsid w:val="00747932"/>
    <w:rsid w:val="00751A4A"/>
    <w:rsid w:val="00756632"/>
    <w:rsid w:val="00762C74"/>
    <w:rsid w:val="007860F3"/>
    <w:rsid w:val="00786EC0"/>
    <w:rsid w:val="0079399E"/>
    <w:rsid w:val="007D1690"/>
    <w:rsid w:val="007E22AD"/>
    <w:rsid w:val="00817416"/>
    <w:rsid w:val="008245D5"/>
    <w:rsid w:val="00842779"/>
    <w:rsid w:val="00865F67"/>
    <w:rsid w:val="00881A7B"/>
    <w:rsid w:val="008840E5"/>
    <w:rsid w:val="00887B3E"/>
    <w:rsid w:val="008C2AC6"/>
    <w:rsid w:val="00930C23"/>
    <w:rsid w:val="0093193B"/>
    <w:rsid w:val="00937C43"/>
    <w:rsid w:val="009509D8"/>
    <w:rsid w:val="00950B64"/>
    <w:rsid w:val="00981893"/>
    <w:rsid w:val="00A1687D"/>
    <w:rsid w:val="00A43E52"/>
    <w:rsid w:val="00A4678D"/>
    <w:rsid w:val="00A778C7"/>
    <w:rsid w:val="00AB441E"/>
    <w:rsid w:val="00AB6293"/>
    <w:rsid w:val="00AE0928"/>
    <w:rsid w:val="00AF3B82"/>
    <w:rsid w:val="00B12E95"/>
    <w:rsid w:val="00B22876"/>
    <w:rsid w:val="00B4721B"/>
    <w:rsid w:val="00B558F0"/>
    <w:rsid w:val="00B908C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7F5"/>
    <w:rsid w:val="00DE6DB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DA0B1"/>
  <w15:chartTrackingRefBased/>
  <w15:docId w15:val="{4B72065F-F8C1-47F0-BC2F-E22DA1BC8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57EA6"/>
    <w:pPr>
      <w:spacing w:after="240"/>
      <w:ind w:left="567" w:hanging="567"/>
    </w:pPr>
  </w:style>
  <w:style w:type="paragraph" w:customStyle="1" w:styleId="EPComma">
    <w:name w:val="EPComma"/>
    <w:basedOn w:val="Normal"/>
    <w:rsid w:val="00157EA6"/>
    <w:pPr>
      <w:spacing w:before="480" w:after="240"/>
    </w:pPr>
  </w:style>
  <w:style w:type="character" w:styleId="Hyperlink">
    <w:name w:val="Hyperlink"/>
    <w:basedOn w:val="DefaultParagraphFont"/>
    <w:rsid w:val="00157EA6"/>
    <w:rPr>
      <w:color w:val="0563C1" w:themeColor="hyperlink"/>
      <w:u w:val="single"/>
    </w:rPr>
  </w:style>
  <w:style w:type="paragraph" w:styleId="Revision">
    <w:name w:val="Revision"/>
    <w:hidden/>
    <w:uiPriority w:val="99"/>
    <w:semiHidden/>
    <w:rsid w:val="00B4721B"/>
    <w:rPr>
      <w:sz w:val="24"/>
      <w:lang w:val="el-GR"/>
    </w:rPr>
  </w:style>
  <w:style w:type="character" w:styleId="UnresolvedMention">
    <w:name w:val="Unresolved Mention"/>
    <w:basedOn w:val="DefaultParagraphFont"/>
    <w:uiPriority w:val="99"/>
    <w:semiHidden/>
    <w:unhideWhenUsed/>
    <w:rsid w:val="00B4721B"/>
    <w:rPr>
      <w:color w:val="605E5C"/>
      <w:shd w:val="clear" w:color="auto" w:fill="E1DFDD"/>
    </w:rPr>
  </w:style>
  <w:style w:type="character" w:styleId="FollowedHyperlink">
    <w:name w:val="FollowedHyperlink"/>
    <w:basedOn w:val="DefaultParagraphFont"/>
    <w:rsid w:val="000F39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data.europa.eu/eli/C/2024/5741/oj" TargetMode="External"/><Relationship Id="rId18" Type="http://schemas.openxmlformats.org/officeDocument/2006/relationships/hyperlink" Target="https://www.bmas.de/DE/Service/Presse/Meldungen/2025/nationaler-aktionsplan-gegen-arbeitsausbeutung-und-zwangsarbeit-beschlossen.html" TargetMode="External"/><Relationship Id="rId3" Type="http://schemas.openxmlformats.org/officeDocument/2006/relationships/hyperlink" Target="http://data.europa.eu/eli/dir/2011/36/oj" TargetMode="External"/><Relationship Id="rId21" Type="http://schemas.openxmlformats.org/officeDocument/2006/relationships/hyperlink" Target="https://data.europa.eu/doi/10.2826/844552" TargetMode="External"/><Relationship Id="rId7" Type="http://schemas.openxmlformats.org/officeDocument/2006/relationships/hyperlink" Target="https://data.europa.eu/doi/10.2826/844552" TargetMode="External"/><Relationship Id="rId12" Type="http://schemas.openxmlformats.org/officeDocument/2006/relationships/hyperlink" Target="http://data.europa.eu/eli/C/2025/3156/oj" TargetMode="External"/><Relationship Id="rId17" Type="http://schemas.openxmlformats.org/officeDocument/2006/relationships/hyperlink" Target="https://julkaisut.valtioneuvosto.fi/bitstream/handle/10024/165395/TEM_2024_5.pdf" TargetMode="External"/><Relationship Id="rId25" Type="http://schemas.openxmlformats.org/officeDocument/2006/relationships/hyperlink" Target="http://data.europa.eu/eli/dir/2006/22/oj" TargetMode="External"/><Relationship Id="rId2" Type="http://schemas.openxmlformats.org/officeDocument/2006/relationships/hyperlink" Target="http://data.europa.eu/eli/dir/2014/67/oj" TargetMode="External"/><Relationship Id="rId16" Type="http://schemas.openxmlformats.org/officeDocument/2006/relationships/hyperlink" Target="https://www.regeringen.se/contentassets/f6f461b310984b598ee4f7a2d83350d0/nationell-strategi-mot-arbetslivskriminalitet.pdf" TargetMode="External"/><Relationship Id="rId20" Type="http://schemas.openxmlformats.org/officeDocument/2006/relationships/hyperlink" Target="http://data.europa.eu/eli/reg/2008/1008/oj"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24" Type="http://schemas.openxmlformats.org/officeDocument/2006/relationships/hyperlink" Target="http://data.europa.eu/eli/dir/2008/104/oj" TargetMode="External"/><Relationship Id="rId5" Type="http://schemas.openxmlformats.org/officeDocument/2006/relationships/hyperlink" Target="http://data.europa.eu/eli/dir/2014/24/oj" TargetMode="External"/><Relationship Id="rId15" Type="http://schemas.openxmlformats.org/officeDocument/2006/relationships/hyperlink" Target="https://op.europa.eu/en/publication-detail/-/publication/d06f8af4-02bd-11ef-a251-01aa75ed71a1/language-en" TargetMode="External"/><Relationship Id="rId23" Type="http://schemas.openxmlformats.org/officeDocument/2006/relationships/hyperlink" Target="http://data.europa.eu/eli/dir/2002/14/oj"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s://www.regjeringen.no/no/dokumenter/strategi-mot-arbeidslivskriminalitet-2021/id2831867/"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op.europa.eu/en/publication-detail/-/publication/384d8554-4e1c-11ef-acbc-01aa75ed71a1/language-en" TargetMode="External"/><Relationship Id="rId22" Type="http://schemas.openxmlformats.org/officeDocument/2006/relationships/hyperlink" Target="https://joint-research-centre.ec.europa.eu/projects-and-activities/employment/outsourcing-working-conditions-and-inequality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6554</Words>
  <Characters>40270</Characters>
  <Application>Microsoft Office Word</Application>
  <DocSecurity>0</DocSecurity>
  <Lines>335</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2026-02-13T08:14:00Z</dcterms:created>
  <dcterms:modified xsi:type="dcterms:W3CDTF">2026-02-13T08:14:00Z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P10_TA(2026)0050_</vt:lpwstr>
  </property>
  <property fmtid="{D5CDD505-2E9C-101B-9397-08002B2CF9AE}" pid="4" name="&lt;Type&gt;">
    <vt:lpwstr>RR</vt:lpwstr>
  </property>
</Properties>
</file>