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0F34" w14:paraId="4FAF41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938444" w14:textId="77777777" w:rsidR="00751A4A" w:rsidRPr="00EB0F34" w:rsidRDefault="000F408C" w:rsidP="0010095E">
            <w:pPr>
              <w:pStyle w:val="EPName"/>
            </w:pPr>
            <w:r w:rsidRPr="00EB0F34">
              <w:t>Európai Parlament</w:t>
            </w:r>
          </w:p>
          <w:p w14:paraId="0C4615C6" w14:textId="77777777" w:rsidR="00751A4A" w:rsidRPr="00EB0F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0F34">
              <w:t>2024</w:t>
            </w:r>
            <w:r w:rsidR="00817416" w:rsidRPr="00EB0F34">
              <w:t>-202</w:t>
            </w:r>
            <w:r w:rsidRPr="00EB0F34">
              <w:t>9</w:t>
            </w:r>
          </w:p>
        </w:tc>
        <w:tc>
          <w:tcPr>
            <w:tcW w:w="2268" w:type="dxa"/>
            <w:shd w:val="clear" w:color="auto" w:fill="auto"/>
          </w:tcPr>
          <w:p w14:paraId="77BE0413" w14:textId="77777777" w:rsidR="00751A4A" w:rsidRPr="00EB0F34" w:rsidRDefault="00187494" w:rsidP="0010095E">
            <w:pPr>
              <w:pStyle w:val="EPLogo"/>
            </w:pPr>
            <w:r w:rsidRPr="00EB0F34">
              <w:rPr>
                <w:noProof/>
                <w:lang w:eastAsia="ja-JP"/>
              </w:rPr>
              <w:drawing>
                <wp:inline distT="0" distB="0" distL="0" distR="0" wp14:anchorId="3858AE66" wp14:editId="3D2751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61EB40" w14:textId="77777777" w:rsidR="00D058B8" w:rsidRPr="00EB0F34" w:rsidRDefault="00D058B8" w:rsidP="004C5D52">
      <w:pPr>
        <w:pStyle w:val="LineTop"/>
      </w:pPr>
    </w:p>
    <w:p w14:paraId="748AB76F" w14:textId="77777777" w:rsidR="00680577" w:rsidRPr="00EB0F34" w:rsidRDefault="000F408C" w:rsidP="00680577">
      <w:pPr>
        <w:pStyle w:val="EPBodyTA1"/>
      </w:pPr>
      <w:r w:rsidRPr="00EB0F34">
        <w:t>ELFOGADOTT SZÖVEGEK</w:t>
      </w:r>
    </w:p>
    <w:p w14:paraId="08AC1E94" w14:textId="77777777" w:rsidR="00D058B8" w:rsidRPr="00EB0F34" w:rsidRDefault="00D058B8" w:rsidP="00D058B8">
      <w:pPr>
        <w:pStyle w:val="LineBottom"/>
      </w:pPr>
    </w:p>
    <w:p w14:paraId="4E1DD3FB" w14:textId="241B1735" w:rsidR="000F408C" w:rsidRPr="00EB0F34" w:rsidRDefault="000F408C" w:rsidP="000F408C">
      <w:pPr>
        <w:pStyle w:val="ATHeading1"/>
      </w:pPr>
      <w:bookmarkStart w:id="0" w:name="TANumber"/>
      <w:r w:rsidRPr="00EB0F34">
        <w:t>P10_</w:t>
      </w:r>
      <w:proofErr w:type="gramStart"/>
      <w:r w:rsidRPr="00EB0F34">
        <w:t>TA(</w:t>
      </w:r>
      <w:proofErr w:type="gramEnd"/>
      <w:r w:rsidRPr="00EB0F34">
        <w:t>2026)00</w:t>
      </w:r>
      <w:r w:rsidR="00EB0F34">
        <w:t>5</w:t>
      </w:r>
      <w:r w:rsidRPr="00EB0F34">
        <w:t>0</w:t>
      </w:r>
      <w:bookmarkEnd w:id="0"/>
    </w:p>
    <w:p w14:paraId="695A1135" w14:textId="16F9D4FD" w:rsidR="000F408C" w:rsidRPr="00EB0F34" w:rsidRDefault="00B52874" w:rsidP="00B52874">
      <w:pPr>
        <w:pStyle w:val="ATHeading2"/>
      </w:pPr>
      <w:bookmarkStart w:id="1" w:name="title"/>
      <w:r w:rsidRPr="00EB0F34">
        <w:t>Az alvállalkozói láncoknak és a közvetítők szerepének kezelése a munkavállalók jogainak védelme érdekében</w:t>
      </w:r>
      <w:bookmarkEnd w:id="1"/>
    </w:p>
    <w:p w14:paraId="3F5313F7" w14:textId="77777777" w:rsidR="000F408C" w:rsidRPr="00EB0F34" w:rsidRDefault="000F408C" w:rsidP="000F408C">
      <w:pPr>
        <w:rPr>
          <w:i/>
          <w:vanish/>
        </w:rPr>
      </w:pPr>
      <w:r w:rsidRPr="00EB0F34">
        <w:rPr>
          <w:i/>
        </w:rPr>
        <w:fldChar w:fldCharType="begin"/>
      </w:r>
      <w:r w:rsidRPr="00EB0F34">
        <w:rPr>
          <w:i/>
        </w:rPr>
        <w:instrText xml:space="preserve"> TC"(</w:instrText>
      </w:r>
      <w:bookmarkStart w:id="2" w:name="DocNumber"/>
      <w:r w:rsidRPr="00EB0F34">
        <w:rPr>
          <w:i/>
        </w:rPr>
        <w:instrText>A10-0256/2025</w:instrText>
      </w:r>
      <w:bookmarkEnd w:id="2"/>
      <w:r w:rsidRPr="00EB0F34">
        <w:rPr>
          <w:i/>
        </w:rPr>
        <w:instrText xml:space="preserve"> - Előadó: Johan Danielsson)"\l3 \n&gt; \* MERGEFORMAT </w:instrText>
      </w:r>
      <w:r w:rsidRPr="00EB0F34">
        <w:rPr>
          <w:i/>
        </w:rPr>
        <w:fldChar w:fldCharType="end"/>
      </w:r>
    </w:p>
    <w:p w14:paraId="7131D247" w14:textId="77777777" w:rsidR="000F408C" w:rsidRPr="00EB0F34" w:rsidRDefault="000F408C" w:rsidP="000F408C">
      <w:pPr>
        <w:rPr>
          <w:vanish/>
        </w:rPr>
      </w:pPr>
      <w:bookmarkStart w:id="3" w:name="Commission"/>
      <w:r w:rsidRPr="00EB0F34">
        <w:rPr>
          <w:vanish/>
        </w:rPr>
        <w:t>Foglalkoztatási és Szociális Bizottság</w:t>
      </w:r>
      <w:bookmarkEnd w:id="3"/>
    </w:p>
    <w:p w14:paraId="1F5CEF0C" w14:textId="77777777" w:rsidR="000F408C" w:rsidRPr="00EB0F34" w:rsidRDefault="000F408C" w:rsidP="000F408C">
      <w:pPr>
        <w:rPr>
          <w:vanish/>
        </w:rPr>
      </w:pPr>
      <w:bookmarkStart w:id="4" w:name="PE"/>
      <w:r w:rsidRPr="00EB0F34">
        <w:rPr>
          <w:vanish/>
        </w:rPr>
        <w:t>PE775.631</w:t>
      </w:r>
      <w:bookmarkEnd w:id="4"/>
    </w:p>
    <w:p w14:paraId="4B4B5F93" w14:textId="6588DD0C" w:rsidR="000F408C" w:rsidRPr="00EB0F34" w:rsidRDefault="000F408C" w:rsidP="000F408C">
      <w:pPr>
        <w:pStyle w:val="ATHeading3"/>
      </w:pPr>
      <w:bookmarkStart w:id="5" w:name="Sujet"/>
      <w:r w:rsidRPr="00EB0F34">
        <w:t>Az Európai Parlament 202</w:t>
      </w:r>
      <w:r w:rsidR="00456218" w:rsidRPr="00EB0F34">
        <w:t>6</w:t>
      </w:r>
      <w:r w:rsidRPr="00EB0F34">
        <w:t xml:space="preserve">. </w:t>
      </w:r>
      <w:r w:rsidR="00B52874" w:rsidRPr="00EB0F34">
        <w:t>február</w:t>
      </w:r>
      <w:r w:rsidRPr="00EB0F34">
        <w:t xml:space="preserve"> </w:t>
      </w:r>
      <w:r w:rsidR="00B52874" w:rsidRPr="00EB0F34">
        <w:t>12-</w:t>
      </w:r>
      <w:r w:rsidRPr="00EB0F34">
        <w:t>i állásfoglalása az alvállalkozói láncoknak és a közvetítők szerepének kezeléséről a munkavállalók jogainak védelme érdekében</w:t>
      </w:r>
      <w:bookmarkEnd w:id="5"/>
      <w:r w:rsidRPr="00EB0F34">
        <w:t xml:space="preserve"> </w:t>
      </w:r>
      <w:bookmarkStart w:id="6" w:name="References"/>
      <w:r w:rsidRPr="00EB0F34">
        <w:t>(2025/2133(INI))</w:t>
      </w:r>
      <w:bookmarkEnd w:id="6"/>
    </w:p>
    <w:p w14:paraId="461B8470" w14:textId="77777777" w:rsidR="00940072" w:rsidRPr="00EB0F34" w:rsidRDefault="00940072" w:rsidP="00940072">
      <w:pPr>
        <w:pStyle w:val="EPComma"/>
      </w:pPr>
      <w:r w:rsidRPr="00EB0F34">
        <w:rPr>
          <w:i/>
        </w:rPr>
        <w:t>Az Európai Parlament</w:t>
      </w:r>
      <w:r w:rsidRPr="00EB0F34">
        <w:t>,</w:t>
      </w:r>
    </w:p>
    <w:p w14:paraId="28B487C4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Európai Unió Alapjogi Chartájának 16. és 31. cikkére,</w:t>
      </w:r>
    </w:p>
    <w:p w14:paraId="30C94431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szociális jogok európai pillérére,</w:t>
      </w:r>
    </w:p>
    <w:p w14:paraId="3449EB69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(EU) 2018/957 irányelvvel módosított, a munkavállalók szolgáltatások nyújtása keretében történő kiküldetéséről szóló, 1996. december 16-i 96/71/EK európai parlamenti és tanácsi irányelvre</w:t>
      </w:r>
      <w:r w:rsidRPr="00EB0F34">
        <w:rPr>
          <w:rStyle w:val="FootnoteReference"/>
        </w:rPr>
        <w:footnoteReference w:id="1"/>
      </w:r>
      <w:r w:rsidRPr="00EB0F34">
        <w:t>,</w:t>
      </w:r>
    </w:p>
    <w:p w14:paraId="12D8EC4C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munkavállalók szolgáltatások nyújtása keretében történő kiküldetéséről szóló 96/71/EK irányelv érvényesítéséről és a belső piaci információs rendszer keretében történő igazgatási együttműködésről szóló 1024/2012/EU rendelet (az IMI-rendelet) módosításáról szóló, 2014. május 15-i 2014/67/EU európai parlamenti és tanácsi irányelvre</w:t>
      </w:r>
      <w:r w:rsidRPr="00EB0F34">
        <w:rPr>
          <w:rStyle w:val="FootnoteReference"/>
        </w:rPr>
        <w:footnoteReference w:id="2"/>
      </w:r>
      <w:r w:rsidRPr="00EB0F34">
        <w:t>,</w:t>
      </w:r>
    </w:p>
    <w:p w14:paraId="26EDC839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(EU) 2024/1712 irányelv által módosított, az emberkereskedelem megelőzéséről, és az ellene folytatott küzdelemről, az áldozatok védelméről, valamint a 2002/629/IB tanácsi kerethatározat felváltásáról szóló, 2011. április 5-i 2011/36/EU európai parlamenti és tanácsi irányelvre</w:t>
      </w:r>
      <w:r w:rsidRPr="00EB0F34">
        <w:rPr>
          <w:rStyle w:val="FootnoteReference"/>
        </w:rPr>
        <w:footnoteReference w:id="3"/>
      </w:r>
      <w:r w:rsidRPr="00EB0F34">
        <w:t>,</w:t>
      </w:r>
    </w:p>
    <w:p w14:paraId="0B26F76B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 xml:space="preserve">tekintettel az illegálisan tartózkodó harmadik országbeli állampolgárokat foglalkoztató munkáltatókkal szembeni szankciókra és intézkedésekre vonatkozó minimumszabályokról szóló, 2009. június 18-i 2009/52/EK európai parlamenti és </w:t>
      </w:r>
      <w:r w:rsidRPr="00EB0F34">
        <w:lastRenderedPageBreak/>
        <w:t>tanácsi irányelvre</w:t>
      </w:r>
      <w:r w:rsidRPr="00EB0F34">
        <w:rPr>
          <w:rStyle w:val="FootnoteReference"/>
        </w:rPr>
        <w:footnoteReference w:id="4"/>
      </w:r>
      <w:r w:rsidRPr="00EB0F34">
        <w:t xml:space="preserve"> (a továbbiakban: munkáltatókkal szembeni szankciókról szóló irányelv),</w:t>
      </w:r>
    </w:p>
    <w:p w14:paraId="70EE8D00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közbeszerzésről és a 2004/18/EK irányelv hatályon kívül helyezésérő szóló, 2014. február 26-i 2014/24/EU európai parlamenti és tanácsi irányelvre</w:t>
      </w:r>
      <w:r w:rsidRPr="00EB0F34">
        <w:rPr>
          <w:rStyle w:val="FootnoteReference"/>
        </w:rPr>
        <w:footnoteReference w:id="5"/>
      </w:r>
      <w:r w:rsidRPr="00EB0F34">
        <w:t>,</w:t>
      </w:r>
    </w:p>
    <w:p w14:paraId="0AA41DA2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fenntarthatósággal kapcsolatos vállalati átvilágításról, valamint az (EU) 2019/1937 irányelv és az (EU) 2023/2859 rendelet módosításáról szóló, 2024. június 13-i (EU) 2024/1760 európai parlamenti és tanácsi irányelvre</w:t>
      </w:r>
      <w:r w:rsidRPr="00EB0F34">
        <w:rPr>
          <w:rStyle w:val="FootnoteReference"/>
        </w:rPr>
        <w:footnoteReference w:id="6"/>
      </w:r>
      <w:r w:rsidRPr="00EB0F34">
        <w:t>,</w:t>
      </w:r>
    </w:p>
    <w:p w14:paraId="5511813A" w14:textId="16CA046F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munkavállalók szolgáltatások nyújtása keretében történő kiküldetéséről szóló 96/71/EK irányelv módosításáról szóló, 2018. június 28-i (EU) 2018/957 európai parlamenti és tanácsi irányelv alkalmazásáról és végrehajtásáról szóló</w:t>
      </w:r>
      <w:r w:rsidR="002A225E">
        <w:t>, 2024. április 30-i</w:t>
      </w:r>
      <w:r w:rsidRPr="00EB0F34">
        <w:t xml:space="preserve"> bizottsági jelentésre (</w:t>
      </w:r>
      <w:proofErr w:type="gramStart"/>
      <w:r w:rsidRPr="00EB0F34">
        <w:t>COM(</w:t>
      </w:r>
      <w:proofErr w:type="gramEnd"/>
      <w:r w:rsidRPr="00EB0F34">
        <w:t>2024)0320),</w:t>
      </w:r>
    </w:p>
    <w:p w14:paraId="1B9782D0" w14:textId="2BDDD64D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 xml:space="preserve">tekintettel „Az Európai Munkaügyi Hatóság (ELA) értékelése” című, 2025. május </w:t>
      </w:r>
      <w:r w:rsidR="002A225E">
        <w:t>26</w:t>
      </w:r>
      <w:r w:rsidRPr="00EB0F34">
        <w:t>-i bizottsági jelentésre (</w:t>
      </w:r>
      <w:proofErr w:type="gramStart"/>
      <w:r w:rsidRPr="00EB0F34">
        <w:t>COM(</w:t>
      </w:r>
      <w:proofErr w:type="gramEnd"/>
      <w:r w:rsidRPr="00EB0F34">
        <w:t>2025)0256),</w:t>
      </w:r>
    </w:p>
    <w:p w14:paraId="1E8218E4" w14:textId="78731D9D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„Az Európai Unió 2021–2027-es munkahelyi biztonsági és egészségvédelmi stratégiai kerete Munkahelyi biztonság és egészségvédelem a munka változó világában” című, 2020. december 3-i bizottsági közleményre (</w:t>
      </w:r>
      <w:proofErr w:type="gramStart"/>
      <w:r w:rsidRPr="00EB0F34">
        <w:t>COM(</w:t>
      </w:r>
      <w:proofErr w:type="gramEnd"/>
      <w:r w:rsidRPr="00EB0F34">
        <w:t>2021)0323), többek között a munkával összefüggő uniós halálesetekre vonatkozó zéró-elképzelés megközelítésre,</w:t>
      </w:r>
    </w:p>
    <w:p w14:paraId="0001A691" w14:textId="022E3F60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Bizottságnak a „Making Socially Responsible Public Procurement Work – 71 Good Practice Cases” című, 2020. májusi kiadványára</w:t>
      </w:r>
      <w:r w:rsidRPr="00EB0F34">
        <w:rPr>
          <w:rStyle w:val="FootnoteReference"/>
        </w:rPr>
        <w:footnoteReference w:id="7"/>
      </w:r>
      <w:r w:rsidR="00022BC3" w:rsidRPr="00EB0F34">
        <w:t>,</w:t>
      </w:r>
    </w:p>
    <w:p w14:paraId="5A5FC3F1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Európai Munkaügyi Hatóság 2025. évi, „Posting of third‑country nationals: Contracting chains, recruitment patterns, and enforcement issues” című jelentésére</w:t>
      </w:r>
      <w:r w:rsidRPr="00EB0F34">
        <w:rPr>
          <w:rStyle w:val="FootnoteReference"/>
        </w:rPr>
        <w:footnoteReference w:id="8"/>
      </w:r>
      <w:r w:rsidRPr="00EB0F34">
        <w:t>,</w:t>
      </w:r>
    </w:p>
    <w:p w14:paraId="26ECE865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Európai Munkaügyi Hatóság 2023. februári, „Cooperation practices, possibilities and challenges between Member States – specifically in relation to the posting of third‑country nationals” című jelentésére</w:t>
      </w:r>
      <w:r w:rsidRPr="00EB0F34">
        <w:rPr>
          <w:rStyle w:val="FootnoteReference"/>
        </w:rPr>
        <w:footnoteReference w:id="9"/>
      </w:r>
      <w:r w:rsidRPr="00EB0F34">
        <w:t>,</w:t>
      </w:r>
    </w:p>
    <w:p w14:paraId="699C24FC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Európai Munkaügyi Hatóság 2023. szeptember 20-i, „Construction sector: Issues in information provision, enforcement of labour mobility law, social security coordination regulations, and cooperation between Member States” című jelentésére</w:t>
      </w:r>
      <w:r w:rsidRPr="00EB0F34">
        <w:rPr>
          <w:rStyle w:val="FootnoteReference"/>
        </w:rPr>
        <w:footnoteReference w:id="10"/>
      </w:r>
      <w:r w:rsidRPr="00EB0F34">
        <w:t>,</w:t>
      </w:r>
    </w:p>
    <w:p w14:paraId="2643BD87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Europol 2024. decemberi, „Leveraging legitimacy: How the EU’s most threatening criminal networks abuse legal business structures” című jelentésére,</w:t>
      </w:r>
    </w:p>
    <w:p w14:paraId="0FCA9FB0" w14:textId="77777777" w:rsidR="00940072" w:rsidRPr="00EB0F34" w:rsidRDefault="00940072" w:rsidP="003B36EE">
      <w:pPr>
        <w:pStyle w:val="NormalHanging12a"/>
        <w:widowControl/>
      </w:pPr>
      <w:r w:rsidRPr="00EB0F34">
        <w:lastRenderedPageBreak/>
        <w:t>–</w:t>
      </w:r>
      <w:r w:rsidRPr="00EB0F34">
        <w:tab/>
        <w:t>tekintettel a Nemzetközi Munkaügyi Szervezet (ILO) „Guidelines on general principles of labour inspection” című dokumentumának 10. cikkére,</w:t>
      </w:r>
    </w:p>
    <w:p w14:paraId="6B5CECE4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magán-munkaközvetítő ügynökségekről szóló ILO-egyezményre (1997. évi 181. sz. egyezmény),</w:t>
      </w:r>
    </w:p>
    <w:p w14:paraId="66F8CB61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építkezéssel kapcsolatos biztonsági és egészségügyi kérdésekről szóló ILO-egyezményre (1988. évi 167. sz. egyezmény),</w:t>
      </w:r>
    </w:p>
    <w:p w14:paraId="719F3F72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„Az európai társadalombiztosítási kártya bevezetéséről a szociális biztonság területén a digitális jogérvényesítés és a méltányos mobilitás javítása érdekében” című, 2021. november 25-i állásfoglalására</w:t>
      </w:r>
      <w:r w:rsidRPr="00EB0F34">
        <w:rPr>
          <w:rStyle w:val="FootnoteReference"/>
        </w:rPr>
        <w:footnoteReference w:id="11"/>
      </w:r>
      <w:r w:rsidRPr="00EB0F34">
        <w:t>,</w:t>
      </w:r>
    </w:p>
    <w:p w14:paraId="0551F83F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„A szerkezetátalakítási folyamatok szociális és foglalkoztatási szempontjai: a munkahelyek és a munkavállalói jogok védelmének szükségessége” című, 2025. március 13-i állásfoglalására</w:t>
      </w:r>
      <w:r w:rsidRPr="00EB0F34">
        <w:rPr>
          <w:rStyle w:val="FootnoteReference"/>
        </w:rPr>
        <w:footnoteReference w:id="12"/>
      </w:r>
      <w:r w:rsidRPr="00EB0F34">
        <w:t>,</w:t>
      </w:r>
    </w:p>
    <w:p w14:paraId="34AD37DE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Európai Munkaügyi Hatóság megbízatásának felülvizsgálatáról szóló, 2024. január 18-i állásfoglalására</w:t>
      </w:r>
      <w:r w:rsidRPr="00EB0F34">
        <w:rPr>
          <w:rStyle w:val="FootnoteReference"/>
        </w:rPr>
        <w:footnoteReference w:id="13"/>
      </w:r>
      <w:r w:rsidRPr="00EB0F34">
        <w:t>,</w:t>
      </w:r>
    </w:p>
    <w:p w14:paraId="74451537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közbeszerzésről szóló, 2025. szeptember 9-i állásfoglalására</w:t>
      </w:r>
      <w:r w:rsidRPr="00EB0F34">
        <w:rPr>
          <w:rStyle w:val="FootnoteReference"/>
        </w:rPr>
        <w:footnoteReference w:id="14"/>
      </w:r>
      <w:r w:rsidRPr="00EB0F34">
        <w:t>,</w:t>
      </w:r>
    </w:p>
    <w:p w14:paraId="194BC975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szociális jogok európai pillérének jövőjéről szóló, 2024. április 16-i La Hulpe-i nyilatkozatra,</w:t>
      </w:r>
    </w:p>
    <w:p w14:paraId="0B7C4554" w14:textId="5EBE5BD0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szociális partnerek Val Duchesse-i csúcstalálkozójának a virágzó európai szociális párbeszédről szóló, 2024. január 31-i háromoldalú nyilatkozatára</w:t>
      </w:r>
      <w:r w:rsidR="00022BC3" w:rsidRPr="00EB0F34">
        <w:t>,</w:t>
      </w:r>
    </w:p>
    <w:p w14:paraId="397C675B" w14:textId="73440179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„Az európai vállalatközi élelmiszer- és nemélelmiszer-ellátási lánc mentén alkalmazott tisztességtelen kereskedelmi gyakorlatokról” című, 2013. január 31-i bizottsági zöld könyvre (</w:t>
      </w:r>
      <w:proofErr w:type="gramStart"/>
      <w:r w:rsidRPr="00EB0F34">
        <w:t>COM(</w:t>
      </w:r>
      <w:proofErr w:type="gramEnd"/>
      <w:r w:rsidRPr="00EB0F34">
        <w:t>2013)0037),</w:t>
      </w:r>
    </w:p>
    <w:p w14:paraId="7495DE9B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„Versenyképességi iránytű az EU számára” című, 2025. január 29-i bizottsági közleményre (</w:t>
      </w:r>
      <w:proofErr w:type="gramStart"/>
      <w:r w:rsidRPr="00EB0F34">
        <w:t>COM(</w:t>
      </w:r>
      <w:proofErr w:type="gramEnd"/>
      <w:r w:rsidRPr="00EB0F34">
        <w:t>2025)0030),</w:t>
      </w:r>
    </w:p>
    <w:p w14:paraId="3489C444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az Eurofound hatodik európai munkakörülmény-felmérésére,</w:t>
      </w:r>
    </w:p>
    <w:p w14:paraId="243B242B" w14:textId="77777777" w:rsidR="00940072" w:rsidRPr="00EB0F34" w:rsidRDefault="00940072" w:rsidP="003B36EE">
      <w:pPr>
        <w:pStyle w:val="NormalHanging12a"/>
        <w:widowControl/>
      </w:pPr>
      <w:r w:rsidRPr="00EB0F34">
        <w:t xml:space="preserve"> –</w:t>
      </w:r>
      <w:r w:rsidRPr="00EB0F34">
        <w:tab/>
        <w:t>tekintettel Mario Draghi „Az európai versenyképesség jövője” című, 2024. szeptember 9-i jelentésére (a továbbiakban: Draghi-jelentés),</w:t>
      </w:r>
    </w:p>
    <w:p w14:paraId="0BE759B2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Enrico Letta „Jóval több mint piac – Gyorsaság, biztonság, szolidaritás: az egységes piac megerősítése valamennyi európai polgár fenntartható jövője és jóléte érdekében” című, 2024. április 17-i jelentésére (a továbbiakban: Letta-jelentés),</w:t>
      </w:r>
    </w:p>
    <w:p w14:paraId="4568AD7F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 xml:space="preserve">tekintettel az EU által a Bizottság számára a 2024–2029-es időszakra vonatkozóan meghatározott politikai prioritásokkal és a harmadik országbeli állampolgárok tisztességes kiküldetésével kapcsolatban Hollandia, Belgium, Dánia, Németország, </w:t>
      </w:r>
      <w:r w:rsidRPr="00EB0F34">
        <w:lastRenderedPageBreak/>
        <w:t>Olaszország, Lettország és Luxemburg által 2025. február 14-én benyújtott állásfoglalásra,</w:t>
      </w:r>
    </w:p>
    <w:p w14:paraId="5BD4C4F1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Bíróság C-298/15. sz., „Borta” UAB kontra Klaipėdos valstybinio jūrų uosto direkcija VĮ ügyben 2017. április 5-én hozott, közbeszerzéssel kapcsolatos ítéletére</w:t>
      </w:r>
      <w:r w:rsidRPr="00EB0F34">
        <w:rPr>
          <w:rStyle w:val="FootnoteReference"/>
        </w:rPr>
        <w:footnoteReference w:id="15"/>
      </w:r>
      <w:r w:rsidRPr="00EB0F34">
        <w:t>,</w:t>
      </w:r>
    </w:p>
    <w:p w14:paraId="0C94294C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munkaerő-kizsákmányolás, a kényszermunka és a be nem jelentett munkavégzés elleni küzdelemre irányuló nemzeti stratégiákra</w:t>
      </w:r>
      <w:r w:rsidRPr="00EB0F34">
        <w:rPr>
          <w:rStyle w:val="FootnoteReference"/>
        </w:rPr>
        <w:footnoteReference w:id="16"/>
      </w:r>
      <w:r w:rsidRPr="00EB0F34">
        <w:t>,</w:t>
      </w:r>
    </w:p>
    <w:p w14:paraId="2B00F09F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eljárási szabályzata 55. cikkére,</w:t>
      </w:r>
    </w:p>
    <w:p w14:paraId="5E1BDD73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Belső Piaci és Fogyasztóvédelmi Bizottság véleményére,</w:t>
      </w:r>
    </w:p>
    <w:p w14:paraId="6E0B6EE0" w14:textId="77777777" w:rsidR="00940072" w:rsidRPr="00EB0F34" w:rsidRDefault="00940072" w:rsidP="003B36EE">
      <w:pPr>
        <w:pStyle w:val="NormalHanging12a"/>
        <w:widowControl/>
      </w:pPr>
      <w:r w:rsidRPr="00EB0F34">
        <w:t>–</w:t>
      </w:r>
      <w:r w:rsidRPr="00EB0F34">
        <w:tab/>
        <w:t>tekintettel a Foglalkoztatási és Szociális Bizottság jelentésére (A10-0256/2025),</w:t>
      </w:r>
    </w:p>
    <w:p w14:paraId="47A96902" w14:textId="77777777" w:rsidR="00940072" w:rsidRPr="00EB0F34" w:rsidRDefault="00940072" w:rsidP="003B36EE">
      <w:pPr>
        <w:pStyle w:val="NormalHanging12a"/>
        <w:widowControl/>
      </w:pPr>
      <w:r w:rsidRPr="00EB0F34">
        <w:t>A.</w:t>
      </w:r>
      <w:r w:rsidRPr="00EB0F34">
        <w:tab/>
        <w:t>mivel a szociális jogok európai pillérének 5. alapelve emlékeztet arra, hogy a munkaviszony jellegétől és időtartamától függetlenül a munkavállalóknak joguk van a tisztességes és egyenlő bánásmódhoz a munkafeltételek, a szociális védelemben való részesülés és a képzésben való részvétel tekintetében; mivel arra is emlékeztet, hogy meg kell akadályozni a munkafeltételek tekintetében bizonytalanságot eredményező munkaviszonyok kialakulását;</w:t>
      </w:r>
    </w:p>
    <w:p w14:paraId="492E3F47" w14:textId="77777777" w:rsidR="00940072" w:rsidRPr="00EB0F34" w:rsidRDefault="00940072" w:rsidP="003B36EE">
      <w:pPr>
        <w:pStyle w:val="NormalHanging12a"/>
        <w:widowControl/>
      </w:pPr>
      <w:r w:rsidRPr="00EB0F34">
        <w:t>B.</w:t>
      </w:r>
      <w:r w:rsidRPr="00EB0F34">
        <w:tab/>
        <w:t>mivel a határokon átnyúló szolgáltatásnyújtás szabadsága az egységes piac négy alapelvének egyike, és mivel az alvállalkozásba adás a szolgáltatásnyújtás és a letelepedés szabadságának részét képezi; mivel az EU-nak meg kell őriznie és fokoznia kell versenyképességét annak érdekében, hogy a vállalkozások boldogulhassanak, különös tekintettel a kis- és középvállalkozásokra (kkv-k); mivel emellett olyan egyértelmű és arányos szabályokat kell létrehoznia, amelyek nem okoznak szükségtelen terheket, és meg kell erősítenie a végrehajtást;</w:t>
      </w:r>
    </w:p>
    <w:p w14:paraId="0E3E608F" w14:textId="77777777" w:rsidR="00940072" w:rsidRPr="00EB0F34" w:rsidRDefault="00940072" w:rsidP="003B36EE">
      <w:pPr>
        <w:pStyle w:val="NormalHanging12a"/>
        <w:widowControl/>
      </w:pPr>
      <w:r w:rsidRPr="00EB0F34">
        <w:t>C.</w:t>
      </w:r>
      <w:r w:rsidRPr="00EB0F34">
        <w:tab/>
        <w:t>mivel a munkaerő-kizsákmányolás és a munkaerővel való visszaélés komoly problémát jelent az EU munkaerőpiacán a kockázatos ágazatokban, amely különböző formákban jelenik meg, többek között, de nem kizárólagosan munkával kapcsolatos bűncselekmények, be nem jelentett munkavégzés, illegális munkavégzés, szürkegazdaság, szociális dömping, munkaerő-kizsákmányolás és modern rabszolgaság formájában;</w:t>
      </w:r>
    </w:p>
    <w:p w14:paraId="0A0B18A8" w14:textId="77777777" w:rsidR="00940072" w:rsidRPr="00EB0F34" w:rsidRDefault="00940072" w:rsidP="003B36EE">
      <w:pPr>
        <w:pStyle w:val="NormalHanging12a"/>
        <w:widowControl/>
      </w:pPr>
      <w:r w:rsidRPr="00EB0F34">
        <w:t>D.</w:t>
      </w:r>
      <w:r w:rsidRPr="00EB0F34">
        <w:tab/>
        <w:t xml:space="preserve">mivel egy ágazatokban nagyobb a munkaerő-kizsákmányolás és a munkaerővel való visszaélés kockázata, például az építőipar, a mezőgazdaság, a vendéglátás, a házimunka, a szállítás és a logisztika, a hús- és élelmiszer-feldolgozás, a takarítási szolgáltatások és </w:t>
      </w:r>
      <w:r w:rsidRPr="00EB0F34">
        <w:lastRenderedPageBreak/>
        <w:t>az ápolás-gondozás területén</w:t>
      </w:r>
      <w:r w:rsidRPr="00EB0F34">
        <w:rPr>
          <w:rStyle w:val="FootnoteReference"/>
        </w:rPr>
        <w:footnoteReference w:id="17"/>
      </w:r>
      <w:r w:rsidRPr="00EB0F34">
        <w:t>; mivel a nők aránytalanul nagy számban képviseltetik magukat az alvállalkozásba adott és kiközvetített tevékenységek terén, különösen az ápolási-gondozási, takarítási és vendéglátóipari ágazatban;</w:t>
      </w:r>
    </w:p>
    <w:p w14:paraId="66BD9C2D" w14:textId="77777777" w:rsidR="00940072" w:rsidRPr="00EB0F34" w:rsidRDefault="00940072" w:rsidP="003B36EE">
      <w:pPr>
        <w:pStyle w:val="NormalHanging12a"/>
        <w:widowControl/>
      </w:pPr>
      <w:r w:rsidRPr="00EB0F34">
        <w:t>E.</w:t>
      </w:r>
      <w:r w:rsidRPr="00EB0F34">
        <w:tab/>
        <w:t>mivel a munkaerő-kizsákmányolás és a munkaerővel való visszaélés következményei túlmutatnak azon, hogy a munkavállalók tisztességtelen és nem biztonságos munkakörülményekkel, nem megfelelő bérekkel, siralmas szálláshelyekkel és bizonytalan foglalkoztatással szembesülnek, hiszen azok azokat a vállalkozásokat – különösen kkv-kat – is érintik, amelyek tisztességtelen versenynek és piaci torzulásoknak vannak kitéve az egységes piacon;</w:t>
      </w:r>
    </w:p>
    <w:p w14:paraId="131D5E91" w14:textId="77777777" w:rsidR="00940072" w:rsidRPr="00EB0F34" w:rsidRDefault="00940072" w:rsidP="003B36EE">
      <w:pPr>
        <w:pStyle w:val="NormalHanging12a"/>
        <w:widowControl/>
      </w:pPr>
      <w:r w:rsidRPr="00EB0F34">
        <w:t>F.</w:t>
      </w:r>
      <w:r w:rsidRPr="00EB0F34">
        <w:tab/>
        <w:t>mivel az Europol kiemeli, hogy a legkártékonyabb bűnözői hálózatok 86%-a bűnözői tevékenységének részeként legális üzleti struktúrákat használ, ami az egységes piacon komoly fenyegetést jelent a tisztességes versenyre nézve; mivel a Bizottság elemzése, valamint az Európai Munkaügyi Hatóság operatív meglátásai rámutatnak a munkaerő-kizsákmányolás és a visszaélések megnövekedett kockázatára a hosszú és összetett alvállalkozói láncokhoz, valamint a munkaerő-közvetítés csalárd formáihoz kapcsolódóan</w:t>
      </w:r>
      <w:r w:rsidRPr="00EB0F34">
        <w:rPr>
          <w:rStyle w:val="FootnoteReference"/>
        </w:rPr>
        <w:footnoteReference w:id="18"/>
      </w:r>
      <w:r w:rsidRPr="00EB0F34">
        <w:t>;</w:t>
      </w:r>
    </w:p>
    <w:p w14:paraId="68C18996" w14:textId="77777777" w:rsidR="00940072" w:rsidRPr="00EB0F34" w:rsidRDefault="00940072" w:rsidP="003B36EE">
      <w:pPr>
        <w:pStyle w:val="NormalHanging12a"/>
        <w:widowControl/>
      </w:pPr>
      <w:r w:rsidRPr="00EB0F34">
        <w:t>G.</w:t>
      </w:r>
      <w:r w:rsidRPr="00EB0F34">
        <w:tab/>
        <w:t>mivel a munkaerő-kizsákmányolás kockázatának kitett legtöbb ágazatban közös változó a magas munkaintenzitás és a hosszú és összetett, vertikális és horizontális alvállalkozói láncok</w:t>
      </w:r>
      <w:r w:rsidRPr="00EB0F34">
        <w:rPr>
          <w:rStyle w:val="FootnoteReference"/>
        </w:rPr>
        <w:footnoteReference w:id="19"/>
      </w:r>
      <w:r w:rsidRPr="00EB0F34">
        <w:t>, ami aláássa az átláthatóságot, a szociális partnerek szerepét, az alkalmazandó kollektív szerződéseket és a munkahelyi demokráciát; mivel a magas kockázatú ágazatokban gyakori a munkaerő-közvetítőktől, a kiküldött munkavállalóktól, az uniós utazó munkavállalóktól és a nem uniós állampolgároktól való erős függés is; mivel egyes atipikus foglalkoztatási formák és a határokon átnyúló összetett megállapodások elmoshatják a felelősségi köröket, akadályozhatják a figyelemfelkeltést, és megnehezíthetik az alkalmazandó munkajog és a kollektív szerződések végrehajtását, valamint a munkavállalási engedélyek, a társadalombiztosítási járulékok, az adófizetés és a munkavállalók személyazonosságának ellenőrzését;</w:t>
      </w:r>
    </w:p>
    <w:p w14:paraId="63C82013" w14:textId="77777777" w:rsidR="00940072" w:rsidRPr="00EB0F34" w:rsidRDefault="00940072" w:rsidP="003B36EE">
      <w:pPr>
        <w:pStyle w:val="NormalHanging12a"/>
        <w:widowControl/>
      </w:pPr>
      <w:r w:rsidRPr="00EB0F34">
        <w:t>H.</w:t>
      </w:r>
      <w:r w:rsidRPr="00EB0F34">
        <w:tab/>
        <w:t>mivel a munkahelyi egészségvédelemre és biztonságra vonatkozó jogszabályoknak való meg nem felelés a munkaerő-kizsákmányolás szerves részét képezi, ami aláássa a Bizottság 2021–2027-es munkahelyi biztonsági és egészségvédelmi stratégiai keretében meghatározott, a munkával összefüggő halálesetekre vonatkozó „zéró-elképzelés” megközelítést; mivel a 167. sz. ILO-egyezmény a fővállalkozók feladatává teszi a munkahelyi biztonsági és egészségvédelmi intézkedések összehangolását;</w:t>
      </w:r>
    </w:p>
    <w:p w14:paraId="0F8357EA" w14:textId="77777777" w:rsidR="00940072" w:rsidRPr="00EB0F34" w:rsidRDefault="00940072" w:rsidP="003B36EE">
      <w:pPr>
        <w:pStyle w:val="NormalHanging12a"/>
        <w:widowControl/>
      </w:pPr>
      <w:r w:rsidRPr="00EB0F34">
        <w:lastRenderedPageBreak/>
        <w:t>I.</w:t>
      </w:r>
      <w:r w:rsidRPr="00EB0F34">
        <w:tab/>
        <w:t>mivel a csalárd és bűnöző szereplők európai munkahelyeken való megjelenése biztonsági kockázatokat is felvet, különösen akkor, ha olyan kritikus ágazatokat érint, mint a közlekedés és a logisztika, az építőipar, az energia és az egészségügy, illetve az olyan tevékenységek, amelyek hozzáférést biztosítanak biztonsági szempontból érzékeny munkahelyekhez, ideértve különösen a takarítást és a karbantartást;</w:t>
      </w:r>
    </w:p>
    <w:p w14:paraId="3CD06BC6" w14:textId="77777777" w:rsidR="00940072" w:rsidRPr="00EB0F34" w:rsidRDefault="00940072" w:rsidP="003B36EE">
      <w:pPr>
        <w:pStyle w:val="NormalHanging12a"/>
        <w:widowControl/>
      </w:pPr>
      <w:r w:rsidRPr="00EB0F34">
        <w:t>J.</w:t>
      </w:r>
      <w:r w:rsidRPr="00EB0F34">
        <w:tab/>
        <w:t>mivel Bizottság</w:t>
      </w:r>
      <w:r w:rsidRPr="00EB0F34">
        <w:rPr>
          <w:rStyle w:val="FootnoteReference"/>
        </w:rPr>
        <w:footnoteReference w:id="20"/>
      </w:r>
      <w:r w:rsidRPr="00EB0F34">
        <w:t xml:space="preserve"> és az Európai Munkaügyi Hatóság esettanulmánya</w:t>
      </w:r>
      <w:r w:rsidRPr="00EB0F34">
        <w:rPr>
          <w:rStyle w:val="FootnoteReference"/>
        </w:rPr>
        <w:footnoteReference w:id="21"/>
      </w:r>
      <w:r w:rsidRPr="00EB0F34">
        <w:t xml:space="preserve"> szerint a harmadik országbeli munkavállalók kiküldetésének mértéke egyre növekszik, és a kiküldött munkavállalók egynegyede harmadik országbeli állampolgár; mivel az utazó és migráns munkavállalók, köztük a harmadik országokból származó munkavállalók különösen ki vannak téve a munkaerő-kizsákmányolásnak és a munkával kapcsolatos bűncselekményeknek, és gyakran a vízumoktól, a túlzott munkaerő-felvételi díjaktól, az utazásszervezéstől és a szállástól való függőség spiráljába kerülnek; mivel a harmadik országbeli állampolgárok általában kisebb valószínűséggel szerveznek szakszervezetet vagy csatlakoznak ahhoz, és nehézebben férnek hozzá az igazságszolgáltatási rendszerhez és jogaik védelméhez;</w:t>
      </w:r>
    </w:p>
    <w:p w14:paraId="22C35483" w14:textId="77777777" w:rsidR="00940072" w:rsidRPr="00EB0F34" w:rsidRDefault="00940072" w:rsidP="003B36EE">
      <w:pPr>
        <w:pStyle w:val="NormalHanging12a"/>
        <w:widowControl/>
      </w:pPr>
      <w:r w:rsidRPr="00EB0F34">
        <w:t>K.</w:t>
      </w:r>
      <w:r w:rsidRPr="00EB0F34">
        <w:tab/>
        <w:t>mivel egyre gyakoribb az a csalárd toborzási gyakorlat, amelynek során nem uniós állampolgárokat nem a foglalkoztató tagállamban végzendő munkára, hanem kizárólag más tagállamba történő kiküldés céljából vesznek fel; mivel az ELA szerint ez egyre nagyobb kihívást jelent a jogérvényesítés szempontjából</w:t>
      </w:r>
      <w:r w:rsidRPr="00EB0F34">
        <w:rPr>
          <w:rStyle w:val="FootnoteReference"/>
        </w:rPr>
        <w:footnoteReference w:id="22"/>
      </w:r>
      <w:r w:rsidRPr="00EB0F34">
        <w:t>;</w:t>
      </w:r>
    </w:p>
    <w:p w14:paraId="3A8DE74D" w14:textId="77777777" w:rsidR="00940072" w:rsidRPr="00EB0F34" w:rsidRDefault="00940072" w:rsidP="003B36EE">
      <w:pPr>
        <w:pStyle w:val="NormalHanging12a"/>
        <w:widowControl/>
      </w:pPr>
      <w:r w:rsidRPr="00EB0F34">
        <w:t>L.</w:t>
      </w:r>
      <w:r w:rsidRPr="00EB0F34">
        <w:tab/>
        <w:t>mivel a horizontális és vertikális alvállalkozás számos ágazatban alapvető gyakorlatot jelent, különösen nagyszabású projektek esetén, ami megkönnyíti a speciális szakértelemhez való rugalmas hozzáférést, és költséghatékony módon kezeli a sajátos igényeket; mivel az alvállalkozásba adás a foglalkoztatási környezet fontos eleme, különösen a kkv-k és a mikrovállalkozások esetében; mivel az alvállalkozás hozzáadott értéket teremthet az ajánlatkérő szervek számára, és fokozhatja a hatékonyságot és az innovációt, különösen a globális versenynek kitett ágazatokban; mivel az alvállalkozásba adás önmagában nem problematikus, különösen akkor, ha különleges kompetenciákra van szükség; mivel a jól működő alvállalkozásba adás fontos az EU-n belüli tisztességes verseny szempontjából, és különösen hasznos a kkv-k számára; mivel az alvállalkozásba adás mértéke ágazatonként és vállalkozásonként jelentősen eltér;</w:t>
      </w:r>
    </w:p>
    <w:p w14:paraId="70EF5A46" w14:textId="77777777" w:rsidR="00940072" w:rsidRPr="00EB0F34" w:rsidRDefault="00940072" w:rsidP="003B36EE">
      <w:pPr>
        <w:pStyle w:val="NormalHanging12a"/>
        <w:widowControl/>
      </w:pPr>
      <w:r w:rsidRPr="00EB0F34">
        <w:t>M.</w:t>
      </w:r>
      <w:r w:rsidRPr="00EB0F34">
        <w:tab/>
        <w:t xml:space="preserve">mivel azonban a hosszú és összetett alvállalkozói láncok torzíthatják a tisztességes versenyt, elfedhetik az elszámoltathatóságot, alááshatják a munkavállalók jogait, továbbá növelhetik a csalással, a munkaerő-kizsákmányolással, a bűnözők beszivárgásával és a munkavállalók munkahelyi egészségvédelmével és biztonságával kapcsolatos kockázatokat, különösen a magas kockázatú ágazatokban és határokon átnyúló helyzetekben; mivel bizonyos esetekben a kiterjesztett alvállalkozói </w:t>
      </w:r>
      <w:r w:rsidRPr="00EB0F34">
        <w:lastRenderedPageBreak/>
        <w:t>megállapodások átláthatóságának és felügyeletének hiánya megnehezítheti az ajánlatkérő szervek számára az alkalmazandó uniós és nemzeti jognak való megfelelés biztosítását;</w:t>
      </w:r>
    </w:p>
    <w:p w14:paraId="2E7B148F" w14:textId="68E87CAD" w:rsidR="00940072" w:rsidRPr="00EB0F34" w:rsidRDefault="0061446C" w:rsidP="003B36EE">
      <w:pPr>
        <w:pStyle w:val="NormalHanging12a"/>
        <w:widowControl/>
      </w:pPr>
      <w:r>
        <w:t>N</w:t>
      </w:r>
      <w:r w:rsidR="00940072" w:rsidRPr="00EB0F34">
        <w:t>.</w:t>
      </w:r>
      <w:r w:rsidR="00940072" w:rsidRPr="00EB0F34">
        <w:tab/>
        <w:t>mivel az alvállalkozásba adást korlátozó szabályok hatással lehetnek a vállalkozások értékláncára, különösen a globális versenynek kitett ágazatokban; mivel ezeket az intézkedéseket egyensúlyba kell hozni az olyan ágazatokban működő kkv-k védelmének szükségességével, ahol alacsony a visszaélésszerű alvállalkozásba adás kockázata, és a magas kockázatú ágazatokkal ellentétben nincs szükség az alvállalkozói láncok korlátozására; mivel az alvállalkozói láncokban az egyetemleges felelősség kettős szerepet tölt be, egyrészt jogorvoslati lehetőséget biztosít a kizsákmányolt munkavállalók számára, másrészt arra ösztönzi a vállalkozókat, hogy önként csökkentsék az alvállalkozó lánc hosszát és összetettségét;</w:t>
      </w:r>
    </w:p>
    <w:p w14:paraId="42D07802" w14:textId="3A03D6BC" w:rsidR="00940072" w:rsidRPr="00EB0F34" w:rsidRDefault="0061446C" w:rsidP="003B36EE">
      <w:pPr>
        <w:pStyle w:val="NormalHanging12a"/>
        <w:widowControl/>
      </w:pPr>
      <w:r>
        <w:t>O</w:t>
      </w:r>
      <w:r w:rsidR="00940072" w:rsidRPr="00EB0F34">
        <w:t>.</w:t>
      </w:r>
      <w:r w:rsidR="00940072" w:rsidRPr="00EB0F34">
        <w:tab/>
        <w:t>mivel egyes tagállamok jogszabályokat fogadtak el, amelyek korlátozzák az alvállalkozói láncok hosszát, vagy bizonyos ágazatokban teljesen megtiltják az alvállalkozást</w:t>
      </w:r>
      <w:r w:rsidR="00940072" w:rsidRPr="00EB0F34">
        <w:rPr>
          <w:rStyle w:val="FootnoteReference"/>
        </w:rPr>
        <w:footnoteReference w:id="23"/>
      </w:r>
      <w:r w:rsidR="00940072" w:rsidRPr="00EB0F34">
        <w:t>, ami növelte a közvetlenül alkalmazott munkavállalók számát; mivel a Bizottság úgy véli, hogy az alvállalkozói láncokban a szintek számának korlátozása és/vagy az alvállalkozói felelősség kiterjesztése a teljes láncra segítheti a tagállamokat mint a munkavállalók kiküldetésére vonatkozó szabályok érvényesítéséért felelős fő szereplőket és adott esetben a szociális partnereket abban, hogy arányos és megkülönböztetésmentes módon növeljék az átláthatóságot és a felelősséget az alvállalkozói láncokban</w:t>
      </w:r>
      <w:r w:rsidR="00940072" w:rsidRPr="00EB0F34">
        <w:rPr>
          <w:rStyle w:val="FootnoteReference"/>
        </w:rPr>
        <w:footnoteReference w:id="24"/>
      </w:r>
      <w:r w:rsidR="00940072" w:rsidRPr="00EB0F34">
        <w:t>; mivel néhány vállalkozás önként korlátozta alvállalkozói láncainak hosszát;</w:t>
      </w:r>
    </w:p>
    <w:p w14:paraId="5298B832" w14:textId="4051CBA1" w:rsidR="00940072" w:rsidRPr="00EB0F34" w:rsidRDefault="0061446C" w:rsidP="003B36EE">
      <w:pPr>
        <w:pStyle w:val="NormalHanging12a"/>
        <w:widowControl/>
      </w:pPr>
      <w:r>
        <w:t>P</w:t>
      </w:r>
      <w:r w:rsidR="00940072" w:rsidRPr="00EB0F34">
        <w:t>.</w:t>
      </w:r>
      <w:r w:rsidR="00940072" w:rsidRPr="00EB0F34">
        <w:tab/>
        <w:t>mivel a munkaerő-közvetítés gyakorlatát az uniós jog nem határozza meg, kivéve a munkaerő-kölcsönzés keretében történő munkavégzést</w:t>
      </w:r>
      <w:r w:rsidR="00940072" w:rsidRPr="00EB0F34">
        <w:rPr>
          <w:rStyle w:val="FootnoteReference"/>
        </w:rPr>
        <w:footnoteReference w:id="25"/>
      </w:r>
      <w:r w:rsidR="00940072" w:rsidRPr="00EB0F34">
        <w:t>; mivel a munkaerő-közvetítésnek számos formája lehet, hiszen foglalkozhatnak munkaerő-közvetítéssel régóta működő vállalkozások és egyéni toborzók is; mivel informális közvetítők és idénymunka-szervezők is álcázhatják magukat munkaerő-közvetítőnek;</w:t>
      </w:r>
    </w:p>
    <w:p w14:paraId="47DF3D57" w14:textId="1CFDB775" w:rsidR="00940072" w:rsidRPr="00EB0F34" w:rsidRDefault="0061446C" w:rsidP="003B36EE">
      <w:pPr>
        <w:pStyle w:val="NormalHanging12a"/>
        <w:widowControl/>
      </w:pPr>
      <w:r>
        <w:t>Q</w:t>
      </w:r>
      <w:r w:rsidR="00940072" w:rsidRPr="00EB0F34">
        <w:t>.</w:t>
      </w:r>
      <w:r w:rsidR="00940072" w:rsidRPr="00EB0F34">
        <w:tab/>
        <w:t>mivel a tisztességtelen kereskedelmi gyakorlatokat – többek között a fenntartható termelés költségei alatti beszerzést, a rövid átfutási idők előírását és a késedelmes fizetést – a jogosulatlan alvállalkozásba adás fő tényezőiként azonosították; mivel az alvállalkozói szerződések révén közbeszerzési szerződésekben részt vevő kkv-k gyakran ki vannak szolgáltatva a fővállalkozók késedelmes kifizetéseinek;</w:t>
      </w:r>
    </w:p>
    <w:p w14:paraId="5A411104" w14:textId="4C73C06C" w:rsidR="00940072" w:rsidRPr="00EB0F34" w:rsidRDefault="0061446C" w:rsidP="003B36EE">
      <w:pPr>
        <w:pStyle w:val="NormalHanging12a"/>
        <w:widowControl/>
      </w:pPr>
      <w:r>
        <w:lastRenderedPageBreak/>
        <w:t>R</w:t>
      </w:r>
      <w:r w:rsidR="00940072" w:rsidRPr="00EB0F34">
        <w:t>.</w:t>
      </w:r>
      <w:r w:rsidR="00940072" w:rsidRPr="00EB0F34">
        <w:tab/>
        <w:t>mivel azokban az ágazatokban, ahol gyakori az alvállalkozásba adás, az a gyakorlat (az úgynevezett jogátruházás), amely garantálja, hogy az új vállalkozó átvegye a munkavállalókat, a munkavállalók jogainak és munkafeltételeinek megőrzése mellett, alapvető biztosítékot jelent a foglalkoztatás stabilitásának védelme, az egészségügyi és biztonsági előírások betartása, valamint a szociális dömping megelőzése szempontjából;</w:t>
      </w:r>
    </w:p>
    <w:p w14:paraId="0D369B33" w14:textId="0FA9BC90" w:rsidR="00940072" w:rsidRPr="00EB0F34" w:rsidRDefault="0061446C" w:rsidP="003B36EE">
      <w:pPr>
        <w:pStyle w:val="NormalHanging12a"/>
        <w:widowControl/>
      </w:pPr>
      <w:r>
        <w:t>S</w:t>
      </w:r>
      <w:r w:rsidR="00940072" w:rsidRPr="00EB0F34">
        <w:t>.</w:t>
      </w:r>
      <w:r w:rsidR="00940072" w:rsidRPr="00EB0F34">
        <w:tab/>
        <w:t>mivel egyes esetekben a szabályozatlan vagy álcázott munkaerő-közvetítőket a munkajog és a munkáltatói felelősség elfedésére és megkerülésére használják, különösen a magas kockázatú ágazatokban; mivel a visszaélésszerű toborzási és közvetítési gyakorlatok gyakran együtt járnak információk visszatartásával vagy meghamisításával, az írásbeli szerződések rendelkezésre bocsátásának elmulasztásával, jogellenes toborzási díjak kiszabásával, túlzott mértékű szállásköltségek bérekből való levonásával, a szállítás, a képzés, a felszerelés vagy a munkavállalási engedélyek kapcsán felmerült költségek munkavállalóknak való felszámításával, az útlevelek elkobzásával, illetve a kényszermunkával vagy szakszervezetek gyengítésével; mivel a jobb és célzott munkaügyi ellenőrzések segíthetnek az ilyen jogsértések elleni küzdelemben;</w:t>
      </w:r>
    </w:p>
    <w:p w14:paraId="02ECB7B7" w14:textId="7DB3A52B" w:rsidR="00940072" w:rsidRPr="00EB0F34" w:rsidRDefault="0061446C" w:rsidP="003B36EE">
      <w:pPr>
        <w:pStyle w:val="NormalHanging12a"/>
        <w:widowControl/>
      </w:pPr>
      <w:r>
        <w:t>T</w:t>
      </w:r>
      <w:r w:rsidR="00940072" w:rsidRPr="00EB0F34">
        <w:t>.</w:t>
      </w:r>
      <w:r w:rsidR="00940072" w:rsidRPr="00EB0F34">
        <w:tab/>
        <w:t>mivel e kihívásokra válaszul több uniós ország munkaerő-kizsákmányolás elleni küzdelemre irányuló nemzeti cselekvési terveket és szakpolitikákat fogadott el, amelyek az alvállalkozói láncokban és a munkaerőpiaci közvetítők által elkövetett visszaélések kezelésére irányuló intézkedéseket is magukban foglalnak</w:t>
      </w:r>
      <w:r w:rsidR="00940072" w:rsidRPr="00EB0F34">
        <w:rPr>
          <w:rStyle w:val="FootnoteReference"/>
        </w:rPr>
        <w:footnoteReference w:id="26"/>
      </w:r>
      <w:r w:rsidR="00940072" w:rsidRPr="00EB0F34">
        <w:t>;</w:t>
      </w:r>
    </w:p>
    <w:p w14:paraId="4E50A632" w14:textId="6FD4600C" w:rsidR="00940072" w:rsidRPr="00EB0F34" w:rsidRDefault="0061446C" w:rsidP="003B36EE">
      <w:pPr>
        <w:pStyle w:val="NormalHanging12a"/>
        <w:widowControl/>
      </w:pPr>
      <w:r>
        <w:t>U</w:t>
      </w:r>
      <w:r w:rsidR="00940072" w:rsidRPr="00EB0F34">
        <w:t>.</w:t>
      </w:r>
      <w:r w:rsidR="00940072" w:rsidRPr="00EB0F34">
        <w:tab/>
        <w:t>mivel e kihívásokra válaszul a szociális partnerek uniós, nemzeti és helyi szinten, valamint ágazati és ágazatközi szinten intézkedéseket hoztak a visszaélésszerű alvállalkozói és munkaerő-közvetítési gyakorlatokkal kapcsolatos kérdések kezelésére, többek között kollektív tárgyalások és a komoly vállalkozások és a munkavállalói jogok védelmét célzó közös kezdeményezések révén;</w:t>
      </w:r>
    </w:p>
    <w:p w14:paraId="0704A748" w14:textId="4175AF42" w:rsidR="00940072" w:rsidRPr="00EB0F34" w:rsidRDefault="0061446C" w:rsidP="003B36EE">
      <w:pPr>
        <w:pStyle w:val="NormalHanging12a"/>
        <w:widowControl/>
      </w:pPr>
      <w:r>
        <w:t>V</w:t>
      </w:r>
      <w:r w:rsidR="00940072" w:rsidRPr="00EB0F34">
        <w:t>.</w:t>
      </w:r>
      <w:r w:rsidR="00940072" w:rsidRPr="00EB0F34">
        <w:tab/>
        <w:t>mivel a polgári légi közlekedésben már külön jogszabály szabályozza az alvállalkozásba adást, beleértve a légi járművek lízingjét, a személyzetet, a karbantartást és a biztosítást, más néven a „légi jármű teljes bérletét”; mivel egyre gyakoribbá vált a légi jármű teljes bérlete, és már nem csak a csúcsidőszakokban használják a kapacitás feltöltésére; mivel a légi szolgáltatásokról szóló rendelet</w:t>
      </w:r>
      <w:r w:rsidR="00940072" w:rsidRPr="00EB0F34">
        <w:rPr>
          <w:rStyle w:val="FootnoteReference"/>
        </w:rPr>
        <w:footnoteReference w:id="27"/>
      </w:r>
      <w:r w:rsidR="00940072" w:rsidRPr="00EB0F34">
        <w:t xml:space="preserve"> közelgő felülvizsgálata során a Bizottságnak foglalkoznia kell a légi járművek teljes bérletével kapcsolatos problémákkal;</w:t>
      </w:r>
    </w:p>
    <w:p w14:paraId="58923AD7" w14:textId="5AD15D67" w:rsidR="00940072" w:rsidRPr="00EB0F34" w:rsidRDefault="0061446C" w:rsidP="003B36EE">
      <w:pPr>
        <w:pStyle w:val="NormalHanging12a"/>
        <w:widowControl/>
      </w:pPr>
      <w:r>
        <w:lastRenderedPageBreak/>
        <w:t>W</w:t>
      </w:r>
      <w:r w:rsidR="00940072" w:rsidRPr="00EB0F34">
        <w:t>.</w:t>
      </w:r>
      <w:r w:rsidR="00940072" w:rsidRPr="00EB0F34">
        <w:tab/>
        <w:t>mivel a Bizottság kiemeli a norvég Skien-modellt</w:t>
      </w:r>
      <w:r w:rsidR="00940072" w:rsidRPr="00EB0F34">
        <w:rPr>
          <w:rStyle w:val="FootnoteReference"/>
        </w:rPr>
        <w:footnoteReference w:id="28"/>
      </w:r>
      <w:r w:rsidR="00940072" w:rsidRPr="00EB0F34">
        <w:t>, amelyet Skien önkormányzata, a szakszervezetek és a munkáltatói szervezetek közösen dolgoztak ki, és amely szigorú korlátozásokat tartalmaz a hosszú alvállalkozói láncokra, valamint az ideiglenes munkaerő alkalmazásának előzetes jóváhagyására vonatkozóan azzal a céllal, hogy biztosítsa az elszámoltathatóságot és a tisztességes munkakörülményeket a nagy kockázatú ágazatokban;</w:t>
      </w:r>
    </w:p>
    <w:p w14:paraId="7CE82118" w14:textId="2CF91DDF" w:rsidR="00940072" w:rsidRPr="00EB0F34" w:rsidRDefault="0061446C" w:rsidP="003B36EE">
      <w:pPr>
        <w:pStyle w:val="NormalHanging12a"/>
        <w:widowControl/>
      </w:pPr>
      <w:r>
        <w:t>X</w:t>
      </w:r>
      <w:r w:rsidR="00940072" w:rsidRPr="00EB0F34">
        <w:t>.</w:t>
      </w:r>
      <w:r w:rsidR="00940072" w:rsidRPr="00EB0F34">
        <w:tab/>
        <w:t>mivel a tagállamok, a Bizottság és a szociális partnerek a La Hulpe-i nyilatkozatban kötelezettséget vállaltak arra, hogy különös figyelmet fordítanak az alvállalkozás és a munkaerő-kölcsönzés terén hozott intézkedésekre, elismerve, hogy e két jelenség közös kihívások elé állítja az európai munkaerőpiacokat; mivel a Letta-jelentés hangsúlyozza, hogy a kizsákmányolás és a visszaélések megelőzése érdekében sürgősen szabályozni kell az alvállalkozói gyakorlatokat; mivel a jelentés figyelmeztet arra, hogy az ellenőrizetlen alvállalkozói láncok a munkaügyi normák gyengüléséhez, szociális dömpinghez és a tisztességes verseny aláásásához, valamint az egészségvédelmi és biztonsági kötelezettségek megsértéséhez vezethetnek;</w:t>
      </w:r>
    </w:p>
    <w:p w14:paraId="704A917F" w14:textId="6BFBCB9A" w:rsidR="00940072" w:rsidRPr="00EB0F34" w:rsidRDefault="0061446C" w:rsidP="003B36EE">
      <w:pPr>
        <w:pStyle w:val="NormalHanging12a"/>
        <w:widowControl/>
      </w:pPr>
      <w:r>
        <w:t>Y</w:t>
      </w:r>
      <w:r w:rsidR="00940072" w:rsidRPr="00EB0F34">
        <w:t>.</w:t>
      </w:r>
      <w:r w:rsidR="00940072" w:rsidRPr="00EB0F34">
        <w:tab/>
        <w:t>mivel a 2014/67/EU irányelv 12. cikke értelmében a tagállamok kötelesek az építőiparban bevezetni az alvállalkozói felelősséget a munkavállalók kiküldetése kapcsán, és 12. cikkének (1) bekezdése lehetőséget biztosít a tagállamok számára, hogy azt más ágazatokra is kiterjesszék, és szigorúbb felelősségi szabályokat vezessenek be;</w:t>
      </w:r>
    </w:p>
    <w:p w14:paraId="77BCB809" w14:textId="35BEB9BF" w:rsidR="00940072" w:rsidRPr="00EB0F34" w:rsidRDefault="0061446C" w:rsidP="003B36EE">
      <w:pPr>
        <w:pStyle w:val="NormalHanging12a"/>
        <w:widowControl/>
      </w:pPr>
      <w:r>
        <w:t>Z</w:t>
      </w:r>
      <w:r w:rsidR="00940072" w:rsidRPr="00EB0F34">
        <w:t>.</w:t>
      </w:r>
      <w:r w:rsidR="00940072" w:rsidRPr="00EB0F34">
        <w:tab/>
        <w:t>mivel a legtöbb tagállamban léteznek jogszabályok az alvállalkozói láncokra és a munkaügyi közvetítőkre vonatkozóan, amelyek figyelembe veszik a nemzeti sajátosságokat; mivel azonban a szabályozás szintje tagállamonként jelentősen eltér, ami az egységes piac széttagoltságához vezet; mivel az alvállalkozói láncok és a munkaerő-közvetítők szabályozására vonatkozó belső piaci szabályok alkalmazásával kapcsolatos eltérő értelmezések miatt továbbra is kihívások állnak fenn; mivel a 2014/24/EU irányelv nem biztosít elegendő eszközt az ajánlatkérő szervek számára ahhoz, hogy hatékonyan kezeljék a közbeszerzési szerződések nemteljesítését, és egyes esetekben még akadályozza is a proaktív intézkedéseket hozni kívánó hatóságokat;</w:t>
      </w:r>
    </w:p>
    <w:p w14:paraId="1DED17B3" w14:textId="70E8B651" w:rsidR="00940072" w:rsidRPr="00EB0F34" w:rsidRDefault="0061446C" w:rsidP="003B36EE">
      <w:pPr>
        <w:pStyle w:val="NormalHanging12a"/>
        <w:widowControl/>
      </w:pPr>
      <w:r>
        <w:t>AA</w:t>
      </w:r>
      <w:r w:rsidR="00940072" w:rsidRPr="00EB0F34">
        <w:t>.</w:t>
      </w:r>
      <w:r w:rsidR="00940072" w:rsidRPr="00EB0F34">
        <w:tab/>
        <w:t>mivel a be nem jelentett munkavégzés, az emberkereskedelem és a munkaerő-kizsákmányolás elleni küzdelem szigorú munkaügyi ellenőrzéseket, határokon átnyúló ellenőrzéseket és a munkaerő-közvetítők szigorú engedélyezését vagy nyilvántartásba vételét teszi szükségessé; mivel a jelenlegi szabályok végrehajtása és a tagállamok közötti jobb együttműködés segíthet az alvállalkozás és a munkaerő-közvetítés visszaélésszerű formáival kapcsolatos problémák kezelésében;</w:t>
      </w:r>
    </w:p>
    <w:p w14:paraId="2BB2ED32" w14:textId="77777777" w:rsidR="00940072" w:rsidRPr="00EB0F34" w:rsidRDefault="00940072" w:rsidP="003B36EE">
      <w:pPr>
        <w:pStyle w:val="NormalHanging12a"/>
        <w:widowControl/>
        <w:rPr>
          <w:b/>
          <w:i/>
          <w:iCs/>
        </w:rPr>
      </w:pPr>
      <w:r w:rsidRPr="00EB0F34">
        <w:rPr>
          <w:b/>
          <w:i/>
        </w:rPr>
        <w:t>A munkaerő-kizsákmányolás megelőzése</w:t>
      </w:r>
    </w:p>
    <w:p w14:paraId="0A424F5D" w14:textId="77777777" w:rsidR="00940072" w:rsidRPr="00EB0F34" w:rsidRDefault="00940072" w:rsidP="003B36EE">
      <w:pPr>
        <w:pStyle w:val="NormalHanging12a"/>
        <w:widowControl/>
      </w:pPr>
      <w:r w:rsidRPr="00EB0F34">
        <w:t>1.</w:t>
      </w:r>
      <w:r w:rsidRPr="00EB0F34">
        <w:tab/>
        <w:t xml:space="preserve">hangsúlyozza, hogy átfogó uniós megközelítésre van szükség a munkaerő-kizsákmányolás, többek között az ahhoz kapcsolódó illegális munka és szervezett bűnözés, valamint az üzleti gyakorlatok visszaélésszerű formái, nevezetesen a visszaélésszerű alvállalkozás és a munkaerő-közvetítés kezelése terén; ezért e problémák leküzdésére uniós stratégiát szorgalmaz, amelynek hatása tagállamonként és ágazatonként eltérő lehet; hangsúlyozza, hogy a munkaerő-kizsákmányolás nemcsak a munkavállalói jogokat és az emberi jogokat sérti, hanem a vállalkozások közötti </w:t>
      </w:r>
      <w:r w:rsidRPr="00EB0F34">
        <w:lastRenderedPageBreak/>
        <w:t>tisztességes versenyt is aláássa; ezzel összefüggésben üdvözli a Bizottság azon kötelezettségvállalását, hogy 2026-ban méltányos mobilitási csomagot terjeszt elő; emlékeztet arra, hogy az európai vállalatok versenyképességének megerősítésére, az egyszerűsítésre és a szükségtelen adminisztratív terhek csökkentésére irányuló átfogó célkitűzések nem vezethetnek a munkavállalók alacsonyabb szintű védelméhez; hangsúlyozza, hogy a munkavállalói jogok hatékony védelmének garantálása és az egységes piacon egyenlő versenyfeltételek biztosítása érdekében a meglévő munkaügyi jogszabályok szigorúbb érvényesítésére van szükség;</w:t>
      </w:r>
    </w:p>
    <w:p w14:paraId="2CEB5F1B" w14:textId="77777777" w:rsidR="00940072" w:rsidRPr="00EB0F34" w:rsidRDefault="00940072" w:rsidP="003B36EE">
      <w:pPr>
        <w:pStyle w:val="NormalHanging12a"/>
        <w:widowControl/>
      </w:pPr>
      <w:r w:rsidRPr="00EB0F34">
        <w:t>2.</w:t>
      </w:r>
      <w:r w:rsidRPr="00EB0F34">
        <w:tab/>
        <w:t>emlékeztet azokra a kihívásokra, amelyekkel egyes tagállamok az egységes piaci szabályok eltérő értelmezése miatt szembesülnek az alvállalkozás nemzeti szintű szabályozása terén, például az alvállalkozói láncok hosszának korlátozása, az egyetemleges felelősség és a közvetlen foglalkoztatásra vonatkozó követelmények révén; felhívja a Bizottságot, hogy tisztázza, milyen lehetőségek állnak a tagállamok előtt arra, hogy a hosszú és összetett alvállalkozói láncokból eredő kockázatok és problémák kezelése érdekében arányos jogszabályokat fogadjanak el; felhívja a Bizottságot, hogy fokozza az éghajlatváltozással kapcsolatos félretájékoztatás elleni küzdelemre irányuló erőfeszítéseket;</w:t>
      </w:r>
    </w:p>
    <w:p w14:paraId="58BC8D94" w14:textId="56A76A1A" w:rsidR="00940072" w:rsidRPr="00EB0F34" w:rsidRDefault="0061446C" w:rsidP="003B36EE">
      <w:pPr>
        <w:pStyle w:val="NormalHanging12a"/>
        <w:widowControl/>
      </w:pPr>
      <w:r>
        <w:t>3</w:t>
      </w:r>
      <w:r w:rsidR="00940072" w:rsidRPr="00EB0F34">
        <w:t>.</w:t>
      </w:r>
      <w:r w:rsidR="00940072" w:rsidRPr="00EB0F34">
        <w:tab/>
        <w:t>megismétli felhívását a Bizottsághoz, hogy a visszaélésszerű alvállalkozások megszüntetése és a munkavállalók jogainak védelme</w:t>
      </w:r>
      <w:r w:rsidR="00064E76">
        <w:t xml:space="preserve"> érdekében javítsák</w:t>
      </w:r>
      <w:r w:rsidR="00940072" w:rsidRPr="00EB0F34">
        <w:t xml:space="preserve"> az átláthatóság</w:t>
      </w:r>
      <w:r w:rsidR="00064E76">
        <w:t>ot</w:t>
      </w:r>
      <w:r w:rsidR="00940072" w:rsidRPr="00EB0F34">
        <w:t xml:space="preserve"> és az elszámoltathatóság</w:t>
      </w:r>
      <w:r w:rsidR="00064E76">
        <w:t>ot</w:t>
      </w:r>
      <w:r w:rsidR="00940072" w:rsidRPr="00EB0F34">
        <w:t xml:space="preserve"> az ellátási lánc egészében</w:t>
      </w:r>
      <w:r w:rsidR="002A225E">
        <w:rPr>
          <w:rStyle w:val="FootnoteReference"/>
        </w:rPr>
        <w:footnoteReference w:id="29"/>
      </w:r>
      <w:r w:rsidR="00940072" w:rsidRPr="00EB0F34">
        <w:t>;</w:t>
      </w:r>
    </w:p>
    <w:p w14:paraId="54903AD6" w14:textId="18E89953" w:rsidR="00940072" w:rsidRPr="00EB0F34" w:rsidRDefault="0061446C" w:rsidP="003B36EE">
      <w:pPr>
        <w:pStyle w:val="NormalHanging12a"/>
        <w:widowControl/>
      </w:pPr>
      <w:r>
        <w:t>4</w:t>
      </w:r>
      <w:r w:rsidR="00940072" w:rsidRPr="00EB0F34">
        <w:t>.</w:t>
      </w:r>
      <w:r w:rsidR="00940072" w:rsidRPr="00EB0F34">
        <w:tab/>
        <w:t>hangsúlyozza, hogy a munkaerő-kizsákmányolás és az összetett alvállalkozói láncok kezelésére irányuló uniós szintű kezdeményezéseknek figyelembe kell venniük a tagállamok bevált gyakorlatait, azokat a szociális partnerekkel – többek között az európai ágazati szociális párbeszédért felelős bizottságokkal – szoros együttműködésben kell kidolgozni, és a konkrét ágazati realitásokhoz kell igazítani; emlékeztet arra, hogy minden ágazatspecifikus intézkedésnek és kezdeményezésnek, beleértve a magas kockázatú ágazatokban az egyetemleges felelősséget is, összhangban kell lennie az uniós joggal, és nem állíthat szükségtelen akadályokat a határokon átnyúló üzleti tevékenységek elé; hangsúlyozza, hogy az ágazatspecifikus intézkedések és kezdeményezések alacsonyabb szabályozási követelményeket is előírhatnak az alacsony kockázatú ágazatokban működő vállalatok számára;</w:t>
      </w:r>
    </w:p>
    <w:p w14:paraId="3C2DF5F0" w14:textId="2E4EBDF3" w:rsidR="00940072" w:rsidRPr="00EB0F34" w:rsidRDefault="0061446C" w:rsidP="003B36EE">
      <w:pPr>
        <w:pStyle w:val="NormalHanging12a"/>
        <w:widowControl/>
      </w:pPr>
      <w:r>
        <w:t>5</w:t>
      </w:r>
      <w:r w:rsidR="00940072" w:rsidRPr="00EB0F34">
        <w:t>.</w:t>
      </w:r>
      <w:r w:rsidR="00940072" w:rsidRPr="00EB0F34">
        <w:tab/>
        <w:t>rámutat, hogy az alvállalkozói láncokban az egyetemleges felelősség elve az egyik mód annak biztosítására, hogy a fővállalkozó viselje a teljes felelősséget a teljes alvállalkozói láncon belül nyújtott szolgáltatásokért; úgy véli, hogy ez az elv biztosíthatja, hogy a minőséget, a teljesítményt, valamint a munkaügyi, szociális és biztonsági előírásoknak való megfelelést az alvállalkozói lánc minden szintjén szerződésben garantálják; megjegyzi, hogy több tagállam is úgy döntött, hogy az alvállalkozói láncokban a 2014/67/EU irányelv 12. cikkében meghatározott minimumszabályoknál szigorúbb felelősségi szabályokat fogad el;</w:t>
      </w:r>
    </w:p>
    <w:p w14:paraId="4A40DBFE" w14:textId="1DD9E0FB" w:rsidR="00940072" w:rsidRPr="00EB0F34" w:rsidRDefault="0061446C" w:rsidP="003B36EE">
      <w:pPr>
        <w:pStyle w:val="NormalHanging12a"/>
        <w:widowControl/>
      </w:pPr>
      <w:r>
        <w:t>6</w:t>
      </w:r>
      <w:r w:rsidR="00940072" w:rsidRPr="00EB0F34">
        <w:t>.</w:t>
      </w:r>
      <w:r w:rsidR="00940072" w:rsidRPr="00EB0F34">
        <w:tab/>
        <w:t xml:space="preserve">felhívja a Bizottságot és a tagállamokat, hogy foglalkozzanak az olyan gyakorlattal – más néven „pénzügyi alvállalkozásba adással” – amely során a fővállalkozó minden munkát alvállalkozásba ad anélkül, hogy maga végezne el bármilyen munkát; hangsúlyozza, hogy a fővállalkozóknak a szerződés meghatározott részét maguknak kell teljesíteniük; ebben a tekintetben megismétli felhívását a Bizottsághoz, hogy az </w:t>
      </w:r>
      <w:r w:rsidR="00940072" w:rsidRPr="00EB0F34">
        <w:lastRenderedPageBreak/>
        <w:t>értékelje a főként a nyertes ajánlattevő közvetlen munkavállalói által teljesített közbeszerzési szerződések hatását, és javasolja, hogy a közbeszerzési szabályok ösztönözzék arra a vállalkozásokat, hogy legyen elegendő saját alkalmazottjuk azon projektek végrehajtásához, amelyekre nekik közbeszerzési szerződést ítéltek oda</w:t>
      </w:r>
      <w:r w:rsidR="00940072" w:rsidRPr="00EB0F34">
        <w:rPr>
          <w:rStyle w:val="FootnoteReference"/>
        </w:rPr>
        <w:footnoteReference w:id="30"/>
      </w:r>
      <w:r w:rsidR="00940072" w:rsidRPr="00EB0F34">
        <w:t>;</w:t>
      </w:r>
    </w:p>
    <w:p w14:paraId="35447704" w14:textId="6E1D8C56" w:rsidR="00940072" w:rsidRPr="00EB0F34" w:rsidRDefault="0061446C" w:rsidP="003B36EE">
      <w:pPr>
        <w:pStyle w:val="NormalHanging12a"/>
        <w:widowControl/>
      </w:pPr>
      <w:r>
        <w:t>7</w:t>
      </w:r>
      <w:r w:rsidR="00940072" w:rsidRPr="00EB0F34">
        <w:t>.</w:t>
      </w:r>
      <w:r w:rsidR="00940072" w:rsidRPr="00EB0F34">
        <w:tab/>
        <w:t xml:space="preserve">felhívja a Bizottságot és a tagállamokat, hogy az üzleti versenyképesség, valamint a tisztességes és biztonságos munkakörülmények biztosítása érdekében foglalkozzanak az alvállalkozói láncokban előforduló jogellenes gyakorlatokkal; ezzel összefüggésben ösztönzi a közvetlen munkaviszonyt a magas kockázatú ágazatokban, amennyiben ez megvalósítható, indokolt, arányos, és olyan közérdeken alapuló kényszerítő indokokon alapul, mint a munkavállalók és jogaik védelme; </w:t>
      </w:r>
    </w:p>
    <w:p w14:paraId="1E96A2D5" w14:textId="7E9DAC69" w:rsidR="00940072" w:rsidRPr="00EB0F34" w:rsidRDefault="0061446C" w:rsidP="003B36EE">
      <w:pPr>
        <w:pStyle w:val="NormalHanging12a"/>
        <w:widowControl/>
      </w:pPr>
      <w:r>
        <w:t>8</w:t>
      </w:r>
      <w:r w:rsidR="00940072" w:rsidRPr="00EB0F34">
        <w:t>.</w:t>
      </w:r>
      <w:r w:rsidR="00940072" w:rsidRPr="00EB0F34">
        <w:tab/>
        <w:t>felhívja a Bizottságot és a tagállamokat, hogy ösztönözzék a közösségi juttatásokra vonatkozó rendelkezések beépítését a közbeszerzésbe és az uniós finanszírozású projektekbe, például annak előírását, hogy a vállalkozók és alvállalkozók járuljanak hozzá a helyi készségfejlesztéshez vagy a társadalmi befogadást célzó kezdeményezésekhez, az állami beruházásokból pozitív tovagyűrűző hatásokat teremtve ezáltal;</w:t>
      </w:r>
    </w:p>
    <w:p w14:paraId="13F178B5" w14:textId="01EC2B04" w:rsidR="00940072" w:rsidRPr="00EB0F34" w:rsidRDefault="0061446C" w:rsidP="003B36EE">
      <w:pPr>
        <w:pStyle w:val="NormalHanging12a"/>
        <w:widowControl/>
      </w:pPr>
      <w:r>
        <w:t>9</w:t>
      </w:r>
      <w:r w:rsidR="00940072" w:rsidRPr="00EB0F34">
        <w:t>.</w:t>
      </w:r>
      <w:r w:rsidR="00940072" w:rsidRPr="00EB0F34">
        <w:tab/>
        <w:t>hangsúlyozza, hogy az alvállalkozói szintek korlátozására irányuló nemzeti és regionális kezdeményezéseket gyakran a szociális partnerek – köztük a kkv-k képviselői – közösen kezdeményezték; hangsúlyozza, hogy az ilyen kezdeményezéseket tiszteletben kell tartani, ugyanakkor az alvállalkozásra vonatkozó korlátozásoknak arányosaknak kell lenniük;</w:t>
      </w:r>
    </w:p>
    <w:p w14:paraId="31B07B7E" w14:textId="585ABF16" w:rsidR="00940072" w:rsidRPr="00EB0F34" w:rsidRDefault="0061446C" w:rsidP="003B36EE">
      <w:pPr>
        <w:pStyle w:val="NormalHanging12a"/>
        <w:widowControl/>
      </w:pPr>
      <w:r>
        <w:t>10</w:t>
      </w:r>
      <w:r w:rsidR="00940072" w:rsidRPr="00EB0F34">
        <w:t>.</w:t>
      </w:r>
      <w:r w:rsidR="00940072" w:rsidRPr="00EB0F34">
        <w:tab/>
        <w:t xml:space="preserve">megjegyzi, hogy az alvállalkozói láncok hossza és összetettsége jelentős kihívás a munkaügyi felügyelőségek számára a munkajogi jogsértésekért – amelyet kezelni kell – való jogi felelősség megállapítása terén; </w:t>
      </w:r>
    </w:p>
    <w:p w14:paraId="5A7E4C0A" w14:textId="2C619A24" w:rsidR="00940072" w:rsidRPr="00EB0F34" w:rsidRDefault="0061446C" w:rsidP="003B36EE">
      <w:pPr>
        <w:pStyle w:val="NormalHanging12a"/>
        <w:widowControl/>
      </w:pPr>
      <w:r>
        <w:t>11</w:t>
      </w:r>
      <w:r w:rsidR="00940072" w:rsidRPr="00EB0F34">
        <w:t>.</w:t>
      </w:r>
      <w:r w:rsidR="00940072" w:rsidRPr="00EB0F34">
        <w:tab/>
        <w:t>hangsúlyozza annak fontosságát, hogy a nemek közötti egyenlőséget figyelembe vevő rendelkezéseket építsenek be minden új keretbe;</w:t>
      </w:r>
    </w:p>
    <w:p w14:paraId="3A380F79" w14:textId="3763272D" w:rsidR="00940072" w:rsidRPr="00EB0F34" w:rsidRDefault="0061446C" w:rsidP="003B36EE">
      <w:pPr>
        <w:pStyle w:val="NormalHanging12a"/>
        <w:widowControl/>
      </w:pPr>
      <w:r>
        <w:t>12</w:t>
      </w:r>
      <w:r w:rsidR="00940072" w:rsidRPr="00EB0F34">
        <w:t>.</w:t>
      </w:r>
      <w:r w:rsidR="00940072" w:rsidRPr="00EB0F34">
        <w:tab/>
        <w:t>nyomatékosítja, hogy az egységes piac széttagoltságának korlátozása érdekében a Bizottságnak a tagállamokkal és a szociális partnerekkel szoros együttműködésben meg kell határoznia a magas kockázatú ágazatokat, beleértve az az ágazati szociális párbeszéddel foglalkozó bizottságokat is; hangsúlyozza, hogy a tagállamok felkérhetik a Bizottságot, hogy szükség esetén tegye lehetővé számukra, hogy a magas kockázatú ágazatok közös jegyzékét igazítsák sajátos nemzeti helyzetükhez annak érdekében, hogy a lehető legjobb megközelítést biztosítsák a visszaélésszerű alvállalkozás, a munkaerő-kizsákmányolás és a munkával kapcsolatos bűncselekmények kezelésére; nyomatékosítja, hogy a magas kockázatú ágazatok azonosításának és kiigazításának pontos és naprakész adatokon kell alapulnia;</w:t>
      </w:r>
    </w:p>
    <w:p w14:paraId="13B667C1" w14:textId="71E2C9DA" w:rsidR="00940072" w:rsidRPr="00EB0F34" w:rsidRDefault="0061446C" w:rsidP="003B36EE">
      <w:pPr>
        <w:pStyle w:val="NormalHanging12a"/>
        <w:widowControl/>
      </w:pPr>
      <w:r>
        <w:t>13</w:t>
      </w:r>
      <w:r w:rsidR="00940072" w:rsidRPr="00EB0F34">
        <w:t>.</w:t>
      </w:r>
      <w:r w:rsidR="00940072" w:rsidRPr="00EB0F34">
        <w:tab/>
        <w:t xml:space="preserve">megjegyzi, hogy az alapvető üzleti tevékenységek alvállalkozásba adása széttöredezett és nem biztonságos munkahelyekhez, az átláthatóság és az elszámoltathatóság csökkenéséhez, valamint a munkavállalók hosszabb munkaidőnek, alacsonyabb béreknek és a munkajog egyéb megsértésének való nagyobb kitettségéhez, valamint a </w:t>
      </w:r>
      <w:r w:rsidR="00940072" w:rsidRPr="00EB0F34">
        <w:lastRenderedPageBreak/>
        <w:t>munkahelyek bizonytalanságához és labilitásához vezethet</w:t>
      </w:r>
      <w:r w:rsidR="00940072" w:rsidRPr="00EB0F34">
        <w:rPr>
          <w:rStyle w:val="FootnoteReference"/>
        </w:rPr>
        <w:footnoteReference w:id="31"/>
      </w:r>
      <w:r w:rsidR="00940072" w:rsidRPr="00EB0F34">
        <w:t>; hangsúlyozza, hogy a 2002/14/EK irányelvvel</w:t>
      </w:r>
      <w:r w:rsidR="00940072" w:rsidRPr="00EB0F34">
        <w:rPr>
          <w:rStyle w:val="FootnoteReference"/>
        </w:rPr>
        <w:footnoteReference w:id="32"/>
      </w:r>
      <w:r w:rsidR="00940072" w:rsidRPr="00EB0F34">
        <w:t xml:space="preserve"> összhangban a munkavállalók képviselőit tájékoztatni kell és konzultálni kell velük azokról a döntésekről, amelyek valószínűleg jelentős változásokhoz vezetnek a munkaszervezésben vagy a szerződéses kapcsolatokban; felhívja a Bizottságot és a tagállamokat, hogy biztosítsák az egyenlő bánásmód elvét, valamint a tisztességes munkakörülményeket valamennyi munkavállaló számára;</w:t>
      </w:r>
    </w:p>
    <w:p w14:paraId="57B725F0" w14:textId="2466AE9A" w:rsidR="00940072" w:rsidRPr="00EB0F34" w:rsidRDefault="0061446C" w:rsidP="003B36EE">
      <w:pPr>
        <w:pStyle w:val="NormalHanging12a"/>
        <w:widowControl/>
      </w:pPr>
      <w:r>
        <w:t>14</w:t>
      </w:r>
      <w:r w:rsidR="00940072" w:rsidRPr="00EB0F34">
        <w:t>.</w:t>
      </w:r>
      <w:r w:rsidR="00940072" w:rsidRPr="00EB0F34">
        <w:tab/>
        <w:t>aggodalmát fejezi ki a jogi egyértelműség hiánya miatt a nem uniós állampolgárok valódi és csalárd kiküldetései közötti különbségtétel tekintetében, valamint amiatt, hogy a szolgáltatásnyújtásra vonatkozó uniós joggal visszaélnek a migrációs szabályok és a nemzeti munkajog megkerülése érdekében; hangsúlyozza, hogy a csalárd kiküldetések aláássák az egységes piac társadalmi szerkezetét, és e gyakorlatok a legkiszolgáltatottabb emberek helyzetét használják ki; felhívja a Bizottságot, hogy a Letta-jelentéssel összhangban vizsgálja felül a végrehajtási kihívásokat, különösen a határokon átnyúló együttműködés tekintetében, és hozzon megfelelő intézkedéseket a munkavállalók és a küldő tagállam közötti tényleges kapcsolat nélküli kiküldetések megszüntetése érdekében; emlékeztet a Letta- és Draghi-jelentések azon általános következtetésére, hogy fokozni kell az egységes piac versenyképességét;</w:t>
      </w:r>
    </w:p>
    <w:p w14:paraId="28374553" w14:textId="12450DE9" w:rsidR="00940072" w:rsidRPr="00EB0F34" w:rsidRDefault="0061446C" w:rsidP="003B36EE">
      <w:pPr>
        <w:pStyle w:val="NormalHanging12a"/>
        <w:widowControl/>
      </w:pPr>
      <w:r>
        <w:t>15</w:t>
      </w:r>
      <w:r w:rsidR="00940072" w:rsidRPr="00EB0F34">
        <w:t>.</w:t>
      </w:r>
      <w:r w:rsidR="00940072" w:rsidRPr="00EB0F34">
        <w:tab/>
        <w:t>aggodalommal veszi tudomásul a kiküldetéshez kapcsolódó kockázatokat, amennyiben az az alvállalkozás és a munkaerő-közvetítés visszaélésszerű formáival párosul; felhívja az Európai Munkaügyi Hatóságot, hogy vizsgálja meg a munkaerő-közvetítők kiküldetések során történő alkalmazását, beleértve annak kockázatát is, hogy ezeket a megállapodásokat a felelősségek kijátszására, a társadalombiztosítási kötelezettségek megkerülésére, valamint az egészségügyi és biztonsági normák aláásására használják fel; felhívja a Bizottságot, hogy foglalkozzon a munkaerő-kölcsönzés keretében történő munkavégzésről szóló irányelvnek</w:t>
      </w:r>
      <w:r w:rsidR="00940072" w:rsidRPr="00EB0F34">
        <w:rPr>
          <w:rStyle w:val="FootnoteReference"/>
        </w:rPr>
        <w:footnoteReference w:id="33"/>
      </w:r>
      <w:r w:rsidR="00940072" w:rsidRPr="00EB0F34">
        <w:t xml:space="preserve"> a munkavállalók kiküldetésével összefüggésben való esetleges megsértéseivel;</w:t>
      </w:r>
    </w:p>
    <w:p w14:paraId="6B6B5286" w14:textId="7E334D73" w:rsidR="00940072" w:rsidRPr="00EB0F34" w:rsidRDefault="0061446C" w:rsidP="003B36EE">
      <w:pPr>
        <w:pStyle w:val="NormalHanging12a"/>
        <w:widowControl/>
      </w:pPr>
      <w:r>
        <w:t>16</w:t>
      </w:r>
      <w:r w:rsidR="00940072" w:rsidRPr="00EB0F34">
        <w:t>.</w:t>
      </w:r>
      <w:r w:rsidR="00940072" w:rsidRPr="00EB0F34">
        <w:tab/>
        <w:t xml:space="preserve">hangsúlyozza, hogy a munkáltató vagy munkaügyi közvetítő által a munkavállaló számára biztosított szállásnak meg kell felelnie az alkalmazandó minőségi, higiéniai és biztonsági előírásoknak; hangsúlyozza, hogy az ilyen szállások bérleti díjának arányosnak kell lennie és kerülnie kell a hátrányos megkülönböztetést; kéri, hogy az elszállásolás ellenőrzését építsék be a magas kockázatú ágazatokban végzett munkaügyi ellenőrzésekbe annak megakadályozása érdekében, hogy a munkáltatók vagy a közvetítők megalázó, nem biztonságos vagy túlzsúfolt elhelyezést biztosítsanak a </w:t>
      </w:r>
      <w:r w:rsidR="00940072" w:rsidRPr="00EB0F34">
        <w:lastRenderedPageBreak/>
        <w:t>munkavállalók számára; hangsúlyozza, hogy a munkavállalók elszállásolását szabályozó szerződéses rendelkezések nem vezethetnek bizonytalan lakhatási helyzetekhez a munkaviszony megszűnése esetén;</w:t>
      </w:r>
    </w:p>
    <w:p w14:paraId="0F49C290" w14:textId="112F429F" w:rsidR="00940072" w:rsidRPr="00EB0F34" w:rsidRDefault="0061446C" w:rsidP="003B36EE">
      <w:pPr>
        <w:pStyle w:val="NormalHanging12a"/>
        <w:widowControl/>
      </w:pPr>
      <w:r>
        <w:t>17</w:t>
      </w:r>
      <w:r w:rsidR="00940072" w:rsidRPr="00EB0F34">
        <w:t>.</w:t>
      </w:r>
      <w:r w:rsidR="00940072" w:rsidRPr="00EB0F34">
        <w:tab/>
        <w:t>felhívja a Bizottságot, hogy működjön együtt a tagállamokkal a munkavállalók kiküldetésére vonatkozó jelenlegi jogszabályok hatékony végrehajtásának és érvényesítésének biztosítása érdekében; emlékeztet arra, hogy az EU számos jogi eszközt fogadott el a munkaerő-kizsákmányolás és az illegális munka elleni küzdelem érdekében, amely eszközök végrehajtását nemzeti szinten javítani kell; felhívja a Bizottságot, hogy mérje fel a helyzetet, biztosítsa a vonatkozó jogi eszközök tagállamok általi hatékony és eredményes végrehajtását és érvényesítését, és szükség esetén indítson kötelezettségszegési eljárást azon tagállamok ellen, amelyek nem tartják be az alkalmazandó uniós jogot;</w:t>
      </w:r>
    </w:p>
    <w:p w14:paraId="1BB9C6BC" w14:textId="02599CEC" w:rsidR="00940072" w:rsidRPr="00EB0F34" w:rsidRDefault="0061446C" w:rsidP="003B36EE">
      <w:pPr>
        <w:pStyle w:val="NormalHanging12a"/>
        <w:widowControl/>
      </w:pPr>
      <w:r>
        <w:t>18</w:t>
      </w:r>
      <w:r w:rsidR="00940072" w:rsidRPr="00EB0F34">
        <w:t>.</w:t>
      </w:r>
      <w:r w:rsidR="00940072" w:rsidRPr="00EB0F34">
        <w:tab/>
        <w:t>kiemeli az engedéllyel rendelkező munkaerő-közvetítők nyilvános, interoperábilis nyilvántartásainak hozzáadott értékét; nyomatékosítja, hogy minden engedélyezésre vagy nyilvántartásba vételre minimális feddhetetlenségi kritériumoknak kell vonatkozniuk; felhívja a Bizottságot, hogy vegye számba a munkaerő-közvetítőkre vonatkozó nemzeti gyakorlatokat és jogszabályokat, és biztosítsa, hogy az EU-ban működő munkaerő-közvetítők ne számítsanak fel díjakat, és ne hárítsanak át semmilyen költséget – sem közvetlenül, sem közvetve – részben vagy egészben a munkavállalókra; hangsúlyozza, hogy az alkalmazandó jogot vagy a kollektív szerződéseket megsértő munkaügyi közvetítőket visszatartó erejű szankciókkal kell sújtani, például törölni kell őket a közhiteles nyilvántartásokból, és ki kell zárni őket a közbeszerzési szerződésekből;</w:t>
      </w:r>
    </w:p>
    <w:p w14:paraId="4109EB85" w14:textId="42E5CB4C" w:rsidR="00940072" w:rsidRPr="00EB0F34" w:rsidRDefault="0061446C" w:rsidP="003B36EE">
      <w:pPr>
        <w:pStyle w:val="NormalHanging12a"/>
        <w:widowControl/>
      </w:pPr>
      <w:r>
        <w:t>19</w:t>
      </w:r>
      <w:r w:rsidR="00940072" w:rsidRPr="00EB0F34">
        <w:t>.</w:t>
      </w:r>
      <w:r w:rsidR="00940072" w:rsidRPr="00EB0F34">
        <w:tab/>
        <w:t>felszólít a közbeszerzési irányelvek közelgő felülvizsgálatára annak biztosítása érdekében, hogy a kizárási kritériumok jobban kezeljék a csalással, a korrupcióval és a bűnözés beszivárgásával kapcsolatos konkrét ágazati kockázatokat; hangsúlyozza, hogy a különböző ágazatok esetében a sajátos sebezhetőségeiket tükröző külön, testre szabott kizárási kritériumokra van szükség; hangsúlyozza, hogy az ajánlatkérő szerveket fel kell hatalmazni arra, hogy a közbeszerzési eljárásokat a bűncselekmények elleni küzdelemhez és azok kezeléséhez igazítsák; kiemeli, hogy a nagyobb hatékonyság és az egyszerűsítés előmozdítása érdekében egyszerűsíteni kell a kizárási okokra vonatkozó rendelkezéseket; nyomatékosítja, hogy minden olyan gazdasági szereplőt, amely megsérti a 2014/24/EU irányelv 18. cikkének (2) bekezdése szerinti alkalmazandó munkaügyi és környezetvédelmi jogszabályok szerinti kötelezettségeit, ténylegesen ki kell zárni a szóban forgó közbeszerzési eljárásból;</w:t>
      </w:r>
    </w:p>
    <w:p w14:paraId="349D2343" w14:textId="04B4F9FB" w:rsidR="00940072" w:rsidRPr="00EB0F34" w:rsidRDefault="0061446C" w:rsidP="003B36EE">
      <w:pPr>
        <w:pStyle w:val="NormalHanging12a"/>
        <w:widowControl/>
      </w:pPr>
      <w:r>
        <w:t>20</w:t>
      </w:r>
      <w:r w:rsidR="00940072" w:rsidRPr="00EB0F34">
        <w:t>.</w:t>
      </w:r>
      <w:r w:rsidR="00940072" w:rsidRPr="00EB0F34">
        <w:tab/>
        <w:t>nyomatékosítja, hogy a nemzeti cégnyilvántartások és az üzleti nyilvántartások összekapcsolására szolgáló európai rendszer értékes eszközként szolgálnak az alvállalkozókra vonatkozó információkat kérő vállalkozások, a kollektív tárgyalásokban részt venni kívánó szakszervezetek, valamint a végrehajtó hatóságok számára; sajnálja, hogy a nemzeti cégnyilvántartásokban szereplő információk igen eltérő mértékben állnak rendelkezésre; kéri a Bizottságot, hogy a tagállamok bevált gyakorlataira építve vizsgálja felül, hogyan bővíthető a nyilvánosan elérhető információk köre;</w:t>
      </w:r>
    </w:p>
    <w:p w14:paraId="0B5E81EE" w14:textId="2DE6D4B9" w:rsidR="00940072" w:rsidRPr="00EB0F34" w:rsidRDefault="0061446C" w:rsidP="003B36EE">
      <w:pPr>
        <w:pStyle w:val="NormalHanging12a"/>
        <w:widowControl/>
      </w:pPr>
      <w:r>
        <w:t>21</w:t>
      </w:r>
      <w:r w:rsidR="00940072" w:rsidRPr="00EB0F34">
        <w:t>.</w:t>
      </w:r>
      <w:r w:rsidR="00940072" w:rsidRPr="00EB0F34">
        <w:tab/>
        <w:t xml:space="preserve">aggodalmát fejezi ki amiatt, hogy a kiküldött munkavállalók és az alvállalkozói láncokban dolgozó munkavállalók aránytalan munkahelyi biztonsági és egészségvédelmi kockázatokkal szembesülnek a széttagolt felelősségi láncok és a nem egyértelmű koordináció miatt, különösen az építőiparban; ezzel összefüggésben </w:t>
      </w:r>
      <w:r w:rsidR="00940072" w:rsidRPr="00EB0F34">
        <w:lastRenderedPageBreak/>
        <w:t>hangsúlyozza a kiküldött munkavállalók és az alvállalkozói láncokban dolgozó munkavállalók tájékoztatásának és a velük folytatott konzultációnak, valamint a 167. sz. ILO-egyezményben előírt egészségvédelmi és biztonsági rendelkezések hatékony végrehajtásának fontosságát; ezzel összefüggésben fontosnak tartja a szociális partnerek szerepének megerősítését a munkavállalóknak szóló eszközök és képzések kidolgozásában, valamint az egészséges munkakörülmények további előmozdítását az EU következő munkahelyi biztonsági és egészségvédelmi stratégiai keretében; felhívja a Bizottságot annak értékelésére, hogy a munkahelyi biztonságra és egészségvédelemre vonatkozó jelenlegi jogszabályok megfelelően lefedik-e a biztonsági és egészségvédelmi minimumkövetelmények végrehajtását az alvállalkozói láncokban;</w:t>
      </w:r>
    </w:p>
    <w:p w14:paraId="43AB50F7" w14:textId="77777777" w:rsidR="00940072" w:rsidRPr="00EB0F34" w:rsidRDefault="00940072" w:rsidP="003B36EE">
      <w:pPr>
        <w:pStyle w:val="NormalHanging12a"/>
        <w:widowControl/>
        <w:rPr>
          <w:b/>
          <w:i/>
          <w:iCs/>
        </w:rPr>
      </w:pPr>
      <w:r w:rsidRPr="00EB0F34">
        <w:rPr>
          <w:b/>
          <w:i/>
        </w:rPr>
        <w:t>Jogérvényesítés és ellenőrzés</w:t>
      </w:r>
    </w:p>
    <w:p w14:paraId="1E4DF4D7" w14:textId="0B7B7C13" w:rsidR="00940072" w:rsidRPr="00EB0F34" w:rsidRDefault="0061446C" w:rsidP="003B36EE">
      <w:pPr>
        <w:pStyle w:val="NormalHanging12a"/>
        <w:widowControl/>
      </w:pPr>
      <w:r>
        <w:t>22</w:t>
      </w:r>
      <w:r w:rsidR="00940072" w:rsidRPr="00EB0F34">
        <w:t>.</w:t>
      </w:r>
      <w:r w:rsidR="00940072" w:rsidRPr="00EB0F34">
        <w:tab/>
        <w:t>emlékeztet a határokon átnyúló együttműködés, a hatékony végrehajtás és az átláthatóság fontosságára a munkával kapcsolatos bűncselekményekhez kapcsolódó bűnözői hálózatok elleni küzdelemben; e tekintetben támogatja az Európai Munkaügyi Hatóság, az Europol, a nemzeti hatóságok és a szociális partnerek közötti megerősített együttműködést; hangsúlyozza, hogy a munkaerő-kizsákmányolás elleni küzdelemhez és az egységes piacon belüli tisztességes verseny előmozdításához hatékony és megfelelő erőforrásokkal rendelkező jogérvényesítési és ellenőrzési rendszerekre van szükség; hangsúlyozza, hogy fel kell lépni a mesterséges konstrukciókon, például postafiókcégeken és munkaerő-kölcsönzés keretében történő színlelt munkavégzésen alapuló, visszaélésszerű alvállalkozói gyakorlatokkal szemben; emlékeztet arra, hogy a 2009/52/EK irányelv előírja a tagállamok számára, hogy gondoskodjanak hatékony és megfelelő ellenőrzésekről az illegálisan tartózkodó harmadik országbeli állampolgárok foglalkoztatásának felügyelete érdekében, és felhívja a Bizottságot és a tagállamokat, hogy biztosítsák a megfelelő végrehajtást;</w:t>
      </w:r>
    </w:p>
    <w:p w14:paraId="2FB69F2B" w14:textId="1B53A797" w:rsidR="00940072" w:rsidRPr="00EB0F34" w:rsidRDefault="0061446C" w:rsidP="003B36EE">
      <w:pPr>
        <w:pStyle w:val="NormalHanging12a"/>
        <w:widowControl/>
      </w:pPr>
      <w:r>
        <w:t>23</w:t>
      </w:r>
      <w:r w:rsidR="00940072" w:rsidRPr="00EB0F34">
        <w:t>.</w:t>
      </w:r>
      <w:r w:rsidR="00940072" w:rsidRPr="00EB0F34">
        <w:tab/>
        <w:t>üdvözli a Bizottságnak az Európai Munkaügyi Hatóságról szóló értékelő jelentését, és ismételten felhívja</w:t>
      </w:r>
      <w:r w:rsidR="00940072" w:rsidRPr="00EB0F34">
        <w:rPr>
          <w:rStyle w:val="FootnoteReference"/>
        </w:rPr>
        <w:footnoteReference w:id="34"/>
      </w:r>
      <w:r w:rsidR="00940072" w:rsidRPr="00EB0F34">
        <w:t xml:space="preserve"> a Bizottságot, hogy jelentősen erősítse meg az Európai Munkaügyi Hatóság megbízatását azáltal, hogy lehetővé teszi számára az uniós munkajog állítólagos megsértésének kivizsgálását, valamint hogy saját kezdeményezésére vizsgálatokat kezdeményezzen és végezzen a határokon átnyúló ügyekben, kiterjeszti az ügynökség megbízatását a harmadik országbeli állampolgárok munkaerő-mobilitására, fokozza működési kockázatelemzési kapacitását, valamint elegendő forrást biztosít számára feladatai ellátásához; hangsúlyozza, hogy az ELA iránymutatása alapján tovább kell harmonizálni és egyszerűsíteni kell a munkavállalói mobilitásra vonatkozó szabályokat és ellenőrzési eljárásokat, ideértve az egységes ellenőrzési normákat és a jobb információcserét is; javasolja, hogy az Európai Munkaügyi Hatóságon belül hozzanak létre ágazatspecifikus végrehajtási egységeket, különösen az építőipar, a közlekedés és a mezőgazdaság tekintetében, és fokozzák az együttműködést a szociális partnerekkel az érintett ágazatokban;</w:t>
      </w:r>
    </w:p>
    <w:p w14:paraId="0C04FDE8" w14:textId="735118A7" w:rsidR="00940072" w:rsidRPr="00EB0F34" w:rsidRDefault="0061446C" w:rsidP="003B36EE">
      <w:pPr>
        <w:pStyle w:val="NormalHanging12a"/>
        <w:widowControl/>
      </w:pPr>
      <w:r>
        <w:t>24</w:t>
      </w:r>
      <w:r w:rsidR="00940072" w:rsidRPr="00EB0F34">
        <w:t>.</w:t>
      </w:r>
      <w:r w:rsidR="00940072" w:rsidRPr="00EB0F34">
        <w:tab/>
        <w:t xml:space="preserve">kiemeli, hogy a munkaügyi ellenőrzések a munkaerő-kizsákmányolás felderítésében és megelőzésében, valamint a munkaügyi jogszabályok általános betartásában egyaránt alapvető szerepet töltenek be; sürgeti a tagállamokat, hogy növeljék munkaügyi felügyelőik számát és a munkaügyi felügyelőségeknek nyújtott támogatásukat; </w:t>
      </w:r>
      <w:r w:rsidR="00940072" w:rsidRPr="00EB0F34">
        <w:lastRenderedPageBreak/>
        <w:t>emlékeztet arra, hogy a 2006/22/EK irányelv</w:t>
      </w:r>
      <w:r w:rsidR="00940072" w:rsidRPr="00EB0F34">
        <w:rPr>
          <w:rStyle w:val="FootnoteReference"/>
        </w:rPr>
        <w:footnoteReference w:id="35"/>
      </w:r>
      <w:r w:rsidR="00940072" w:rsidRPr="00EB0F34">
        <w:t xml:space="preserve"> már megállapítja a közúti fuvarozás terén a szociális jogszabályok betartásának ellenőrzésére vonatkozó minimumszabályokat, és felszólítja a Bizottságot és a tagállamokat, hogy javítsák a munkaügyi ellenőrzések minőségét és fokozzák azok gyakoriságát, valamint biztosítsák a megfelelő minimális munkaügyi ellenőrzési kapacitást, összhangban az ILO referenciaértékével, amelynek megfelelően minden 10 000 munkavállalóra jusson legalább egy munkaügyi felügyelő; hangsúlyozza, hogy a panasztételi mechanizmusok – annak ellenére, hogy fontosak a célzott ellenőrzések kezdeményezése szempontjából – továbbra is kihasználatlanok és elérhetetlenek, különösen az utazó munkavállalók és a nem uniós országokból származó munkavállalók számára; emlékeztet arra, hogy a 2009/52/EK irányelvvel összhangban a tagállamoknak biztosítaniuk kell, hogy hatékony mechanizmusok álljanak rendelkezésre, amelyeken keresztül az illegális foglalkoztatásban lévő nem uniós állampolgárok panaszt nyújthatnak be munkáltatójukkal szemben;</w:t>
      </w:r>
    </w:p>
    <w:p w14:paraId="368D531F" w14:textId="092BC5D8" w:rsidR="00940072" w:rsidRPr="00EB0F34" w:rsidRDefault="0061446C" w:rsidP="003B36EE">
      <w:pPr>
        <w:pStyle w:val="NormalHanging12a"/>
        <w:widowControl/>
      </w:pPr>
      <w:r>
        <w:t>25</w:t>
      </w:r>
      <w:r w:rsidR="00940072" w:rsidRPr="00EB0F34">
        <w:t>.</w:t>
      </w:r>
      <w:r w:rsidR="00940072" w:rsidRPr="00EB0F34">
        <w:tab/>
        <w:t>hangsúlyozza a pontos és naprakész adatok fontosságát; megjegyzi, hogy az alvállalkozói láncok összetételére és a munkával kapcsolatos bűncselekményekre vonatkozó információk szintje Európa-szerte eltérő, és ez kihívást jelent mind a végrehajtás, mind a szakpolitikai döntéshozatal szempontjából; felhívja a Bizottságot, hogy e tekintetben fokozza az adatgyűjtést, és kiemeli az Európai Munkaügyi Hatóság szerepét abban, hogy megbízható információkat nyújtson az általános tendenciákról és a visszaélésszerű magatartásról a határokon átnyúló helyzetekben;</w:t>
      </w:r>
    </w:p>
    <w:p w14:paraId="66BA9BAF" w14:textId="6F5196A7" w:rsidR="00940072" w:rsidRPr="00EB0F34" w:rsidRDefault="0061446C" w:rsidP="003B36EE">
      <w:pPr>
        <w:pStyle w:val="NormalHanging12a"/>
        <w:widowControl/>
      </w:pPr>
      <w:r>
        <w:t>26</w:t>
      </w:r>
      <w:r w:rsidR="00940072" w:rsidRPr="00EB0F34">
        <w:t>.</w:t>
      </w:r>
      <w:r w:rsidR="00940072" w:rsidRPr="00EB0F34">
        <w:tab/>
        <w:t>kiemeli a munkaterület azonosítására irányuló nemzeti és ágazati szintű kezdeményezések, például a szociális személyazonosító igazolványok sikerét; ezzel összefüggésben üdvözli az európai társadalombiztosítási kártya (ESSPASS) felvételét a Bizottság 2026. évi munkaprogramjába; megismétli az ESSPASS rendszer gyors bevezetésére, valamint a szociális biztonsági jogok és a méltányos mobilitás fokozott védelmére és digitális érvényesítésére irányuló felhívását</w:t>
      </w:r>
      <w:r w:rsidR="00940072" w:rsidRPr="00EB0F34">
        <w:rPr>
          <w:rStyle w:val="FootnoteReference"/>
        </w:rPr>
        <w:footnoteReference w:id="36"/>
      </w:r>
      <w:r w:rsidR="00940072" w:rsidRPr="00EB0F34">
        <w:t xml:space="preserve">, beleértve a valós idejű ellenőrzést és a végrehajtó hatóságok közötti információcserét is; felszólít az ESSPASS nemzeti és ágazati munkavállalói kártyarendszerekbe való integrálására az interoperabilitás és a zavarok minimálisra csökkentésének biztosítása érdekében; hangsúlyozza, hogy az ESSPASS-nak csökkentenie kell a szükségtelen adminisztratív terheket, egyszerűsítenie kell a megfelelést a vállalkozások számára, minimális megfelelési költségekkel a kkv-k számára, és támogatnia kell az Európai Munkaügyi Hatóságot és a nemzeti hatóságokat a visszaélések és a bűncselekmények elleni küzdelemben; hangsúlyozza az erős adatbiztonság és adatvédelem fontosságát az ESSPASS számára, valamint a szociális partnerek bevonását a rendszer kialakításába és bevezetésébe; tudomásul veszi továbbá az egyéb uniós kezdeményezésekkel, például a digitális személyiadat-tárcával kapcsolatos, folyamatban lévő munkát, amely segíthet </w:t>
      </w:r>
      <w:r w:rsidR="00940072" w:rsidRPr="00EB0F34">
        <w:lastRenderedPageBreak/>
        <w:t>javítani a hatóságok azon képességét, hogy anélkül lépjenek fel a bűnözői magatartással szemben, hogy megterhelnék a kkv-kat vagy növelnék a fogyasztók költségeit;</w:t>
      </w:r>
    </w:p>
    <w:p w14:paraId="1FF37719" w14:textId="77777777" w:rsidR="00940072" w:rsidRPr="00EB0F34" w:rsidRDefault="00940072" w:rsidP="003B36EE">
      <w:pPr>
        <w:pStyle w:val="NormalHanging12a"/>
        <w:widowControl/>
        <w:rPr>
          <w:b/>
          <w:i/>
          <w:iCs/>
        </w:rPr>
      </w:pPr>
      <w:r w:rsidRPr="00EB0F34">
        <w:rPr>
          <w:b/>
          <w:i/>
        </w:rPr>
        <w:t>A munkaerő-kizsákmányolás szankcionálása</w:t>
      </w:r>
    </w:p>
    <w:p w14:paraId="5A2CAA7C" w14:textId="280D84CC" w:rsidR="00940072" w:rsidRPr="00EB0F34" w:rsidRDefault="0061446C" w:rsidP="003B36EE">
      <w:pPr>
        <w:pStyle w:val="NormalHanging12a"/>
        <w:widowControl/>
      </w:pPr>
      <w:r>
        <w:t>27</w:t>
      </w:r>
      <w:r w:rsidR="00940072" w:rsidRPr="00EB0F34">
        <w:t>.</w:t>
      </w:r>
      <w:r w:rsidR="00940072" w:rsidRPr="00EB0F34">
        <w:tab/>
        <w:t>aggodalommal jegyzi meg, hogy azok a személyek, akikre az egyik tagállamban kereskedelmi tilalom vonatkozik, megkerülhetik a nemzeti korlátozásokat azáltal, hogy egy másik tagállamban regisztrálnak és működtetnek vállalkozást, ami aláássa a munkaerő-kizsákmányolás elleni küzdelmet az egész egységes piacon; felhívja a Bizottságot, hogy a Szerződésekkel összhangban biztosítsa a tagállamok közötti hatékonyabb információcserét és együttműködést, valamint a kereskedelmi tilalmak és a büntetőjogi szankciók kölcsönös elismerését a korlátozások kijátszásának megelőzése érdekében; ezzel összefüggésben hangsúlyozza a jogállamiságnak és a tisztességes eljárásra vonatkozó biztosítékoknak való megfelelés fontosságát; javasolja a belső piaci információs rendszer (IMI) használatát a releváns információk tagállamok közötti, időben történő és biztonságos cseréje érdekében;</w:t>
      </w:r>
    </w:p>
    <w:p w14:paraId="7E953DEC" w14:textId="29AC50F7" w:rsidR="00940072" w:rsidRPr="00EB0F34" w:rsidRDefault="0061446C" w:rsidP="003B36EE">
      <w:pPr>
        <w:pStyle w:val="NormalHanging12a"/>
        <w:widowControl/>
      </w:pPr>
      <w:r>
        <w:t>28</w:t>
      </w:r>
      <w:r w:rsidR="00940072" w:rsidRPr="00EB0F34">
        <w:t>.</w:t>
      </w:r>
      <w:r w:rsidR="00940072" w:rsidRPr="00EB0F34">
        <w:tab/>
        <w:t>megjegyzi, hogy az uniós szakpolitikai területek között eltérések vannak a szankciók és a szankciórendszerek tekintetében; hangsúlyozza, hogy a munkával kapcsolatos bűncselekményekre és a munkavállalói jogok megsértésére vonatkozó büntetéseknek és szankcióknak hatékonynak, visszatartó erejűnek és a vállalkozás által elkövetett jogsértés jellegével, súlyosságával és időtartamával, valamint az érintett munkavállalók számával arányosnak kell lenniük; felhívja a Bizottságot, hogy az arányosság, az elrettentés és az egyenlő versenyfeltételek biztosítása érdekében vizsgálja meg a szankcióknak a vállalat méretéhez vagy forgalmához való kapcsolását; hangsúlyozza, hogy a határokon átnyúló esetekben szükség van egy, a kifizetetlen bérek, társadalombiztosítási járulékok, bírságok és kártérítések behajtására szolgáló mechanizmusra;</w:t>
      </w:r>
    </w:p>
    <w:p w14:paraId="3E756FA2" w14:textId="52AAD8D0" w:rsidR="00940072" w:rsidRPr="00EB0F34" w:rsidRDefault="0061446C" w:rsidP="003B36EE">
      <w:pPr>
        <w:pStyle w:val="NormalHanging12a"/>
        <w:widowControl/>
      </w:pPr>
      <w:r>
        <w:t>29</w:t>
      </w:r>
      <w:r w:rsidR="00940072" w:rsidRPr="00EB0F34">
        <w:t>.</w:t>
      </w:r>
      <w:r w:rsidR="00940072" w:rsidRPr="00EB0F34">
        <w:tab/>
        <w:t>kiemeli azt a problémát, hogy a munkaerőpiac csalárd és bűnöző szereplői stratégiai csődöket és vállalkozáseltűnéseket alkalmaznak a végrehajtatlan kifizetésekért járó felelősségrevonás és a szankciók elkerülésére; kéri a Bizottságot és a tagállamokat, hogy vizsgálják meg a stratégiai csődökkel és az eltűnő vállalkozásokkal kapcsolatos problémákat, különösen a határokon átnyúló esetekben, és tegyék meg a szükséges kezdeményezéseket a jelenség gyakoriságának csökkentése érdekében;</w:t>
      </w:r>
    </w:p>
    <w:p w14:paraId="3A487F15" w14:textId="7F4C8F88" w:rsidR="00940072" w:rsidRPr="00EB0F34" w:rsidRDefault="0061446C" w:rsidP="003B36EE">
      <w:pPr>
        <w:pStyle w:val="NormalHanging12a"/>
        <w:widowControl/>
      </w:pPr>
      <w:r>
        <w:t>30</w:t>
      </w:r>
      <w:r w:rsidR="00940072" w:rsidRPr="00EB0F34">
        <w:t>.</w:t>
      </w:r>
      <w:r w:rsidR="00940072" w:rsidRPr="00EB0F34">
        <w:tab/>
        <w:t>emlékeztet arra, hogy a közkiadásoknak a munkavállalói jogok tiszteletben tartásához és a tisztességes munkakörülményekhez való kötése az egyik rendelkezésre álló eszköz a visszaélésszerű alvállalkozás és a munkával kapcsolatos bűncselekmények elleni küzdelemben;</w:t>
      </w:r>
    </w:p>
    <w:p w14:paraId="0A400B52" w14:textId="77777777" w:rsidR="00940072" w:rsidRPr="00EB0F34" w:rsidRDefault="00940072" w:rsidP="003B36EE">
      <w:pPr>
        <w:pStyle w:val="NormalHanging12a"/>
        <w:widowControl/>
        <w:jc w:val="center"/>
      </w:pPr>
      <w:r w:rsidRPr="00EB0F34">
        <w:t>°</w:t>
      </w:r>
    </w:p>
    <w:p w14:paraId="55FEEF3A" w14:textId="77777777" w:rsidR="00940072" w:rsidRPr="00EB0F34" w:rsidRDefault="00940072" w:rsidP="003B36EE">
      <w:pPr>
        <w:pStyle w:val="NormalHanging12a"/>
        <w:widowControl/>
        <w:jc w:val="center"/>
      </w:pPr>
      <w:r w:rsidRPr="00EB0F34">
        <w:t>°</w:t>
      </w:r>
      <w:r w:rsidRPr="00EB0F34">
        <w:tab/>
        <w:t>°</w:t>
      </w:r>
    </w:p>
    <w:p w14:paraId="302C64E1" w14:textId="372B4ACB" w:rsidR="00DE293B" w:rsidRPr="00DE293B" w:rsidRDefault="0061446C" w:rsidP="003B36EE">
      <w:pPr>
        <w:pStyle w:val="NormalHanging12a"/>
        <w:widowControl/>
      </w:pPr>
      <w:r>
        <w:t>31</w:t>
      </w:r>
      <w:r w:rsidR="00940072" w:rsidRPr="00EB0F34">
        <w:t>.</w:t>
      </w:r>
      <w:r w:rsidR="00940072" w:rsidRPr="00EB0F34">
        <w:tab/>
        <w:t>utasítja elnökét, hogy továbbítsa ezt az állásfoglalást a Tanácsnak és a Bizottságnak.</w:t>
      </w:r>
    </w:p>
    <w:sectPr w:rsidR="00DE293B" w:rsidRPr="00DE293B" w:rsidSect="00DE29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2243" w14:textId="77777777" w:rsidR="000F408C" w:rsidRPr="00DE293B" w:rsidRDefault="000F408C">
      <w:r w:rsidRPr="00DE293B">
        <w:separator/>
      </w:r>
    </w:p>
  </w:endnote>
  <w:endnote w:type="continuationSeparator" w:id="0">
    <w:p w14:paraId="318A976E" w14:textId="77777777" w:rsidR="000F408C" w:rsidRPr="00DE293B" w:rsidRDefault="000F408C">
      <w:r w:rsidRPr="00DE2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7520" w14:textId="77777777" w:rsidR="00064002" w:rsidRPr="00DE29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0C4A" w14:textId="77777777" w:rsidR="00064002" w:rsidRPr="00DE29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4F8F" w14:textId="77777777" w:rsidR="00064002" w:rsidRPr="00DE29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E063" w14:textId="77777777" w:rsidR="000F408C" w:rsidRPr="00DE293B" w:rsidRDefault="000F408C">
      <w:r w:rsidRPr="00DE293B">
        <w:separator/>
      </w:r>
    </w:p>
  </w:footnote>
  <w:footnote w:type="continuationSeparator" w:id="0">
    <w:p w14:paraId="5FC592A4" w14:textId="77777777" w:rsidR="000F408C" w:rsidRPr="00DE293B" w:rsidRDefault="000F408C">
      <w:r w:rsidRPr="00DE293B">
        <w:continuationSeparator/>
      </w:r>
    </w:p>
  </w:footnote>
  <w:footnote w:id="1">
    <w:p w14:paraId="176AC5A6" w14:textId="23A08CF6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HL L 18., 1997.1.21., 1. o., ELI: </w:t>
      </w:r>
      <w:hyperlink r:id="rId1" w:history="1">
        <w:r w:rsidRPr="00B52874">
          <w:rPr>
            <w:rStyle w:val="Hyperlink"/>
            <w:sz w:val="24"/>
            <w:szCs w:val="24"/>
            <w:lang w:val="hu-HU"/>
          </w:rPr>
          <w:t>http://data.europa.eu/eli/dir/1996/71/oj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2">
    <w:p w14:paraId="762D3C01" w14:textId="50E37EFF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HL L 159., 2014.5.28., 11. o.,</w:t>
      </w:r>
      <w:r w:rsidRPr="00B52874">
        <w:rPr>
          <w:color w:val="333333"/>
          <w:sz w:val="24"/>
          <w:szCs w:val="24"/>
          <w:shd w:val="clear" w:color="auto" w:fill="FFFFFF"/>
          <w:lang w:val="hu-HU"/>
        </w:rPr>
        <w:t xml:space="preserve"> </w:t>
      </w:r>
      <w:r w:rsidRPr="00B52874">
        <w:rPr>
          <w:sz w:val="24"/>
          <w:szCs w:val="24"/>
          <w:lang w:val="hu-HU"/>
        </w:rPr>
        <w:t>ELI: </w:t>
      </w:r>
      <w:hyperlink r:id="rId2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http://data.europa.eu/eli/dir/2014/67/oj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3">
    <w:p w14:paraId="4063F63D" w14:textId="0B8462EA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HL L 101., 2011.4.15., 1. o., ELI: </w:t>
      </w:r>
      <w:hyperlink r:id="rId3" w:history="1">
        <w:r w:rsidRPr="00B52874">
          <w:rPr>
            <w:rStyle w:val="Hyperlink"/>
            <w:sz w:val="24"/>
            <w:szCs w:val="24"/>
            <w:lang w:val="hu-HU"/>
          </w:rPr>
          <w:t>http://data.europa.eu/eli/dir/2011/36/oj.</w:t>
        </w:r>
      </w:hyperlink>
    </w:p>
  </w:footnote>
  <w:footnote w:id="4">
    <w:p w14:paraId="55EA5002" w14:textId="7A9CCD08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HL L 168., 2009.6.30., 24. o., ELI: </w:t>
      </w:r>
      <w:hyperlink r:id="rId4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http://data.europa.eu/eli/dir/2009/52/oj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5">
    <w:p w14:paraId="190C525E" w14:textId="045E95A6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HL L 94., 2014.3.28., 65. o., ELI: </w:t>
      </w:r>
      <w:hyperlink r:id="rId5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http://data.europa.eu/eli/dir/2014/24/oj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6">
    <w:p w14:paraId="08C09A5F" w14:textId="7A291FD7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HL L, 2024/1760, 2024.7.5., ELI: </w:t>
      </w:r>
      <w:hyperlink r:id="rId6" w:tgtFrame="_blank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http://data.europa.eu/eli/dir/2024/1760/oj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7">
    <w:p w14:paraId="5FEEE728" w14:textId="17C31A4B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hyperlink r:id="rId7" w:history="1">
        <w:r w:rsidRPr="00B52874">
          <w:rPr>
            <w:rStyle w:val="Hyperlink"/>
            <w:sz w:val="24"/>
            <w:szCs w:val="24"/>
            <w:lang w:val="hu-HU"/>
          </w:rPr>
          <w:t>https://data.europa.eu/doi/10.2826/844552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8">
    <w:p w14:paraId="6B26CFA8" w14:textId="1BECE193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hyperlink r:id="rId8" w:history="1">
        <w:r w:rsidRPr="00B52874">
          <w:rPr>
            <w:rStyle w:val="Hyperlink"/>
            <w:sz w:val="24"/>
            <w:szCs w:val="24"/>
            <w:lang w:val="hu-HU"/>
          </w:rPr>
          <w:t>https://www.ela.europa.eu/sites/default/files/2025-03/ELA-posting-third-country-nationals-report.pdf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9">
    <w:p w14:paraId="4AF94FF9" w14:textId="50503891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hyperlink r:id="rId9" w:history="1">
        <w:r w:rsidRPr="00B52874">
          <w:rPr>
            <w:rStyle w:val="Hyperlink"/>
            <w:sz w:val="24"/>
            <w:szCs w:val="24"/>
            <w:lang w:val="hu-HU"/>
          </w:rPr>
          <w:t>https://www.ela.europa.eu/sites/default/files/2023-04/ela-report-posting-third-country-nationals.pdf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10">
    <w:p w14:paraId="597DEBAE" w14:textId="2C468FBC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hyperlink r:id="rId10" w:history="1">
        <w:r w:rsidRPr="00B52874">
          <w:rPr>
            <w:rStyle w:val="Hyperlink"/>
            <w:sz w:val="24"/>
            <w:szCs w:val="24"/>
            <w:lang w:val="hu-HU"/>
          </w:rPr>
          <w:t>https://www.ela.europa.eu/en/publications/construction-sector-issues-information-provision-enforcement-labour-mobility-law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11">
    <w:p w14:paraId="4EC76573" w14:textId="190AC597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HL C 224., 2022.6.8., 81. o.</w:t>
      </w:r>
    </w:p>
  </w:footnote>
  <w:footnote w:id="12">
    <w:p w14:paraId="528BD48D" w14:textId="51886ECB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HL C, C/2025/3156, 2025.6.20., </w:t>
      </w:r>
      <w:hyperlink r:id="rId11" w:history="1">
        <w:r w:rsidRPr="00B52874">
          <w:rPr>
            <w:rStyle w:val="Hyperlink"/>
            <w:sz w:val="24"/>
            <w:szCs w:val="24"/>
            <w:lang w:val="hu-HU"/>
          </w:rPr>
          <w:t>ELI:</w:t>
        </w:r>
      </w:hyperlink>
      <w:hyperlink r:id="rId12" w:history="1">
        <w:r w:rsidRPr="00B52874">
          <w:rPr>
            <w:rStyle w:val="Hyperlink"/>
            <w:sz w:val="24"/>
            <w:szCs w:val="24"/>
            <w:lang w:val="hu-HU"/>
          </w:rPr>
          <w:t xml:space="preserve"> http://data.europa.eu/eli/C/2025/3156/oj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13">
    <w:p w14:paraId="59661504" w14:textId="383F3AB4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HL C, C/2024/5741, 2024.10.17., ELI: </w:t>
      </w:r>
      <w:hyperlink r:id="rId13" w:history="1">
        <w:r w:rsidRPr="00B52874">
          <w:rPr>
            <w:rStyle w:val="Hyperlink"/>
            <w:sz w:val="24"/>
            <w:szCs w:val="24"/>
            <w:lang w:val="hu-HU"/>
          </w:rPr>
          <w:t>http://data.europa.eu/eli/C/2024/5741/oj</w:t>
        </w:r>
      </w:hyperlink>
      <w:r w:rsidRPr="00B52874">
        <w:rPr>
          <w:sz w:val="24"/>
          <w:szCs w:val="24"/>
          <w:lang w:val="hu-HU"/>
        </w:rPr>
        <w:t>.</w:t>
      </w:r>
    </w:p>
  </w:footnote>
  <w:footnote w:id="14">
    <w:p w14:paraId="3C411498" w14:textId="7F7E184B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Elfogadott szövegek, P10_</w:t>
      </w:r>
      <w:proofErr w:type="gramStart"/>
      <w:r w:rsidRPr="00B52874">
        <w:rPr>
          <w:sz w:val="24"/>
          <w:szCs w:val="24"/>
          <w:lang w:val="hu-HU"/>
        </w:rPr>
        <w:t>TA(</w:t>
      </w:r>
      <w:proofErr w:type="gramEnd"/>
      <w:r w:rsidRPr="00B52874">
        <w:rPr>
          <w:sz w:val="24"/>
          <w:szCs w:val="24"/>
          <w:lang w:val="hu-HU"/>
        </w:rPr>
        <w:t>2025)0174.</w:t>
      </w:r>
    </w:p>
  </w:footnote>
  <w:footnote w:id="15">
    <w:p w14:paraId="27BFD267" w14:textId="22BC30AB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 Bíróság 2017. április 5-i ítélete, „Borta” UAB kontra Klaipėdos valstybinio jūrų uosto direkcija VĮ, C-298/15, ECLI:EU:C:2017:266.</w:t>
      </w:r>
    </w:p>
  </w:footnote>
  <w:footnote w:id="16">
    <w:p w14:paraId="04F78254" w14:textId="309E9335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Lásd például: Német Szövetségi Munkaügyi és Szociális Minisztérium: Nationaler Aktionsplan gegen Arbeitsausbeutung und Zwangsarbeit (2025); Olasz Munkaügyi és Szociálpolitikai Minisztérium: Piano nazionale per la lotta al lavoro sommerso (2022); Spanyol Szociális Biztonsági, Migrációs, és a Társadalmi Befogadásért Felelős Minisztérium: Plan de Acción contra el Trabajo Forzoso (2021); Svéd kormány: Nationell strategi mot arbetslivskriminalitet (2022), továbbá: Norvég kormány: Strategi mot arbeidslivskriminalitet (2021).</w:t>
      </w:r>
    </w:p>
  </w:footnote>
  <w:footnote w:id="17">
    <w:p w14:paraId="264F79E1" w14:textId="73137C89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Európai Bizottság, negyedik jelentés az emberkereskedelem elleni küzdelem terén elért eredményekről (</w:t>
      </w:r>
      <w:proofErr w:type="gramStart"/>
      <w:r w:rsidRPr="00B52874">
        <w:rPr>
          <w:sz w:val="24"/>
          <w:szCs w:val="24"/>
          <w:lang w:val="hu-HU"/>
        </w:rPr>
        <w:t>COM(</w:t>
      </w:r>
      <w:proofErr w:type="gramEnd"/>
      <w:r w:rsidRPr="00B52874">
        <w:rPr>
          <w:sz w:val="24"/>
          <w:szCs w:val="24"/>
          <w:lang w:val="hu-HU"/>
        </w:rPr>
        <w:t>2022)0736); Európai Bizottság, ötödik jelentés az emberkereskedelem elleni küzdelem terén elért eredményekről (COM(2025)0008).</w:t>
      </w:r>
    </w:p>
  </w:footnote>
  <w:footnote w:id="18">
    <w:p w14:paraId="52036A67" w14:textId="3C9EA76D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ELA, </w:t>
      </w:r>
      <w:r w:rsidRPr="00B52874">
        <w:rPr>
          <w:i/>
          <w:iCs/>
          <w:sz w:val="24"/>
          <w:szCs w:val="24"/>
          <w:lang w:val="hu-HU"/>
        </w:rPr>
        <w:t>Posting of third-country nationals:</w:t>
      </w:r>
      <w:r w:rsidRPr="00B52874">
        <w:rPr>
          <w:i/>
          <w:sz w:val="24"/>
          <w:szCs w:val="24"/>
          <w:lang w:val="hu-HU"/>
        </w:rPr>
        <w:t xml:space="preserve"> </w:t>
      </w:r>
      <w:r w:rsidRPr="00B52874">
        <w:rPr>
          <w:i/>
          <w:iCs/>
          <w:sz w:val="24"/>
          <w:szCs w:val="24"/>
          <w:lang w:val="hu-HU"/>
        </w:rPr>
        <w:t>contracting chains, recruitment patterns, and enforcement issues</w:t>
      </w:r>
      <w:r w:rsidRPr="00B52874">
        <w:rPr>
          <w:sz w:val="24"/>
          <w:szCs w:val="24"/>
          <w:lang w:val="hu-HU"/>
        </w:rPr>
        <w:t xml:space="preserve"> (2025); ELA, </w:t>
      </w:r>
      <w:r w:rsidRPr="00B52874">
        <w:rPr>
          <w:i/>
          <w:iCs/>
          <w:sz w:val="24"/>
          <w:szCs w:val="24"/>
          <w:lang w:val="hu-HU"/>
        </w:rPr>
        <w:t>Counteracting undeclared work and labour exploitation of third-country national workers</w:t>
      </w:r>
      <w:r w:rsidRPr="00B52874">
        <w:rPr>
          <w:sz w:val="24"/>
          <w:szCs w:val="24"/>
          <w:lang w:val="hu-HU"/>
        </w:rPr>
        <w:t xml:space="preserve"> (2021); ELA, </w:t>
      </w:r>
      <w:r w:rsidRPr="00B52874">
        <w:rPr>
          <w:i/>
          <w:sz w:val="24"/>
          <w:szCs w:val="24"/>
          <w:lang w:val="hu-HU"/>
        </w:rPr>
        <w:t>Tackling undeclared work in supply chains – Learning Resource Paper</w:t>
      </w:r>
      <w:r w:rsidRPr="00B52874">
        <w:rPr>
          <w:sz w:val="24"/>
          <w:szCs w:val="24"/>
          <w:lang w:val="hu-HU"/>
        </w:rPr>
        <w:t xml:space="preserve"> (2022); A Bizottság jelentése a munkavállalók szolgáltatások nyújtása keretében történő kiküldetéséről szóló 96/71/EK irányelv módosításáról szóló, 2018. június 28-i (EU) 2018/957 európai parlamenti és tanácsi irányelv alkalmazásáról és végrehajtásáról (COM(2024)</w:t>
      </w:r>
      <w:r w:rsidR="003B36EE" w:rsidRPr="00B52874">
        <w:rPr>
          <w:sz w:val="24"/>
          <w:szCs w:val="24"/>
          <w:lang w:val="hu-HU"/>
        </w:rPr>
        <w:t>0</w:t>
      </w:r>
      <w:r w:rsidRPr="00B52874">
        <w:rPr>
          <w:sz w:val="24"/>
          <w:szCs w:val="24"/>
          <w:lang w:val="hu-HU"/>
        </w:rPr>
        <w:t>320).</w:t>
      </w:r>
    </w:p>
  </w:footnote>
  <w:footnote w:id="19">
    <w:p w14:paraId="6815DE10" w14:textId="586051E6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 Bizottság „Iránymutatás az Európai Unió működéséről szóló szerződés 101. cikkének a horizontális együttműködési megállapodásokra való alkalmazhatóságáról” című közleménye (HL C 259., 2023.7.21., 1. o.).</w:t>
      </w:r>
    </w:p>
  </w:footnote>
  <w:footnote w:id="20">
    <w:p w14:paraId="29F4F430" w14:textId="53E5167C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Európai Bizottság: A Foglalkoztatás, a Szociális Ügyek és a Társadalmi Befogadás Főigazgatósága, EFTHEIA, HIVA-KU Leuven, IRIS, Milieu és WIIW, </w:t>
      </w:r>
      <w:r w:rsidR="003B36EE" w:rsidRPr="00EB0F34">
        <w:rPr>
          <w:szCs w:val="24"/>
          <w:lang w:val="hu-HU"/>
        </w:rPr>
        <w:t>Posting of workers – Collection of data from the prior declaration tools – Reference year 2022</w:t>
      </w:r>
      <w:r w:rsidRPr="00B52874">
        <w:rPr>
          <w:sz w:val="24"/>
          <w:szCs w:val="24"/>
          <w:lang w:val="hu-HU"/>
        </w:rPr>
        <w:t>, az Európai Unió Kiadóhivatala, 2024.</w:t>
      </w:r>
    </w:p>
  </w:footnote>
  <w:footnote w:id="21">
    <w:p w14:paraId="3548B040" w14:textId="05894FD6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ELA jelentése a kiküldött harmadik országbeli állampolgárok szerződéses láncairól és munkaerő-felvételi mintáiról, 2025. március, valamint az ELA jelentése a tagállamok közötti együttműködési gyakorlatokról, lehetőségekről és kihívásokról – különösen a harmadik országbeli állampolgárok kiküldetésével kapcsolatban, 2023. február.</w:t>
      </w:r>
    </w:p>
  </w:footnote>
  <w:footnote w:id="22">
    <w:p w14:paraId="409E66C9" w14:textId="467CC7C0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ELA jelentése: „Posting of third-country nationals: contracting chains, recruitment patterns, and enforcement issues”, 2025.</w:t>
      </w:r>
    </w:p>
  </w:footnote>
  <w:footnote w:id="23">
    <w:p w14:paraId="1FED32A0" w14:textId="67375182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Európai Bizottság: A Foglalkoztatás, a Szociális Ügyek és a Társadalmi Befogadás Főigazgatósága, ECORYS, HIVA-KU Leuven, Spark Legal and Policy Consulting és Wmp consult, </w:t>
      </w:r>
      <w:r w:rsidR="003B36EE" w:rsidRPr="00EB0F34">
        <w:rPr>
          <w:szCs w:val="24"/>
          <w:lang w:val="hu-HU"/>
        </w:rPr>
        <w:t>Study supporting the Monitoring of the Posting of Workers Directive 2018/957/EU and of the Enforcement Directive 2014/67/EU – The situation of temporary cross-border mobile workers and workers in subcontracting chains</w:t>
      </w:r>
      <w:r w:rsidRPr="00B52874">
        <w:rPr>
          <w:sz w:val="24"/>
          <w:szCs w:val="24"/>
          <w:lang w:val="hu-HU"/>
        </w:rPr>
        <w:t>, az Európai Unió Kiadóhivatala, 2024.</w:t>
      </w:r>
    </w:p>
  </w:footnote>
  <w:footnote w:id="24">
    <w:p w14:paraId="69BBE875" w14:textId="556B067A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 Bizottság jelentése a munkavállalók szolgáltatások nyújtása keretében történő kiküldetéséről szóló 96/71/EK irányelv módosításáról szóló, 2018. június 28-i (EU) 2018/957 európai parlamenti és tanácsi irányelv alkalmazásáról és végrehajtásáról (</w:t>
      </w:r>
      <w:proofErr w:type="gramStart"/>
      <w:r w:rsidRPr="00B52874">
        <w:rPr>
          <w:sz w:val="24"/>
          <w:szCs w:val="24"/>
          <w:lang w:val="hu-HU"/>
        </w:rPr>
        <w:t>COM(</w:t>
      </w:r>
      <w:proofErr w:type="gramEnd"/>
      <w:r w:rsidRPr="00B52874">
        <w:rPr>
          <w:sz w:val="24"/>
          <w:szCs w:val="24"/>
          <w:lang w:val="hu-HU"/>
        </w:rPr>
        <w:t>2024)</w:t>
      </w:r>
      <w:r w:rsidR="003B36EE" w:rsidRPr="00B52874">
        <w:rPr>
          <w:sz w:val="24"/>
          <w:szCs w:val="24"/>
          <w:lang w:val="hu-HU"/>
        </w:rPr>
        <w:t>0</w:t>
      </w:r>
      <w:r w:rsidRPr="00B52874">
        <w:rPr>
          <w:sz w:val="24"/>
          <w:szCs w:val="24"/>
          <w:lang w:val="hu-HU"/>
        </w:rPr>
        <w:t>320).</w:t>
      </w:r>
    </w:p>
  </w:footnote>
  <w:footnote w:id="25">
    <w:p w14:paraId="68D1C384" w14:textId="44A0BE44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 Bizottság jelentése a munkavállalók szolgáltatások nyújtása keretében történő kiküldetéséről szóló 96/71/EK irányelv módosításáról szóló, 2018. június 28-i (EU) 2018/957 európai parlamenti és tanácsi irányelv alkalmazásáról és végrehajtásáról (</w:t>
      </w:r>
      <w:proofErr w:type="gramStart"/>
      <w:r w:rsidRPr="00B52874">
        <w:rPr>
          <w:sz w:val="24"/>
          <w:szCs w:val="24"/>
          <w:lang w:val="hu-HU"/>
        </w:rPr>
        <w:t>COM(</w:t>
      </w:r>
      <w:proofErr w:type="gramEnd"/>
      <w:r w:rsidRPr="00B52874">
        <w:rPr>
          <w:sz w:val="24"/>
          <w:szCs w:val="24"/>
          <w:lang w:val="hu-HU"/>
        </w:rPr>
        <w:t>2024)</w:t>
      </w:r>
      <w:r w:rsidR="003B36EE" w:rsidRPr="00B52874">
        <w:rPr>
          <w:sz w:val="24"/>
          <w:szCs w:val="24"/>
          <w:lang w:val="hu-HU"/>
        </w:rPr>
        <w:t>0</w:t>
      </w:r>
      <w:r w:rsidRPr="00B52874">
        <w:rPr>
          <w:sz w:val="24"/>
          <w:szCs w:val="24"/>
          <w:lang w:val="hu-HU"/>
        </w:rPr>
        <w:t>320).</w:t>
      </w:r>
    </w:p>
  </w:footnote>
  <w:footnote w:id="26">
    <w:p w14:paraId="79493F3A" w14:textId="579021A7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Például Svédország (</w:t>
      </w:r>
      <w:hyperlink r:id="rId14" w:history="1">
        <w:r w:rsidRPr="00B52874">
          <w:rPr>
            <w:rStyle w:val="Hyperlink"/>
            <w:sz w:val="24"/>
            <w:szCs w:val="24"/>
            <w:lang w:val="hu-HU"/>
          </w:rPr>
          <w:t>https://www.regeringen.se/contentassets/f6f461b310984b598ee4f7a2d83350d0/nationell-strategi-mot-arbetslivskriminalitet.pdf</w:t>
        </w:r>
      </w:hyperlink>
      <w:r w:rsidRPr="00B52874">
        <w:rPr>
          <w:sz w:val="24"/>
          <w:szCs w:val="24"/>
          <w:lang w:val="hu-HU"/>
        </w:rPr>
        <w:t>), Finnország (</w:t>
      </w:r>
      <w:hyperlink r:id="rId15" w:history="1">
        <w:r w:rsidRPr="00B52874">
          <w:rPr>
            <w:rStyle w:val="Hyperlink"/>
            <w:sz w:val="24"/>
            <w:szCs w:val="24"/>
            <w:lang w:val="hu-HU"/>
          </w:rPr>
          <w:t>https://julkaisut.valtioneuvosto.fi/bitstream/handle/10024/165395/TEM_2024_5.pdf</w:t>
        </w:r>
      </w:hyperlink>
      <w:r w:rsidRPr="00B52874">
        <w:rPr>
          <w:sz w:val="24"/>
          <w:szCs w:val="24"/>
          <w:lang w:val="hu-HU"/>
        </w:rPr>
        <w:t>), Olaszország, Németország (</w:t>
      </w:r>
      <w:hyperlink r:id="rId16" w:history="1">
        <w:r w:rsidRPr="00B52874">
          <w:rPr>
            <w:rStyle w:val="Hyperlink"/>
            <w:sz w:val="24"/>
            <w:szCs w:val="24"/>
            <w:lang w:val="hu-HU"/>
          </w:rPr>
          <w:t>https://www.bmas.de/DE/Service/Presse/Meldungen/2025/nationaler-aktionsplan-gegen-arbeitsausbeutung-und-zwangsarbeit-beschlossen.html</w:t>
        </w:r>
      </w:hyperlink>
      <w:r w:rsidRPr="00B52874">
        <w:rPr>
          <w:sz w:val="24"/>
          <w:szCs w:val="24"/>
          <w:lang w:val="hu-HU"/>
        </w:rPr>
        <w:t>), Spanyolország és Norvégia (</w:t>
      </w:r>
      <w:hyperlink r:id="rId17" w:history="1">
        <w:r w:rsidRPr="00B52874">
          <w:rPr>
            <w:rStyle w:val="Hyperlink"/>
            <w:sz w:val="24"/>
            <w:szCs w:val="24"/>
            <w:lang w:val="hu-HU"/>
          </w:rPr>
          <w:t>https://www.regjeringen.no/no/dokumenter/strategi-mot-arbeidslivskriminalitet-2021/id2831867/</w:t>
        </w:r>
      </w:hyperlink>
      <w:r w:rsidRPr="00B52874">
        <w:rPr>
          <w:sz w:val="24"/>
          <w:szCs w:val="24"/>
          <w:lang w:val="hu-HU"/>
        </w:rPr>
        <w:t>).</w:t>
      </w:r>
    </w:p>
  </w:footnote>
  <w:footnote w:id="27">
    <w:p w14:paraId="0A0B9374" w14:textId="1ED7D7A1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Európai Parlament és a Tanács 1008/2008/EK rendelete (2008. szeptember 24.) a Közösségben a légi járatok működtetésére vonatkozó közös szabályokról (HL L 293., 2008.10.31., 3. o., ELI: </w:t>
      </w:r>
      <w:hyperlink r:id="rId18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http://data.europa.eu/eli/reg/2008/1008/oj</w:t>
        </w:r>
      </w:hyperlink>
      <w:r w:rsidRPr="00B52874">
        <w:rPr>
          <w:sz w:val="24"/>
          <w:szCs w:val="24"/>
          <w:lang w:val="hu-HU"/>
        </w:rPr>
        <w:t>).</w:t>
      </w:r>
    </w:p>
  </w:footnote>
  <w:footnote w:id="28">
    <w:p w14:paraId="79247485" w14:textId="1CB83E42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Európai Bizottság: Kkv-ügyi Végrehajtó Ügynökség, </w:t>
      </w:r>
      <w:r w:rsidR="003B36EE" w:rsidRPr="00EB0F34">
        <w:rPr>
          <w:szCs w:val="24"/>
          <w:lang w:val="hu-HU"/>
        </w:rPr>
        <w:t>Making socially responsible public procurement work – 71 good practice cases</w:t>
      </w:r>
      <w:r w:rsidRPr="00B52874">
        <w:rPr>
          <w:sz w:val="24"/>
          <w:szCs w:val="24"/>
          <w:lang w:val="hu-HU"/>
        </w:rPr>
        <w:t>, Kiadóhivatal, 2020.</w:t>
      </w:r>
    </w:p>
  </w:footnote>
  <w:footnote w:id="29">
    <w:p w14:paraId="6F9E4BD9" w14:textId="337B967D" w:rsidR="002A225E" w:rsidRPr="002A225E" w:rsidRDefault="002A225E"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 w:rsidRPr="002A225E">
        <w:rPr>
          <w:lang w:val="hu-HU"/>
        </w:rPr>
        <w:t xml:space="preserve"> </w:t>
      </w:r>
      <w:r w:rsidRPr="00B52874">
        <w:rPr>
          <w:sz w:val="24"/>
          <w:szCs w:val="24"/>
          <w:lang w:val="hu-HU"/>
        </w:rPr>
        <w:t>Az Európai Parlament 2025. szeptember 9-i állásfoglalása a közbeszerzésről:</w:t>
      </w:r>
    </w:p>
  </w:footnote>
  <w:footnote w:id="30">
    <w:p w14:paraId="6DA85EE2" w14:textId="544E307F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Európai Parlament 2025. szeptember 9-i állásfoglalása a közbeszerzésről</w:t>
      </w:r>
      <w:r w:rsidR="002A225E">
        <w:rPr>
          <w:sz w:val="24"/>
          <w:szCs w:val="24"/>
          <w:lang w:val="hu-HU"/>
        </w:rPr>
        <w:t>.</w:t>
      </w:r>
    </w:p>
  </w:footnote>
  <w:footnote w:id="31">
    <w:p w14:paraId="6F4D0487" w14:textId="36BB6EF2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Az Európai Parlament tanulmánya, 2016, </w:t>
      </w:r>
      <w:r w:rsidRPr="00B52874">
        <w:rPr>
          <w:i/>
          <w:sz w:val="24"/>
          <w:szCs w:val="24"/>
          <w:lang w:val="hu-HU"/>
        </w:rPr>
        <w:t xml:space="preserve"> </w:t>
      </w:r>
      <w:r w:rsidRPr="00B52874">
        <w:rPr>
          <w:sz w:val="24"/>
          <w:szCs w:val="24"/>
          <w:lang w:val="hu-HU"/>
        </w:rPr>
        <w:t xml:space="preserve"> </w:t>
      </w:r>
      <w:r w:rsidRPr="00B52874">
        <w:rPr>
          <w:i/>
          <w:sz w:val="24"/>
          <w:szCs w:val="24"/>
          <w:lang w:val="hu-HU"/>
        </w:rPr>
        <w:t>Precarious Employment in Europe (Bizonytalan foglalkoztatás Európában:): 1. kötet : Patterns, Trends and Policy Strategies</w:t>
      </w:r>
      <w:r w:rsidRPr="00B52874">
        <w:rPr>
          <w:sz w:val="24"/>
          <w:szCs w:val="24"/>
          <w:lang w:val="hu-HU"/>
        </w:rPr>
        <w:t xml:space="preserve"> (Mintázatok, tendenciák és szakpolitikai stratégiák); Eurofound, 2010, </w:t>
      </w:r>
      <w:r w:rsidRPr="00B52874">
        <w:rPr>
          <w:i/>
          <w:sz w:val="24"/>
          <w:szCs w:val="24"/>
          <w:lang w:val="hu-HU"/>
        </w:rPr>
        <w:t>Key elements of fair employment and decent work</w:t>
      </w:r>
      <w:r w:rsidRPr="00B52874">
        <w:rPr>
          <w:sz w:val="24"/>
          <w:szCs w:val="24"/>
          <w:lang w:val="hu-HU"/>
        </w:rPr>
        <w:t xml:space="preserve"> (A tisztességes foglalkoztatás és a tisztességes munka kulcsfontosságú elemei); Európai Bizottság, Közös Kutatóközpont, </w:t>
      </w:r>
      <w:r w:rsidR="003B36EE" w:rsidRPr="00EB0F34">
        <w:rPr>
          <w:szCs w:val="24"/>
          <w:lang w:val="hu-HU"/>
        </w:rPr>
        <w:t>Outsourcing, working conditions and inequality</w:t>
      </w:r>
      <w:r w:rsidRPr="00B52874">
        <w:rPr>
          <w:sz w:val="24"/>
          <w:szCs w:val="24"/>
          <w:lang w:val="hu-HU"/>
        </w:rPr>
        <w:t xml:space="preserve"> </w:t>
      </w:r>
      <w:r w:rsidRPr="00B52874">
        <w:rPr>
          <w:i/>
          <w:sz w:val="24"/>
          <w:szCs w:val="24"/>
          <w:lang w:val="hu-HU"/>
        </w:rPr>
        <w:t>(Kiszervezés, munkakörülmények és egyenlőtlenség)</w:t>
      </w:r>
      <w:r w:rsidRPr="00B52874">
        <w:rPr>
          <w:sz w:val="24"/>
          <w:szCs w:val="24"/>
          <w:lang w:val="hu-HU"/>
        </w:rPr>
        <w:t>, 2025.</w:t>
      </w:r>
    </w:p>
  </w:footnote>
  <w:footnote w:id="32">
    <w:p w14:paraId="78B395C4" w14:textId="563BFB9A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Európai Parlament és a Tanács 2002/14/EK irányelve (2002. március 11.) az Európai Közösség munkavállalóinak tájékoztatása és a velük folytatott konzultáció általános keretének létrehozásáról – Az Európai Parlament, a Tanács és a Bizottság közös nyilatkozata a munkavállalók képviseletéről (HL L 80., 2002.3.23., 29. o.</w:t>
      </w:r>
      <w:r w:rsidR="00022BC3" w:rsidRPr="00B52874">
        <w:rPr>
          <w:sz w:val="24"/>
          <w:szCs w:val="24"/>
          <w:lang w:val="hu-HU"/>
        </w:rPr>
        <w:t>,</w:t>
      </w:r>
      <w:r w:rsidRPr="00B52874">
        <w:rPr>
          <w:sz w:val="24"/>
          <w:szCs w:val="24"/>
          <w:lang w:val="hu-HU"/>
        </w:rPr>
        <w:t xml:space="preserve"> ELI: </w:t>
      </w:r>
      <w:hyperlink r:id="rId19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http://data.europa.eu/eli/dir/2002/14/oj</w:t>
        </w:r>
      </w:hyperlink>
      <w:r w:rsidRPr="00B52874">
        <w:rPr>
          <w:sz w:val="24"/>
          <w:szCs w:val="24"/>
          <w:lang w:val="hu-HU"/>
        </w:rPr>
        <w:t>).</w:t>
      </w:r>
    </w:p>
  </w:footnote>
  <w:footnote w:id="33">
    <w:p w14:paraId="1C85819B" w14:textId="4F67F2C9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Európai Parlament és a Tanács 2008/104/EK irányelve (2008. november 19.) a munkaerő-kölcsönzés keretében történő munkavégzésről (HL L 327., 2008.12.5., 9. o., ELI:  </w:t>
      </w:r>
      <w:hyperlink r:id="rId20" w:tooltip="Hozzáférést biztosít ehhez a dokumentumhoz annak ELI URI-jén keresztül." w:history="1">
        <w:r w:rsidRPr="00B52874">
          <w:rPr>
            <w:rStyle w:val="Hyperlink"/>
            <w:sz w:val="24"/>
            <w:szCs w:val="24"/>
            <w:lang w:val="hu-HU"/>
          </w:rPr>
          <w:t>http://data.europa.eu/eli/dir/2008/104/oj</w:t>
        </w:r>
      </w:hyperlink>
      <w:r w:rsidRPr="00B52874">
        <w:rPr>
          <w:sz w:val="24"/>
          <w:szCs w:val="24"/>
          <w:lang w:val="hu-HU"/>
        </w:rPr>
        <w:t>).</w:t>
      </w:r>
    </w:p>
  </w:footnote>
  <w:footnote w:id="34">
    <w:p w14:paraId="48C9E575" w14:textId="3629D947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Európai Parlament 2024.</w:t>
      </w:r>
      <w:r w:rsidR="00981747">
        <w:rPr>
          <w:sz w:val="24"/>
          <w:szCs w:val="24"/>
          <w:lang w:val="hu-HU"/>
        </w:rPr>
        <w:t xml:space="preserve"> </w:t>
      </w:r>
      <w:r w:rsidRPr="00B52874">
        <w:rPr>
          <w:sz w:val="24"/>
          <w:szCs w:val="24"/>
          <w:lang w:val="hu-HU"/>
        </w:rPr>
        <w:t>január 18-i állásfoglalása az Európai Munkaügyi Hatóság megbízatásának felülvizsgálatáról</w:t>
      </w:r>
      <w:r w:rsidR="003B36EE" w:rsidRPr="00B52874">
        <w:rPr>
          <w:sz w:val="24"/>
          <w:szCs w:val="24"/>
          <w:lang w:val="hu-HU"/>
        </w:rPr>
        <w:t>.</w:t>
      </w:r>
    </w:p>
  </w:footnote>
  <w:footnote w:id="35">
    <w:p w14:paraId="0474A4A8" w14:textId="4BB9D928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 xml:space="preserve">Az Európai Parlament és a Tanács 2006/22/EK irányelve (2006. március 15.) a közúti szállításra vonatkozó egyes szociális jogszabályokkal kapcsolatos 3820/85/EGK és a 3821/85/EGK tanácsi rendelet végrehajtásának minimumfeltételeiről és a 88/599/EGK tanácsi irányelv hatályon kívül helyezéséről (HL L 102., 2006.4.11., 35. o., ELI: </w:t>
      </w:r>
      <w:hyperlink r:id="rId21" w:history="1">
        <w:r w:rsidRPr="00B52874">
          <w:rPr>
            <w:rStyle w:val="Hyperlink"/>
            <w:sz w:val="24"/>
            <w:szCs w:val="24"/>
            <w:lang w:val="hu-HU"/>
          </w:rPr>
          <w:t>http://data.europa.eu/eli/dir/2006/22/oj</w:t>
        </w:r>
      </w:hyperlink>
      <w:r w:rsidRPr="00B52874">
        <w:rPr>
          <w:sz w:val="24"/>
          <w:szCs w:val="24"/>
          <w:lang w:val="hu-HU"/>
        </w:rPr>
        <w:t>).</w:t>
      </w:r>
    </w:p>
  </w:footnote>
  <w:footnote w:id="36">
    <w:p w14:paraId="09DD6AC5" w14:textId="31CF5D64" w:rsidR="00940072" w:rsidRPr="00B52874" w:rsidRDefault="00940072" w:rsidP="00DE293B">
      <w:pPr>
        <w:pStyle w:val="FootnoteText"/>
        <w:ind w:left="567" w:hanging="567"/>
        <w:rPr>
          <w:sz w:val="24"/>
          <w:szCs w:val="24"/>
          <w:lang w:val="hu-HU"/>
        </w:rPr>
      </w:pPr>
      <w:r w:rsidRPr="00B52874">
        <w:rPr>
          <w:rStyle w:val="FootnoteReference"/>
          <w:sz w:val="24"/>
          <w:szCs w:val="24"/>
          <w:lang w:val="hu-HU"/>
        </w:rPr>
        <w:footnoteRef/>
      </w:r>
      <w:r w:rsidR="00DE293B" w:rsidRPr="00B52874">
        <w:rPr>
          <w:sz w:val="24"/>
          <w:szCs w:val="24"/>
          <w:lang w:val="hu-HU"/>
        </w:rPr>
        <w:t xml:space="preserve"> </w:t>
      </w:r>
      <w:r w:rsidR="00DE293B" w:rsidRPr="00B52874">
        <w:rPr>
          <w:sz w:val="24"/>
          <w:szCs w:val="24"/>
          <w:lang w:val="hu-HU"/>
        </w:rPr>
        <w:tab/>
      </w:r>
      <w:r w:rsidRPr="00B52874">
        <w:rPr>
          <w:sz w:val="24"/>
          <w:szCs w:val="24"/>
          <w:lang w:val="hu-HU"/>
        </w:rPr>
        <w:t>Az Európai Parlament 2021. november 25-i állásfoglalása az európai társadalombiztosítási kártya bevezetéséről a szociális biztonság területén a digitális jogérvényesítés és a méltányos mobilitás javítása érdekében</w:t>
      </w:r>
      <w:r w:rsidR="003B36EE" w:rsidRPr="00B52874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9937E" w14:textId="77777777" w:rsidR="00064002" w:rsidRPr="00DE29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7EFDD" w14:textId="77777777" w:rsidR="00064002" w:rsidRPr="00DE29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53AC" w14:textId="77777777" w:rsidR="00064002" w:rsidRPr="00DE29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4250938">
    <w:abstractNumId w:val="9"/>
  </w:num>
  <w:num w:numId="2" w16cid:durableId="1730837227">
    <w:abstractNumId w:val="9"/>
  </w:num>
  <w:num w:numId="3" w16cid:durableId="1534804494">
    <w:abstractNumId w:val="7"/>
  </w:num>
  <w:num w:numId="4" w16cid:durableId="38946238">
    <w:abstractNumId w:val="7"/>
  </w:num>
  <w:num w:numId="5" w16cid:durableId="410855986">
    <w:abstractNumId w:val="6"/>
  </w:num>
  <w:num w:numId="6" w16cid:durableId="1112743610">
    <w:abstractNumId w:val="6"/>
  </w:num>
  <w:num w:numId="7" w16cid:durableId="824004493">
    <w:abstractNumId w:val="5"/>
  </w:num>
  <w:num w:numId="8" w16cid:durableId="121774907">
    <w:abstractNumId w:val="5"/>
  </w:num>
  <w:num w:numId="9" w16cid:durableId="989290386">
    <w:abstractNumId w:val="4"/>
  </w:num>
  <w:num w:numId="10" w16cid:durableId="1355616351">
    <w:abstractNumId w:val="4"/>
  </w:num>
  <w:num w:numId="11" w16cid:durableId="1575627042">
    <w:abstractNumId w:val="8"/>
  </w:num>
  <w:num w:numId="12" w16cid:durableId="1477527306">
    <w:abstractNumId w:val="8"/>
  </w:num>
  <w:num w:numId="13" w16cid:durableId="1043167045">
    <w:abstractNumId w:val="3"/>
  </w:num>
  <w:num w:numId="14" w16cid:durableId="2099254589">
    <w:abstractNumId w:val="3"/>
  </w:num>
  <w:num w:numId="15" w16cid:durableId="2106999731">
    <w:abstractNumId w:val="2"/>
  </w:num>
  <w:num w:numId="16" w16cid:durableId="663243155">
    <w:abstractNumId w:val="2"/>
  </w:num>
  <w:num w:numId="17" w16cid:durableId="1467115005">
    <w:abstractNumId w:val="1"/>
  </w:num>
  <w:num w:numId="18" w16cid:durableId="74328387">
    <w:abstractNumId w:val="1"/>
  </w:num>
  <w:num w:numId="19" w16cid:durableId="1001615778">
    <w:abstractNumId w:val="0"/>
  </w:num>
  <w:num w:numId="20" w16cid:durableId="1735854212">
    <w:abstractNumId w:val="0"/>
  </w:num>
  <w:num w:numId="21" w16cid:durableId="1834486077">
    <w:abstractNumId w:val="9"/>
  </w:num>
  <w:num w:numId="22" w16cid:durableId="1105658576">
    <w:abstractNumId w:val="7"/>
  </w:num>
  <w:num w:numId="23" w16cid:durableId="1972133660">
    <w:abstractNumId w:val="6"/>
  </w:num>
  <w:num w:numId="24" w16cid:durableId="992299275">
    <w:abstractNumId w:val="5"/>
  </w:num>
  <w:num w:numId="25" w16cid:durableId="1791509990">
    <w:abstractNumId w:val="4"/>
  </w:num>
  <w:num w:numId="26" w16cid:durableId="2002076633">
    <w:abstractNumId w:val="8"/>
  </w:num>
  <w:num w:numId="27" w16cid:durableId="1309744578">
    <w:abstractNumId w:val="3"/>
  </w:num>
  <w:num w:numId="28" w16cid:durableId="331954197">
    <w:abstractNumId w:val="2"/>
  </w:num>
  <w:num w:numId="29" w16cid:durableId="967472808">
    <w:abstractNumId w:val="1"/>
  </w:num>
  <w:num w:numId="30" w16cid:durableId="183792675">
    <w:abstractNumId w:val="0"/>
  </w:num>
  <w:num w:numId="31" w16cid:durableId="802574189">
    <w:abstractNumId w:val="9"/>
  </w:num>
  <w:num w:numId="32" w16cid:durableId="964195608">
    <w:abstractNumId w:val="7"/>
  </w:num>
  <w:num w:numId="33" w16cid:durableId="261963678">
    <w:abstractNumId w:val="6"/>
  </w:num>
  <w:num w:numId="34" w16cid:durableId="973683440">
    <w:abstractNumId w:val="5"/>
  </w:num>
  <w:num w:numId="35" w16cid:durableId="1686789392">
    <w:abstractNumId w:val="4"/>
  </w:num>
  <w:num w:numId="36" w16cid:durableId="648363862">
    <w:abstractNumId w:val="8"/>
  </w:num>
  <w:num w:numId="37" w16cid:durableId="1213536853">
    <w:abstractNumId w:val="3"/>
  </w:num>
  <w:num w:numId="38" w16cid:durableId="1643268395">
    <w:abstractNumId w:val="2"/>
  </w:num>
  <w:num w:numId="39" w16cid:durableId="409356296">
    <w:abstractNumId w:val="1"/>
  </w:num>
  <w:num w:numId="40" w16cid:durableId="1272977755">
    <w:abstractNumId w:val="0"/>
  </w:num>
  <w:num w:numId="41" w16cid:durableId="53741526">
    <w:abstractNumId w:val="10"/>
  </w:num>
  <w:num w:numId="42" w16cid:durableId="860103">
    <w:abstractNumId w:val="10"/>
  </w:num>
  <w:num w:numId="43" w16cid:durableId="1204908069">
    <w:abstractNumId w:val="10"/>
  </w:num>
  <w:num w:numId="44" w16cid:durableId="1338577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6/2025"/>
    <w:docVar w:name="dvlangue" w:val="HU"/>
    <w:docVar w:name="dvnumam" w:val="41"/>
    <w:docVar w:name="dvpe" w:val="775.631"/>
    <w:docVar w:name="dvrapporteur" w:val="Előadó: "/>
    <w:docVar w:name="dvtitre" w:val="Az Európai Parlament 2025.  ...-i állásfoglalása az alvállalkozói láncoknak és a közvetítők szerepének kezeléséről a munkavállalók jogainak védelme érdekében(2025/2133(INI))"/>
  </w:docVars>
  <w:rsids>
    <w:rsidRoot w:val="000F408C"/>
    <w:rsid w:val="00002272"/>
    <w:rsid w:val="00022BC3"/>
    <w:rsid w:val="00064002"/>
    <w:rsid w:val="00064E76"/>
    <w:rsid w:val="000677B9"/>
    <w:rsid w:val="000831BA"/>
    <w:rsid w:val="000A42CC"/>
    <w:rsid w:val="000E7DD9"/>
    <w:rsid w:val="000F408C"/>
    <w:rsid w:val="0010095E"/>
    <w:rsid w:val="00125B37"/>
    <w:rsid w:val="00172995"/>
    <w:rsid w:val="00187494"/>
    <w:rsid w:val="001F32AE"/>
    <w:rsid w:val="002767FF"/>
    <w:rsid w:val="002A225E"/>
    <w:rsid w:val="002B18FE"/>
    <w:rsid w:val="002B5493"/>
    <w:rsid w:val="00343214"/>
    <w:rsid w:val="00361C00"/>
    <w:rsid w:val="00395FA1"/>
    <w:rsid w:val="003B36EE"/>
    <w:rsid w:val="003E15D4"/>
    <w:rsid w:val="00411CCE"/>
    <w:rsid w:val="0041666E"/>
    <w:rsid w:val="00421060"/>
    <w:rsid w:val="0045621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46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ED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072"/>
    <w:rsid w:val="009509D8"/>
    <w:rsid w:val="00950B64"/>
    <w:rsid w:val="00981747"/>
    <w:rsid w:val="00981893"/>
    <w:rsid w:val="00A1687D"/>
    <w:rsid w:val="00A3357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874"/>
    <w:rsid w:val="00B558F0"/>
    <w:rsid w:val="00BD48FE"/>
    <w:rsid w:val="00BD7BD8"/>
    <w:rsid w:val="00BE6ADC"/>
    <w:rsid w:val="00C05BFE"/>
    <w:rsid w:val="00C23CD4"/>
    <w:rsid w:val="00C61C0C"/>
    <w:rsid w:val="00C941CB"/>
    <w:rsid w:val="00C97841"/>
    <w:rsid w:val="00CC2357"/>
    <w:rsid w:val="00CF071A"/>
    <w:rsid w:val="00D058B8"/>
    <w:rsid w:val="00D56C11"/>
    <w:rsid w:val="00D834A0"/>
    <w:rsid w:val="00D872DF"/>
    <w:rsid w:val="00D91E21"/>
    <w:rsid w:val="00DA7FCD"/>
    <w:rsid w:val="00DE293B"/>
    <w:rsid w:val="00E365E1"/>
    <w:rsid w:val="00E820A4"/>
    <w:rsid w:val="00EB006A"/>
    <w:rsid w:val="00EB0F3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C7F86"/>
  <w15:chartTrackingRefBased/>
  <w15:docId w15:val="{7AA48D72-8D5E-44ED-BA7D-DDE952D5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40072"/>
    <w:pPr>
      <w:spacing w:after="240"/>
      <w:ind w:left="567" w:hanging="567"/>
    </w:pPr>
  </w:style>
  <w:style w:type="paragraph" w:customStyle="1" w:styleId="EPComma">
    <w:name w:val="EPComma"/>
    <w:basedOn w:val="Normal"/>
    <w:rsid w:val="00940072"/>
    <w:pPr>
      <w:spacing w:before="480" w:after="240"/>
    </w:pPr>
  </w:style>
  <w:style w:type="character" w:styleId="Hyperlink">
    <w:name w:val="Hyperlink"/>
    <w:basedOn w:val="DefaultParagraphFont"/>
    <w:rsid w:val="0094007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B36EE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3B3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a.europa.eu/sites/default/files/2025-03/ELA-posting-third-country-nationals-report.pdf" TargetMode="External"/><Relationship Id="rId13" Type="http://schemas.openxmlformats.org/officeDocument/2006/relationships/hyperlink" Target="http://data.europa.eu/eli/C/2024/5741/oj" TargetMode="External"/><Relationship Id="rId18" Type="http://schemas.openxmlformats.org/officeDocument/2006/relationships/hyperlink" Target="http://data.europa.eu/eli/reg/2008/1008/oj" TargetMode="External"/><Relationship Id="rId3" Type="http://schemas.openxmlformats.org/officeDocument/2006/relationships/hyperlink" Target="http://data.europa.eu/eli/dir/2011/36/oj" TargetMode="External"/><Relationship Id="rId21" Type="http://schemas.openxmlformats.org/officeDocument/2006/relationships/hyperlink" Target="http://data.europa.eu/eli/dir/2006/22/oj" TargetMode="External"/><Relationship Id="rId7" Type="http://schemas.openxmlformats.org/officeDocument/2006/relationships/hyperlink" Target="https://data.europa.eu/doi/10.2826/844552" TargetMode="External"/><Relationship Id="rId12" Type="http://schemas.openxmlformats.org/officeDocument/2006/relationships/hyperlink" Target="http://data.europa.eu/eli/C/2025/3156/oj" TargetMode="External"/><Relationship Id="rId17" Type="http://schemas.openxmlformats.org/officeDocument/2006/relationships/hyperlink" Target="https://www.regjeringen.no/no/dokumenter/strategi-mot-arbeidslivskriminalitet-2021/id2831867/" TargetMode="External"/><Relationship Id="rId2" Type="http://schemas.openxmlformats.org/officeDocument/2006/relationships/hyperlink" Target="http://data.europa.eu/eli/dir/2014/67/oj" TargetMode="External"/><Relationship Id="rId16" Type="http://schemas.openxmlformats.org/officeDocument/2006/relationships/hyperlink" Target="https://www.bmas.de/DE/Service/Presse/Meldungen/2025/nationaler-aktionsplan-gegen-arbeitsausbeutung-und-zwangsarbeit-beschlossen.html" TargetMode="External"/><Relationship Id="rId20" Type="http://schemas.openxmlformats.org/officeDocument/2006/relationships/hyperlink" Target="http://data.europa.eu/eli/dir/2008/104/oj" TargetMode="External"/><Relationship Id="rId1" Type="http://schemas.openxmlformats.org/officeDocument/2006/relationships/hyperlink" Target="http://data.europa.eu/eli/dir/1996/71/oj" TargetMode="External"/><Relationship Id="rId6" Type="http://schemas.openxmlformats.org/officeDocument/2006/relationships/hyperlink" Target="http://data.europa.eu/eli/dir/2024/1760/oj" TargetMode="External"/><Relationship Id="rId11" Type="http://schemas.openxmlformats.org/officeDocument/2006/relationships/hyperlink" Target="http://data.europa.eu/eli/C/2025/3156/oj" TargetMode="External"/><Relationship Id="rId5" Type="http://schemas.openxmlformats.org/officeDocument/2006/relationships/hyperlink" Target="http://data.europa.eu/eli/dir/2014/24/oj" TargetMode="External"/><Relationship Id="rId15" Type="http://schemas.openxmlformats.org/officeDocument/2006/relationships/hyperlink" Target="https://julkaisut.valtioneuvosto.fi/bitstream/handle/10024/165395/TEM_2024_5.pdf" TargetMode="External"/><Relationship Id="rId10" Type="http://schemas.openxmlformats.org/officeDocument/2006/relationships/hyperlink" Target="https://www.ela.europa.eu/en/publications/construction-sector-issues-information-provision-enforcement-labour-mobility-law" TargetMode="External"/><Relationship Id="rId19" Type="http://schemas.openxmlformats.org/officeDocument/2006/relationships/hyperlink" Target="http://data.europa.eu/eli/dir/2002/14/oj" TargetMode="External"/><Relationship Id="rId4" Type="http://schemas.openxmlformats.org/officeDocument/2006/relationships/hyperlink" Target="http://data.europa.eu/eli/dir/2009/52/oj" TargetMode="External"/><Relationship Id="rId9" Type="http://schemas.openxmlformats.org/officeDocument/2006/relationships/hyperlink" Target="https://www.ela.europa.eu/sites/default/files/2023-04/ela-report-posting-third-country-nationals.pdf" TargetMode="External"/><Relationship Id="rId14" Type="http://schemas.openxmlformats.org/officeDocument/2006/relationships/hyperlink" Target="https://www.regeringen.se/contentassets/f6f461b310984b598ee4f7a2d83350d0/nationell-strategi-mot-arbetslivskriminalit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5135</Words>
  <Characters>38862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2026-03-13T11:11:00Z</dcterms:created>
  <dcterms:modified xsi:type="dcterms:W3CDTF">2026-03-13T11:11:00Z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A10-0256/2025</vt:lpwstr>
  </property>
  <property fmtid="{D5CDD505-2E9C-101B-9397-08002B2CF9AE}" pid="4" name="&lt;Type&gt;">
    <vt:lpwstr>RR</vt:lpwstr>
  </property>
</Properties>
</file>