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91D96" w14:paraId="5678667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14503A8" w14:textId="77777777" w:rsidR="00751A4A" w:rsidRPr="00291D96" w:rsidRDefault="00C85FA9" w:rsidP="0010095E">
            <w:pPr>
              <w:pStyle w:val="EPName"/>
            </w:pPr>
            <w:r w:rsidRPr="00291D96">
              <w:t>Parlament Ewropew</w:t>
            </w:r>
          </w:p>
          <w:p w14:paraId="1FA9EC32" w14:textId="77777777" w:rsidR="00751A4A" w:rsidRPr="00291D9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91D96">
              <w:t>2024</w:t>
            </w:r>
            <w:r w:rsidR="00817416" w:rsidRPr="00291D96">
              <w:t>-202</w:t>
            </w:r>
            <w:r w:rsidRPr="00291D96">
              <w:t>9</w:t>
            </w:r>
          </w:p>
        </w:tc>
        <w:tc>
          <w:tcPr>
            <w:tcW w:w="2268" w:type="dxa"/>
            <w:shd w:val="clear" w:color="auto" w:fill="auto"/>
          </w:tcPr>
          <w:p w14:paraId="54D6FB6D" w14:textId="77777777" w:rsidR="00751A4A" w:rsidRPr="00291D96" w:rsidRDefault="00187494" w:rsidP="0010095E">
            <w:pPr>
              <w:pStyle w:val="EPLogo"/>
            </w:pPr>
            <w:r w:rsidRPr="00291D96">
              <w:rPr>
                <w:noProof/>
                <w:lang w:eastAsia="ja-JP"/>
              </w:rPr>
              <w:drawing>
                <wp:inline distT="0" distB="0" distL="0" distR="0" wp14:anchorId="032A3AC4" wp14:editId="061D26A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FF5285" w14:textId="77777777" w:rsidR="00D058B8" w:rsidRPr="00291D96" w:rsidRDefault="00D058B8" w:rsidP="004C5D52">
      <w:pPr>
        <w:pStyle w:val="LineTop"/>
      </w:pPr>
    </w:p>
    <w:p w14:paraId="550DA51C" w14:textId="77777777" w:rsidR="00680577" w:rsidRPr="00291D96" w:rsidRDefault="00C85FA9" w:rsidP="00680577">
      <w:pPr>
        <w:pStyle w:val="EPBodyTA1"/>
      </w:pPr>
      <w:r w:rsidRPr="00291D96">
        <w:t>TESTI ADOTTATI</w:t>
      </w:r>
    </w:p>
    <w:p w14:paraId="0784197D" w14:textId="77777777" w:rsidR="00D058B8" w:rsidRPr="00291D96" w:rsidRDefault="00D058B8" w:rsidP="00D058B8">
      <w:pPr>
        <w:pStyle w:val="LineBottom"/>
      </w:pPr>
    </w:p>
    <w:p w14:paraId="71D27C9D" w14:textId="3EDB1714" w:rsidR="00C85FA9" w:rsidRPr="00291D96" w:rsidRDefault="00C85FA9" w:rsidP="00C85FA9">
      <w:pPr>
        <w:pStyle w:val="ATHeading1"/>
      </w:pPr>
      <w:bookmarkStart w:id="0" w:name="TANumber"/>
      <w:r w:rsidRPr="00291D96">
        <w:t>P10_TA(2026)00</w:t>
      </w:r>
      <w:r w:rsidR="001E5744">
        <w:t>50</w:t>
      </w:r>
      <w:bookmarkEnd w:id="0"/>
    </w:p>
    <w:p w14:paraId="330399AF" w14:textId="77777777" w:rsidR="00C85FA9" w:rsidRPr="00291D96" w:rsidRDefault="00C85FA9" w:rsidP="00C85FA9">
      <w:pPr>
        <w:pStyle w:val="ATHeading2"/>
      </w:pPr>
      <w:bookmarkStart w:id="1" w:name="title"/>
      <w:r w:rsidRPr="00291D96">
        <w:t>L-indirizzar tal-ktajjen tas-sottokuntrattar u r-rwol tal-intermedjarji sabiex jiġu protetti d-drittijiet tal-ħaddiema</w:t>
      </w:r>
      <w:bookmarkEnd w:id="1"/>
    </w:p>
    <w:p w14:paraId="2C2B91C9" w14:textId="77777777" w:rsidR="00C85FA9" w:rsidRPr="00291D96" w:rsidRDefault="00C85FA9" w:rsidP="00C85FA9">
      <w:pPr>
        <w:rPr>
          <w:i/>
          <w:vanish/>
        </w:rPr>
      </w:pPr>
      <w:r w:rsidRPr="00291D96">
        <w:rPr>
          <w:i/>
        </w:rPr>
        <w:fldChar w:fldCharType="begin"/>
      </w:r>
      <w:r w:rsidRPr="00291D96">
        <w:rPr>
          <w:i/>
        </w:rPr>
        <w:instrText xml:space="preserve"> TC"(</w:instrText>
      </w:r>
      <w:bookmarkStart w:id="2" w:name="DocNumber"/>
      <w:r w:rsidRPr="00291D96">
        <w:rPr>
          <w:i/>
        </w:rPr>
        <w:instrText>A10-0256/2025</w:instrText>
      </w:r>
      <w:bookmarkEnd w:id="2"/>
      <w:r w:rsidRPr="00291D96">
        <w:rPr>
          <w:i/>
        </w:rPr>
        <w:instrText xml:space="preserve"> - Rapporteur: Johan Danielsson)"\l3 \n&gt; \* MERGEFORMAT </w:instrText>
      </w:r>
      <w:r w:rsidRPr="00291D96">
        <w:rPr>
          <w:i/>
        </w:rPr>
        <w:fldChar w:fldCharType="end"/>
      </w:r>
    </w:p>
    <w:p w14:paraId="1E84A33D" w14:textId="77777777" w:rsidR="00C85FA9" w:rsidRPr="00291D96" w:rsidRDefault="00C85FA9" w:rsidP="00C85FA9">
      <w:pPr>
        <w:rPr>
          <w:vanish/>
        </w:rPr>
      </w:pPr>
      <w:bookmarkStart w:id="3" w:name="Commission"/>
      <w:r w:rsidRPr="00291D96">
        <w:rPr>
          <w:vanish/>
        </w:rPr>
        <w:t>Kumitat għall-Impjiegi u l-Affarijiet Soċjali</w:t>
      </w:r>
      <w:bookmarkEnd w:id="3"/>
    </w:p>
    <w:p w14:paraId="61771F1E" w14:textId="77777777" w:rsidR="00C85FA9" w:rsidRPr="00291D96" w:rsidRDefault="00C85FA9" w:rsidP="00C85FA9">
      <w:pPr>
        <w:rPr>
          <w:vanish/>
        </w:rPr>
      </w:pPr>
      <w:bookmarkStart w:id="4" w:name="PE"/>
      <w:r w:rsidRPr="00291D96">
        <w:rPr>
          <w:vanish/>
        </w:rPr>
        <w:t>PE775.631</w:t>
      </w:r>
      <w:bookmarkEnd w:id="4"/>
    </w:p>
    <w:p w14:paraId="31F1B870" w14:textId="2EDB7F9D" w:rsidR="00C85FA9" w:rsidRPr="00291D96" w:rsidRDefault="00C85FA9" w:rsidP="00C85FA9">
      <w:pPr>
        <w:pStyle w:val="ATHeading3"/>
      </w:pPr>
      <w:bookmarkStart w:id="5" w:name="Sujet"/>
      <w:r w:rsidRPr="00291D96">
        <w:t xml:space="preserve">Riżoluzzjoni tal-Parlament Ewropew </w:t>
      </w:r>
      <w:r w:rsidR="00645373">
        <w:t>tat-12 ta’ Frar</w:t>
      </w:r>
      <w:r w:rsidRPr="00291D96">
        <w:t xml:space="preserve"> 2026 dwar l-indirizzar tal-ktajjen tas-sottokuntrattar u r-rwol tal-intermedjarji sabiex jiġu protetti d-drittijiet tal-ħaddiema</w:t>
      </w:r>
      <w:bookmarkEnd w:id="5"/>
      <w:r w:rsidRPr="00291D96">
        <w:t xml:space="preserve"> </w:t>
      </w:r>
      <w:bookmarkStart w:id="6" w:name="References"/>
      <w:r w:rsidRPr="00291D96">
        <w:t>(2025/2133(INI))</w:t>
      </w:r>
      <w:bookmarkEnd w:id="6"/>
    </w:p>
    <w:p w14:paraId="1D9AE745" w14:textId="77777777" w:rsidR="001A17F0" w:rsidRPr="00291D96" w:rsidRDefault="001A17F0" w:rsidP="001A17F0">
      <w:pPr>
        <w:pStyle w:val="EPComma"/>
      </w:pPr>
      <w:r w:rsidRPr="00291D96">
        <w:rPr>
          <w:i/>
          <w:iCs/>
        </w:rPr>
        <w:t>Il-Parlament Ewropew,</w:t>
      </w:r>
    </w:p>
    <w:p w14:paraId="5AA6F517" w14:textId="77777777" w:rsidR="001A17F0" w:rsidRPr="00291D96" w:rsidRDefault="001A17F0" w:rsidP="001A17F0">
      <w:pPr>
        <w:pStyle w:val="NormalHanging12a"/>
      </w:pPr>
      <w:r w:rsidRPr="00291D96">
        <w:t>–</w:t>
      </w:r>
      <w:r w:rsidRPr="00291D96">
        <w:tab/>
        <w:t>wara li kkunsidra l-Artikoli 16 u 31 tal-Karta tad-Drittijiet Fundamentali tal-Unjoni Ewropea,</w:t>
      </w:r>
    </w:p>
    <w:p w14:paraId="521567F1" w14:textId="77777777" w:rsidR="001A17F0" w:rsidRPr="00291D96" w:rsidRDefault="001A17F0" w:rsidP="001A17F0">
      <w:pPr>
        <w:pStyle w:val="NormalHanging12a"/>
      </w:pPr>
      <w:r w:rsidRPr="00291D96">
        <w:t>–</w:t>
      </w:r>
      <w:r w:rsidRPr="00291D96">
        <w:tab/>
        <w:t>wara li kkunsidra l-Pilastru Ewropew tad-Drittijiet Soċjali,</w:t>
      </w:r>
    </w:p>
    <w:p w14:paraId="1A417AAB" w14:textId="77777777" w:rsidR="001A17F0" w:rsidRPr="00291D96" w:rsidRDefault="001A17F0" w:rsidP="001A17F0">
      <w:pPr>
        <w:pStyle w:val="NormalHanging12a"/>
      </w:pPr>
      <w:r w:rsidRPr="00291D96">
        <w:t>–</w:t>
      </w:r>
      <w:r w:rsidRPr="00291D96">
        <w:tab/>
        <w:t>wara li kkunsidra d-Direttiva 96/71/KE tal-Parlament Ewropew u tal-Kunsill tas-16 ta’ Diċembru 1996 dwar l-impjieg ta’ ħaddiema fil-qafas ta’ prestazzjoni ta’ servizzi</w:t>
      </w:r>
      <w:r w:rsidRPr="00291D96">
        <w:rPr>
          <w:rStyle w:val="FootnoteReference"/>
        </w:rPr>
        <w:footnoteReference w:id="1"/>
      </w:r>
      <w:r w:rsidRPr="00291D96">
        <w:t>, kif emendata bid-Direttiva (UE) 2018/957,</w:t>
      </w:r>
    </w:p>
    <w:p w14:paraId="5D0BBE19" w14:textId="77777777" w:rsidR="001A17F0" w:rsidRPr="00291D96" w:rsidRDefault="001A17F0" w:rsidP="001A17F0">
      <w:pPr>
        <w:pStyle w:val="NormalHanging12a"/>
      </w:pPr>
      <w:r w:rsidRPr="00291D96">
        <w:t>–</w:t>
      </w:r>
      <w:r w:rsidRPr="00291D96">
        <w:tab/>
        <w:t>wara li kkunsidra d-Direttiva 2014/67/UE tal-Parlament Ewropew u tal-Kunsill tal-15 ta’ Mejju 2014 dwar l-infurzar tad-Direttiva 96/71/KE dwar l-istazzjonament ta’ ħaddiema fil-qafas tal-prestazzjoni ta’ servizzi u li temenda r-Regolament (UE) Nru 1024/2012 dwar il-kooperazzjoni amministrattiva permezz tas-Sistema ta’ Informazzjoni tas-Suq Intern (“ir-Regolament tal-IMI”)</w:t>
      </w:r>
      <w:r w:rsidRPr="00291D96">
        <w:rPr>
          <w:rStyle w:val="FootnoteReference"/>
        </w:rPr>
        <w:footnoteReference w:id="2"/>
      </w:r>
      <w:r w:rsidRPr="00291D96">
        <w:t>,</w:t>
      </w:r>
    </w:p>
    <w:p w14:paraId="2688A5F7" w14:textId="77777777" w:rsidR="001A17F0" w:rsidRPr="00291D96" w:rsidRDefault="001A17F0" w:rsidP="001A17F0">
      <w:pPr>
        <w:pStyle w:val="NormalHanging12a"/>
      </w:pPr>
      <w:r w:rsidRPr="00291D96">
        <w:t>–</w:t>
      </w:r>
      <w:r w:rsidRPr="00291D96">
        <w:tab/>
        <w:t>wara li kkunsidra d-Direttiva 2011/36/UE tal-Parlament Ewropew u tal-Kunsill tal-5 ta’ April 2011 dwar il-prevenzjoni u l-ġlieda kontra t-traffikar tal-bnedmin u l-protezzjoni tal-vittmi tiegħu, u li tissostitwixxi d-Deċiżjoni Qafas tal-Kunsill 2002/629/ĠAI, kif emendata bid-Direttiva (UE) 2024/1712</w:t>
      </w:r>
      <w:r w:rsidRPr="00291D96">
        <w:rPr>
          <w:rStyle w:val="FootnoteReference"/>
        </w:rPr>
        <w:footnoteReference w:id="3"/>
      </w:r>
      <w:r w:rsidRPr="00291D96">
        <w:t>,</w:t>
      </w:r>
    </w:p>
    <w:p w14:paraId="6353C93F" w14:textId="77777777" w:rsidR="001A17F0" w:rsidRPr="00291D96" w:rsidRDefault="001A17F0" w:rsidP="001A17F0">
      <w:pPr>
        <w:pStyle w:val="NormalHanging12a"/>
      </w:pPr>
      <w:r w:rsidRPr="00291D96">
        <w:t>–</w:t>
      </w:r>
      <w:r w:rsidRPr="00291D96">
        <w:tab/>
        <w:t xml:space="preserve">wara li kkunsidra d-Direttiva 2009/52/KE tal-Parlament Ewropew u tal-Kunsill tat-18 ta’ Ġunju 2009 li tipprevedi standards minimi għal sanzjonijiet u miżuri kontra min </w:t>
      </w:r>
      <w:r w:rsidRPr="00291D96">
        <w:lastRenderedPageBreak/>
        <w:t>iħaddem lil ċittadini minn pajjiżi terzi b’residenza illegali</w:t>
      </w:r>
      <w:r w:rsidRPr="00291D96">
        <w:rPr>
          <w:rStyle w:val="FootnoteReference"/>
        </w:rPr>
        <w:footnoteReference w:id="4"/>
      </w:r>
      <w:r w:rsidRPr="00291D96">
        <w:t xml:space="preserve"> (id-Direttiva dwar sanzjonijiet kontra min iħaddem),</w:t>
      </w:r>
    </w:p>
    <w:p w14:paraId="205C71E5" w14:textId="77777777" w:rsidR="001A17F0" w:rsidRPr="00291D96" w:rsidRDefault="001A17F0" w:rsidP="001A17F0">
      <w:pPr>
        <w:pStyle w:val="NormalHanging12a"/>
      </w:pPr>
      <w:r w:rsidRPr="00291D96">
        <w:t>–</w:t>
      </w:r>
      <w:r w:rsidRPr="00291D96">
        <w:tab/>
        <w:t>wara li kkunsidra d-Direttiva 2014/24/UE tal-Parlament Ewropew u tal-Kunsill tas-26 ta’ Frar 2014 dwar l-akkwist pubbliku u li tħassar id-Direttiva 2004/18/KE</w:t>
      </w:r>
      <w:r w:rsidRPr="00291D96">
        <w:rPr>
          <w:rStyle w:val="FootnoteReference"/>
        </w:rPr>
        <w:footnoteReference w:id="5"/>
      </w:r>
      <w:r w:rsidRPr="00291D96">
        <w:t>,</w:t>
      </w:r>
    </w:p>
    <w:p w14:paraId="158A2946" w14:textId="77777777" w:rsidR="001A17F0" w:rsidRPr="00291D96" w:rsidRDefault="001A17F0" w:rsidP="001A17F0">
      <w:pPr>
        <w:pStyle w:val="NormalHanging12a"/>
      </w:pPr>
      <w:r w:rsidRPr="00291D96">
        <w:t>–</w:t>
      </w:r>
      <w:r w:rsidRPr="00291D96">
        <w:tab/>
        <w:t>wara li kkunsidra d-Direttiva (UE) 2024/1760 tal-Parlament Ewropew u tal-Kunsill tat-13 ta’ Ġunju 2024 dwar id-diliġenza dovuta tas-sostenibbiltà korporattiva u li temenda d-Direttiva (UE) 2019/1937 u r-Regolament (UE) 2023/2859</w:t>
      </w:r>
      <w:r w:rsidRPr="00291D96">
        <w:rPr>
          <w:rStyle w:val="FootnoteReference"/>
        </w:rPr>
        <w:footnoteReference w:id="6"/>
      </w:r>
      <w:r w:rsidRPr="00291D96">
        <w:t>,</w:t>
      </w:r>
    </w:p>
    <w:p w14:paraId="705E160D" w14:textId="128B92D4" w:rsidR="001A17F0" w:rsidRPr="00291D96" w:rsidRDefault="001A17F0" w:rsidP="001A17F0">
      <w:pPr>
        <w:pStyle w:val="NormalHanging12a"/>
      </w:pPr>
      <w:r w:rsidRPr="00291D96">
        <w:t>–</w:t>
      </w:r>
      <w:r w:rsidRPr="00291D96">
        <w:tab/>
        <w:t>wara li kkunsidra r-rapport tal-Kummissjoni tat-30 ta’ April 2024 dwar l-applikazzjoni u l-implimentazzjoni tad-Direttiva (UE) 2018/957 tal-Parlament Ewropew u tal-Kunsill tat-28 ta’ Ġunju 2018 li temenda d-Direttiva 96/71/KE dwar l-istazzjonar ta’ ħaddiema fil-qafas ta’ prestazzjoni ta’ servizzi (</w:t>
      </w:r>
      <w:r w:rsidRPr="007C43E8">
        <w:t>COM(2024)0320</w:t>
      </w:r>
      <w:r w:rsidRPr="00291D96">
        <w:t>),</w:t>
      </w:r>
    </w:p>
    <w:p w14:paraId="6480F6B1" w14:textId="1BDBB46E" w:rsidR="001A17F0" w:rsidRPr="00291D96" w:rsidRDefault="001A17F0" w:rsidP="001A17F0">
      <w:pPr>
        <w:pStyle w:val="NormalHanging12a"/>
      </w:pPr>
      <w:r w:rsidRPr="00291D96">
        <w:t>–</w:t>
      </w:r>
      <w:r w:rsidRPr="00291D96">
        <w:tab/>
        <w:t>wara li kkunsidra r-rapport tal-Kummissjoni tas-26 ta’ Mejju 2025 bit-titolu “Evalwazzjoni tal-Awtorità Ewropea tax-Xogħol (ELA)” (</w:t>
      </w:r>
      <w:r w:rsidRPr="007C43E8">
        <w:t>COM(2025)0256</w:t>
      </w:r>
      <w:r w:rsidRPr="00291D96">
        <w:t>),</w:t>
      </w:r>
    </w:p>
    <w:p w14:paraId="4284DBD0" w14:textId="2D9F4D1D" w:rsidR="001A17F0" w:rsidRPr="00291D96" w:rsidRDefault="001A17F0" w:rsidP="001A17F0">
      <w:pPr>
        <w:pStyle w:val="NormalHanging12a"/>
      </w:pPr>
      <w:r w:rsidRPr="00291D96">
        <w:t>–</w:t>
      </w:r>
      <w:r w:rsidRPr="00291D96">
        <w:tab/>
        <w:t>wara li kkunsidra l-komunikazzjoni tal-Kummissjoni tat-3 ta’ Diċembru 2020 bit-titolu “Qafas strateġiku tal-UE dwar is-saħħa u s-sikurezza fuq il-post tax-xogħol 2021-2027 Is-sikurezza u s-saħħa okkupazzjonali għal dinja tax-xogħol li qed tinbidel” (</w:t>
      </w:r>
      <w:r w:rsidRPr="007C43E8">
        <w:t>COM(2021)0323</w:t>
      </w:r>
      <w:r w:rsidRPr="00291D96">
        <w:t>), inkluż l-approċċ Viżjoni Żero għall-imwiet relatati max-xogħol fl-UE,</w:t>
      </w:r>
    </w:p>
    <w:p w14:paraId="7DF18989" w14:textId="77777777" w:rsidR="001A17F0" w:rsidRPr="00291D96" w:rsidRDefault="001A17F0" w:rsidP="001A17F0">
      <w:pPr>
        <w:pStyle w:val="NormalHanging12a"/>
      </w:pPr>
      <w:r w:rsidRPr="00291D96">
        <w:t>–</w:t>
      </w:r>
      <w:r w:rsidRPr="00291D96">
        <w:tab/>
        <w:t>wara li kkunsidra l-pubblikazzjoni tal-Kummissjoni ta’ Mejju 2020 bit-titolu “</w:t>
      </w:r>
      <w:proofErr w:type="spellStart"/>
      <w:r w:rsidRPr="00291D96">
        <w:t>Making</w:t>
      </w:r>
      <w:proofErr w:type="spellEnd"/>
      <w:r w:rsidRPr="00291D96">
        <w:t xml:space="preserve"> </w:t>
      </w:r>
      <w:proofErr w:type="spellStart"/>
      <w:r w:rsidRPr="00291D96">
        <w:t>socially</w:t>
      </w:r>
      <w:proofErr w:type="spellEnd"/>
      <w:r w:rsidRPr="00291D96">
        <w:t xml:space="preserve"> </w:t>
      </w:r>
      <w:proofErr w:type="spellStart"/>
      <w:r w:rsidRPr="00291D96">
        <w:t>responsible</w:t>
      </w:r>
      <w:proofErr w:type="spellEnd"/>
      <w:r w:rsidRPr="00291D96">
        <w:t xml:space="preserve"> </w:t>
      </w:r>
      <w:proofErr w:type="spellStart"/>
      <w:r w:rsidRPr="00291D96">
        <w:t>public</w:t>
      </w:r>
      <w:proofErr w:type="spellEnd"/>
      <w:r w:rsidRPr="00291D96">
        <w:t xml:space="preserve"> </w:t>
      </w:r>
      <w:proofErr w:type="spellStart"/>
      <w:r w:rsidRPr="00291D96">
        <w:t>procurement</w:t>
      </w:r>
      <w:proofErr w:type="spellEnd"/>
      <w:r w:rsidRPr="00291D96">
        <w:t xml:space="preserve"> </w:t>
      </w:r>
      <w:proofErr w:type="spellStart"/>
      <w:r w:rsidRPr="00291D96">
        <w:t>work</w:t>
      </w:r>
      <w:proofErr w:type="spellEnd"/>
      <w:r w:rsidRPr="00291D96">
        <w:t xml:space="preserve">: 71 </w:t>
      </w:r>
      <w:proofErr w:type="spellStart"/>
      <w:r w:rsidRPr="00291D96">
        <w:t>good</w:t>
      </w:r>
      <w:proofErr w:type="spellEnd"/>
      <w:r w:rsidRPr="00291D96">
        <w:t xml:space="preserve"> </w:t>
      </w:r>
      <w:proofErr w:type="spellStart"/>
      <w:r w:rsidRPr="00291D96">
        <w:t>practice</w:t>
      </w:r>
      <w:proofErr w:type="spellEnd"/>
      <w:r w:rsidRPr="00291D96">
        <w:t xml:space="preserve"> </w:t>
      </w:r>
      <w:proofErr w:type="spellStart"/>
      <w:r w:rsidRPr="00291D96">
        <w:t>cases</w:t>
      </w:r>
      <w:proofErr w:type="spellEnd"/>
      <w:r w:rsidRPr="00291D96">
        <w:t>” (Nagħmlu l-akkwist pubbliku soċjalment responsabbli – 71 każ ta’ prattiki tajba)</w:t>
      </w:r>
      <w:r w:rsidRPr="00291D96">
        <w:rPr>
          <w:rStyle w:val="FootnoteReference"/>
        </w:rPr>
        <w:footnoteReference w:id="7"/>
      </w:r>
      <w:r w:rsidRPr="00291D96">
        <w:t>,</w:t>
      </w:r>
    </w:p>
    <w:p w14:paraId="363637D8" w14:textId="77777777" w:rsidR="001A17F0" w:rsidRPr="00291D96" w:rsidRDefault="001A17F0" w:rsidP="001A17F0">
      <w:pPr>
        <w:pStyle w:val="NormalHanging12a"/>
      </w:pPr>
      <w:r w:rsidRPr="00291D96">
        <w:t>–</w:t>
      </w:r>
      <w:r w:rsidRPr="00291D96">
        <w:tab/>
        <w:t>wara li kkunsidra r-rapport tal-2025 tal-ELA bit-titolu “</w:t>
      </w:r>
      <w:proofErr w:type="spellStart"/>
      <w:r w:rsidRPr="00291D96">
        <w:t>Posting</w:t>
      </w:r>
      <w:proofErr w:type="spellEnd"/>
      <w:r w:rsidRPr="00291D96">
        <w:t xml:space="preserve"> of </w:t>
      </w:r>
      <w:proofErr w:type="spellStart"/>
      <w:r w:rsidRPr="00291D96">
        <w:t>third‑country</w:t>
      </w:r>
      <w:proofErr w:type="spellEnd"/>
      <w:r w:rsidRPr="00291D96">
        <w:t xml:space="preserve"> </w:t>
      </w:r>
      <w:proofErr w:type="spellStart"/>
      <w:r w:rsidRPr="00291D96">
        <w:t>nationals</w:t>
      </w:r>
      <w:proofErr w:type="spellEnd"/>
      <w:r w:rsidRPr="00291D96">
        <w:t xml:space="preserve">: </w:t>
      </w:r>
      <w:proofErr w:type="spellStart"/>
      <w:r w:rsidRPr="00291D96">
        <w:t>contracting</w:t>
      </w:r>
      <w:proofErr w:type="spellEnd"/>
      <w:r w:rsidRPr="00291D96">
        <w:t xml:space="preserve"> </w:t>
      </w:r>
      <w:proofErr w:type="spellStart"/>
      <w:r w:rsidRPr="00291D96">
        <w:t>chains</w:t>
      </w:r>
      <w:proofErr w:type="spellEnd"/>
      <w:r w:rsidRPr="00291D96">
        <w:t xml:space="preserve">, </w:t>
      </w:r>
      <w:proofErr w:type="spellStart"/>
      <w:r w:rsidRPr="00291D96">
        <w:t>recruitment</w:t>
      </w:r>
      <w:proofErr w:type="spellEnd"/>
      <w:r w:rsidRPr="00291D96">
        <w:t xml:space="preserve"> </w:t>
      </w:r>
      <w:proofErr w:type="spellStart"/>
      <w:r w:rsidRPr="00291D96">
        <w:t>patterns</w:t>
      </w:r>
      <w:proofErr w:type="spellEnd"/>
      <w:r w:rsidRPr="00291D96">
        <w:t xml:space="preserve">, </w:t>
      </w:r>
      <w:proofErr w:type="spellStart"/>
      <w:r w:rsidRPr="00291D96">
        <w:t>and</w:t>
      </w:r>
      <w:proofErr w:type="spellEnd"/>
      <w:r w:rsidRPr="00291D96">
        <w:t xml:space="preserve"> </w:t>
      </w:r>
      <w:proofErr w:type="spellStart"/>
      <w:r w:rsidRPr="00291D96">
        <w:t>enforcement</w:t>
      </w:r>
      <w:proofErr w:type="spellEnd"/>
      <w:r w:rsidRPr="00291D96">
        <w:t xml:space="preserve"> </w:t>
      </w:r>
      <w:proofErr w:type="spellStart"/>
      <w:r w:rsidRPr="00291D96">
        <w:t>issues</w:t>
      </w:r>
      <w:proofErr w:type="spellEnd"/>
      <w:r w:rsidRPr="00291D96">
        <w:t>” (Stazzjonar ta’ nazzjonali ta’ pajjiżi terzi: Katini ta’ kuntrattar, xejriet ta’ reklutaġġ, u kwistjonijiet ta’ infurzar)</w:t>
      </w:r>
      <w:r w:rsidRPr="00291D96">
        <w:rPr>
          <w:rStyle w:val="FootnoteReference"/>
        </w:rPr>
        <w:footnoteReference w:id="8"/>
      </w:r>
      <w:r w:rsidRPr="00291D96">
        <w:t>,</w:t>
      </w:r>
    </w:p>
    <w:p w14:paraId="590922AC" w14:textId="77777777" w:rsidR="001A17F0" w:rsidRPr="00291D96" w:rsidRDefault="001A17F0" w:rsidP="001A17F0">
      <w:pPr>
        <w:pStyle w:val="NormalHanging12a"/>
      </w:pPr>
      <w:r w:rsidRPr="00291D96">
        <w:t>–</w:t>
      </w:r>
      <w:r w:rsidRPr="00291D96">
        <w:tab/>
        <w:t>wara li kkunsidra r-rapport tal-ELA ta’ Frar 2023 bit-titolu “</w:t>
      </w:r>
      <w:proofErr w:type="spellStart"/>
      <w:r w:rsidRPr="00291D96">
        <w:t>Cooperation</w:t>
      </w:r>
      <w:proofErr w:type="spellEnd"/>
      <w:r w:rsidRPr="00291D96">
        <w:t xml:space="preserve"> </w:t>
      </w:r>
      <w:proofErr w:type="spellStart"/>
      <w:r w:rsidRPr="00291D96">
        <w:t>practices</w:t>
      </w:r>
      <w:proofErr w:type="spellEnd"/>
      <w:r w:rsidRPr="00291D96">
        <w:t xml:space="preserve">, </w:t>
      </w:r>
      <w:proofErr w:type="spellStart"/>
      <w:r w:rsidRPr="00291D96">
        <w:t>possibilities</w:t>
      </w:r>
      <w:proofErr w:type="spellEnd"/>
      <w:r w:rsidRPr="00291D96">
        <w:t xml:space="preserve"> </w:t>
      </w:r>
      <w:proofErr w:type="spellStart"/>
      <w:r w:rsidRPr="00291D96">
        <w:t>and</w:t>
      </w:r>
      <w:proofErr w:type="spellEnd"/>
      <w:r w:rsidRPr="00291D96">
        <w:t xml:space="preserve"> </w:t>
      </w:r>
      <w:proofErr w:type="spellStart"/>
      <w:r w:rsidRPr="00291D96">
        <w:t>challenges</w:t>
      </w:r>
      <w:proofErr w:type="spellEnd"/>
      <w:r w:rsidRPr="00291D96">
        <w:t xml:space="preserve"> </w:t>
      </w:r>
      <w:proofErr w:type="spellStart"/>
      <w:r w:rsidRPr="00291D96">
        <w:t>between</w:t>
      </w:r>
      <w:proofErr w:type="spellEnd"/>
      <w:r w:rsidRPr="00291D96">
        <w:t xml:space="preserve"> </w:t>
      </w:r>
      <w:proofErr w:type="spellStart"/>
      <w:r w:rsidRPr="00291D96">
        <w:t>Member</w:t>
      </w:r>
      <w:proofErr w:type="spellEnd"/>
      <w:r w:rsidRPr="00291D96">
        <w:t xml:space="preserve"> </w:t>
      </w:r>
      <w:proofErr w:type="spellStart"/>
      <w:r w:rsidRPr="00291D96">
        <w:t>States</w:t>
      </w:r>
      <w:proofErr w:type="spellEnd"/>
      <w:r w:rsidRPr="00291D96">
        <w:t xml:space="preserve"> – </w:t>
      </w:r>
      <w:proofErr w:type="spellStart"/>
      <w:r w:rsidRPr="00291D96">
        <w:t>specifically</w:t>
      </w:r>
      <w:proofErr w:type="spellEnd"/>
      <w:r w:rsidRPr="00291D96">
        <w:t xml:space="preserve"> in </w:t>
      </w:r>
      <w:proofErr w:type="spellStart"/>
      <w:r w:rsidRPr="00291D96">
        <w:t>relation</w:t>
      </w:r>
      <w:proofErr w:type="spellEnd"/>
      <w:r w:rsidRPr="00291D96">
        <w:t xml:space="preserve"> </w:t>
      </w:r>
      <w:proofErr w:type="spellStart"/>
      <w:r w:rsidRPr="00291D96">
        <w:t>to</w:t>
      </w:r>
      <w:proofErr w:type="spellEnd"/>
      <w:r w:rsidRPr="00291D96">
        <w:t xml:space="preserve"> </w:t>
      </w:r>
      <w:proofErr w:type="spellStart"/>
      <w:r w:rsidRPr="00291D96">
        <w:t>the</w:t>
      </w:r>
      <w:proofErr w:type="spellEnd"/>
      <w:r w:rsidRPr="00291D96">
        <w:t xml:space="preserve"> </w:t>
      </w:r>
      <w:proofErr w:type="spellStart"/>
      <w:r w:rsidRPr="00291D96">
        <w:t>posting</w:t>
      </w:r>
      <w:proofErr w:type="spellEnd"/>
      <w:r w:rsidRPr="00291D96">
        <w:t xml:space="preserve"> of </w:t>
      </w:r>
      <w:proofErr w:type="spellStart"/>
      <w:r w:rsidRPr="00291D96">
        <w:t>third‑country</w:t>
      </w:r>
      <w:proofErr w:type="spellEnd"/>
      <w:r w:rsidRPr="00291D96">
        <w:t xml:space="preserve"> </w:t>
      </w:r>
      <w:proofErr w:type="spellStart"/>
      <w:r w:rsidRPr="00291D96">
        <w:t>nationals</w:t>
      </w:r>
      <w:proofErr w:type="spellEnd"/>
      <w:r w:rsidRPr="00291D96">
        <w:t>” (Il-prattiki ta’ kooperazzjoni, il-possibbiltajiet u l-isfidi bejn l-Istati Membri – speċifikament b’rabta mal-istazzjonar ta’ nazzjonali ta’ pajjiżi terzi)</w:t>
      </w:r>
      <w:r w:rsidRPr="00291D96">
        <w:rPr>
          <w:rStyle w:val="FootnoteReference"/>
        </w:rPr>
        <w:footnoteReference w:id="9"/>
      </w:r>
      <w:r w:rsidRPr="00291D96">
        <w:t>,</w:t>
      </w:r>
    </w:p>
    <w:p w14:paraId="4E840C15" w14:textId="77777777" w:rsidR="001A17F0" w:rsidRPr="00291D96" w:rsidRDefault="001A17F0" w:rsidP="001A17F0">
      <w:pPr>
        <w:pStyle w:val="NormalHanging12a"/>
      </w:pPr>
      <w:r w:rsidRPr="00291D96">
        <w:t>–</w:t>
      </w:r>
      <w:r w:rsidRPr="00291D96">
        <w:tab/>
        <w:t>wara li kkunsidra r-rapport tal-ELA tal-20 ta’ Settembru 2023 bit-titolu “</w:t>
      </w:r>
      <w:proofErr w:type="spellStart"/>
      <w:r w:rsidRPr="00291D96">
        <w:t>Construction</w:t>
      </w:r>
      <w:proofErr w:type="spellEnd"/>
      <w:r w:rsidRPr="00291D96">
        <w:t xml:space="preserve"> </w:t>
      </w:r>
      <w:proofErr w:type="spellStart"/>
      <w:r w:rsidRPr="00291D96">
        <w:t>sector</w:t>
      </w:r>
      <w:proofErr w:type="spellEnd"/>
      <w:r w:rsidRPr="00291D96">
        <w:t xml:space="preserve">: </w:t>
      </w:r>
      <w:proofErr w:type="spellStart"/>
      <w:r w:rsidRPr="00291D96">
        <w:t>Issues</w:t>
      </w:r>
      <w:proofErr w:type="spellEnd"/>
      <w:r w:rsidRPr="00291D96">
        <w:t xml:space="preserve"> in </w:t>
      </w:r>
      <w:proofErr w:type="spellStart"/>
      <w:r w:rsidRPr="00291D96">
        <w:t>information</w:t>
      </w:r>
      <w:proofErr w:type="spellEnd"/>
      <w:r w:rsidRPr="00291D96">
        <w:t xml:space="preserve"> </w:t>
      </w:r>
      <w:proofErr w:type="spellStart"/>
      <w:r w:rsidRPr="00291D96">
        <w:t>provision</w:t>
      </w:r>
      <w:proofErr w:type="spellEnd"/>
      <w:r w:rsidRPr="00291D96">
        <w:t xml:space="preserve">, </w:t>
      </w:r>
      <w:proofErr w:type="spellStart"/>
      <w:r w:rsidRPr="00291D96">
        <w:t>enforcement</w:t>
      </w:r>
      <w:proofErr w:type="spellEnd"/>
      <w:r w:rsidRPr="00291D96">
        <w:t xml:space="preserve"> of labour </w:t>
      </w:r>
      <w:proofErr w:type="spellStart"/>
      <w:r w:rsidRPr="00291D96">
        <w:t>mobility</w:t>
      </w:r>
      <w:proofErr w:type="spellEnd"/>
      <w:r w:rsidRPr="00291D96">
        <w:t xml:space="preserve"> </w:t>
      </w:r>
      <w:proofErr w:type="spellStart"/>
      <w:r w:rsidRPr="00291D96">
        <w:t>law</w:t>
      </w:r>
      <w:proofErr w:type="spellEnd"/>
      <w:r w:rsidRPr="00291D96">
        <w:t xml:space="preserve">, </w:t>
      </w:r>
      <w:proofErr w:type="spellStart"/>
      <w:r w:rsidRPr="00291D96">
        <w:t>social</w:t>
      </w:r>
      <w:proofErr w:type="spellEnd"/>
      <w:r w:rsidRPr="00291D96">
        <w:t xml:space="preserve"> </w:t>
      </w:r>
      <w:proofErr w:type="spellStart"/>
      <w:r w:rsidRPr="00291D96">
        <w:t>security</w:t>
      </w:r>
      <w:proofErr w:type="spellEnd"/>
      <w:r w:rsidRPr="00291D96">
        <w:t xml:space="preserve"> </w:t>
      </w:r>
      <w:proofErr w:type="spellStart"/>
      <w:r w:rsidRPr="00291D96">
        <w:t>coordination</w:t>
      </w:r>
      <w:proofErr w:type="spellEnd"/>
      <w:r w:rsidRPr="00291D96">
        <w:t xml:space="preserve"> </w:t>
      </w:r>
      <w:proofErr w:type="spellStart"/>
      <w:r w:rsidRPr="00291D96">
        <w:t>regulations</w:t>
      </w:r>
      <w:proofErr w:type="spellEnd"/>
      <w:r w:rsidRPr="00291D96">
        <w:t xml:space="preserve">, </w:t>
      </w:r>
      <w:proofErr w:type="spellStart"/>
      <w:r w:rsidRPr="00291D96">
        <w:t>and</w:t>
      </w:r>
      <w:proofErr w:type="spellEnd"/>
      <w:r w:rsidRPr="00291D96">
        <w:t xml:space="preserve"> </w:t>
      </w:r>
      <w:proofErr w:type="spellStart"/>
      <w:r w:rsidRPr="00291D96">
        <w:t>cooperation</w:t>
      </w:r>
      <w:proofErr w:type="spellEnd"/>
      <w:r w:rsidRPr="00291D96">
        <w:t xml:space="preserve"> </w:t>
      </w:r>
      <w:proofErr w:type="spellStart"/>
      <w:r w:rsidRPr="00291D96">
        <w:t>between</w:t>
      </w:r>
      <w:proofErr w:type="spellEnd"/>
      <w:r w:rsidRPr="00291D96">
        <w:t xml:space="preserve"> </w:t>
      </w:r>
      <w:proofErr w:type="spellStart"/>
      <w:r w:rsidRPr="00291D96">
        <w:t>Member</w:t>
      </w:r>
      <w:proofErr w:type="spellEnd"/>
      <w:r w:rsidRPr="00291D96">
        <w:t xml:space="preserve"> </w:t>
      </w:r>
      <w:proofErr w:type="spellStart"/>
      <w:r w:rsidRPr="00291D96">
        <w:t>States</w:t>
      </w:r>
      <w:proofErr w:type="spellEnd"/>
      <w:r w:rsidRPr="00291D96">
        <w:t>” (Is-settur tal-kostruzzjoni: Kwistjonijiet fl-għoti ta’ informazzjoni, l-infurzar tal-liġi dwar il-</w:t>
      </w:r>
      <w:r w:rsidRPr="00291D96">
        <w:lastRenderedPageBreak/>
        <w:t>mobbiltà tal-ħaddiema, ir-regolamenti dwar il-koordinazzjoni tas-sigurtà soċjali u l-kooperazzjoni bejn l-Istati Membri)</w:t>
      </w:r>
      <w:r w:rsidRPr="00291D96">
        <w:rPr>
          <w:rStyle w:val="FootnoteReference"/>
        </w:rPr>
        <w:footnoteReference w:id="10"/>
      </w:r>
      <w:r w:rsidRPr="00291D96">
        <w:t>,</w:t>
      </w:r>
    </w:p>
    <w:p w14:paraId="3AD0552D" w14:textId="77777777" w:rsidR="001A17F0" w:rsidRPr="00291D96" w:rsidRDefault="001A17F0" w:rsidP="001A17F0">
      <w:pPr>
        <w:pStyle w:val="NormalHanging12a"/>
      </w:pPr>
      <w:r w:rsidRPr="00291D96">
        <w:t>–</w:t>
      </w:r>
      <w:r w:rsidRPr="00291D96">
        <w:tab/>
        <w:t>wara li kkunsidra r-rapport tal-Europol ta’ Diċembru 2024 bit-titolu “</w:t>
      </w:r>
      <w:proofErr w:type="spellStart"/>
      <w:r w:rsidRPr="00291D96">
        <w:t>Leveraging</w:t>
      </w:r>
      <w:proofErr w:type="spellEnd"/>
      <w:r w:rsidRPr="00291D96">
        <w:t xml:space="preserve"> </w:t>
      </w:r>
      <w:proofErr w:type="spellStart"/>
      <w:r w:rsidRPr="00291D96">
        <w:t>legitimacy</w:t>
      </w:r>
      <w:proofErr w:type="spellEnd"/>
      <w:r w:rsidRPr="00291D96">
        <w:t xml:space="preserve">: </w:t>
      </w:r>
      <w:proofErr w:type="spellStart"/>
      <w:r w:rsidRPr="00291D96">
        <w:t>How</w:t>
      </w:r>
      <w:proofErr w:type="spellEnd"/>
      <w:r w:rsidRPr="00291D96">
        <w:t xml:space="preserve"> </w:t>
      </w:r>
      <w:proofErr w:type="spellStart"/>
      <w:r w:rsidRPr="00291D96">
        <w:t>the</w:t>
      </w:r>
      <w:proofErr w:type="spellEnd"/>
      <w:r w:rsidRPr="00291D96">
        <w:t xml:space="preserve"> EU’s most </w:t>
      </w:r>
      <w:proofErr w:type="spellStart"/>
      <w:r w:rsidRPr="00291D96">
        <w:t>threatening</w:t>
      </w:r>
      <w:proofErr w:type="spellEnd"/>
      <w:r w:rsidRPr="00291D96">
        <w:t xml:space="preserve"> </w:t>
      </w:r>
      <w:proofErr w:type="spellStart"/>
      <w:r w:rsidRPr="00291D96">
        <w:t>criminal</w:t>
      </w:r>
      <w:proofErr w:type="spellEnd"/>
      <w:r w:rsidRPr="00291D96">
        <w:t xml:space="preserve"> networks </w:t>
      </w:r>
      <w:proofErr w:type="spellStart"/>
      <w:r w:rsidRPr="00291D96">
        <w:t>abuse</w:t>
      </w:r>
      <w:proofErr w:type="spellEnd"/>
      <w:r w:rsidRPr="00291D96">
        <w:t xml:space="preserve"> </w:t>
      </w:r>
      <w:proofErr w:type="spellStart"/>
      <w:r w:rsidRPr="00291D96">
        <w:t>legal</w:t>
      </w:r>
      <w:proofErr w:type="spellEnd"/>
      <w:r w:rsidRPr="00291D96">
        <w:t xml:space="preserve"> </w:t>
      </w:r>
      <w:proofErr w:type="spellStart"/>
      <w:r w:rsidRPr="00291D96">
        <w:t>business</w:t>
      </w:r>
      <w:proofErr w:type="spellEnd"/>
      <w:r w:rsidRPr="00291D96">
        <w:t xml:space="preserve"> </w:t>
      </w:r>
      <w:proofErr w:type="spellStart"/>
      <w:r w:rsidRPr="00291D96">
        <w:t>structures</w:t>
      </w:r>
      <w:proofErr w:type="spellEnd"/>
      <w:r w:rsidRPr="00291D96">
        <w:t>” (L-isfruttament tal-leġittimità: Kif in-networks kriminali tal-UE li huma l-aktar ta’ theddida jabbużaw mill-istrutturi tan-negozju legali),</w:t>
      </w:r>
    </w:p>
    <w:p w14:paraId="65606721" w14:textId="77777777" w:rsidR="001A17F0" w:rsidRPr="00291D96" w:rsidRDefault="001A17F0" w:rsidP="001A17F0">
      <w:pPr>
        <w:pStyle w:val="NormalHanging12a"/>
      </w:pPr>
      <w:r w:rsidRPr="00291D96">
        <w:t>–</w:t>
      </w:r>
      <w:r w:rsidRPr="00291D96">
        <w:tab/>
        <w:t>wara li kkunsidra l-Artikolu 10 tal-Linji Gwida tal-Organizzazzjoni Internazzjonali tax-Xogħol (ILO) dwar il-prinċipji ġenerali tal-ispezzjoni tax-xogħol,</w:t>
      </w:r>
    </w:p>
    <w:p w14:paraId="3E613747" w14:textId="77777777" w:rsidR="001A17F0" w:rsidRPr="00291D96" w:rsidRDefault="001A17F0" w:rsidP="001A17F0">
      <w:pPr>
        <w:pStyle w:val="NormalHanging12a"/>
      </w:pPr>
      <w:r w:rsidRPr="00291D96">
        <w:t>–</w:t>
      </w:r>
      <w:r w:rsidRPr="00291D96">
        <w:tab/>
        <w:t>wara li kkunsidra l-Konvenzjoni tal-ILO dwar l-Aġenziji Privati tal-Impjieg (il-Konvenzjoni Nru 181, 1997),</w:t>
      </w:r>
    </w:p>
    <w:p w14:paraId="329273EA" w14:textId="77777777" w:rsidR="001A17F0" w:rsidRPr="00291D96" w:rsidRDefault="001A17F0" w:rsidP="001A17F0">
      <w:pPr>
        <w:pStyle w:val="NormalHanging12a"/>
      </w:pPr>
      <w:r w:rsidRPr="00291D96">
        <w:t>–</w:t>
      </w:r>
      <w:r w:rsidRPr="00291D96">
        <w:tab/>
        <w:t>wara li kkunsidra l-Konvenzjoni tal-ILO dwar is-Sikurezza u s-Saħħa fil-Kostruzzjoni (il-Konvenzjoni Nru 167, 1988),</w:t>
      </w:r>
    </w:p>
    <w:p w14:paraId="377598AC" w14:textId="77777777" w:rsidR="001A17F0" w:rsidRPr="00291D96" w:rsidRDefault="001A17F0" w:rsidP="001A17F0">
      <w:pPr>
        <w:pStyle w:val="NormalHanging12a"/>
      </w:pPr>
      <w:r w:rsidRPr="00291D96">
        <w:t>–</w:t>
      </w:r>
      <w:r w:rsidRPr="00291D96">
        <w:tab/>
        <w:t>wara li kkunsidra r-riżoluzzjoni tiegħu tal-25 ta’ Novembru 2021 dwar l-introduzzjoni ta’ pass Ewropew tas-sigurtà soċjali għat-titjib tal-infurzar diġitali tad-drittijiet ta’ sigurtà soċjali u ta’ mobbiltà ekwa</w:t>
      </w:r>
      <w:r w:rsidRPr="00291D96">
        <w:rPr>
          <w:rStyle w:val="FootnoteReference"/>
        </w:rPr>
        <w:footnoteReference w:id="11"/>
      </w:r>
      <w:r w:rsidRPr="00291D96">
        <w:t>,</w:t>
      </w:r>
    </w:p>
    <w:p w14:paraId="356ECEF5" w14:textId="77777777" w:rsidR="001A17F0" w:rsidRPr="00291D96" w:rsidRDefault="001A17F0" w:rsidP="001A17F0">
      <w:pPr>
        <w:pStyle w:val="NormalHanging12a"/>
      </w:pPr>
      <w:r w:rsidRPr="00291D96">
        <w:t>–</w:t>
      </w:r>
      <w:r w:rsidRPr="00291D96">
        <w:tab/>
        <w:t>wara li kkunsidra r-riżoluzzjoni tiegħu tat-13 ta’ Marzu 2025 dwar l-aspetti soċjali u relatati mal-impjiegi tal-proċessi ta’ ristrutturar: il-ħtieġa li jiġu protetti l-impjiegi u d-drittijiet tal-ħaddiema</w:t>
      </w:r>
      <w:r w:rsidRPr="00291D96">
        <w:rPr>
          <w:rStyle w:val="FootnoteReference"/>
        </w:rPr>
        <w:footnoteReference w:id="12"/>
      </w:r>
      <w:r w:rsidRPr="00291D96">
        <w:t>,</w:t>
      </w:r>
    </w:p>
    <w:p w14:paraId="770669FD" w14:textId="77777777" w:rsidR="001A17F0" w:rsidRPr="00291D96" w:rsidRDefault="001A17F0" w:rsidP="001A17F0">
      <w:pPr>
        <w:pStyle w:val="NormalHanging12a"/>
      </w:pPr>
      <w:r w:rsidRPr="00291D96">
        <w:t>–</w:t>
      </w:r>
      <w:r w:rsidRPr="00291D96">
        <w:tab/>
        <w:t>wara li kkunsidra r-riżoluzzjoni tiegħu tat-18 ta’ Jannar 2024 dwar ir-reviżjoni tal-mandat tal-Awtorità Ewropea tax-Xogħol</w:t>
      </w:r>
      <w:r w:rsidRPr="00291D96">
        <w:rPr>
          <w:rStyle w:val="FootnoteReference"/>
        </w:rPr>
        <w:footnoteReference w:id="13"/>
      </w:r>
      <w:r w:rsidRPr="00291D96">
        <w:t>,</w:t>
      </w:r>
    </w:p>
    <w:p w14:paraId="4C1CF8B5" w14:textId="77777777" w:rsidR="001A17F0" w:rsidRPr="00291D96" w:rsidRDefault="001A17F0" w:rsidP="001A17F0">
      <w:pPr>
        <w:pStyle w:val="NormalHanging12a"/>
      </w:pPr>
      <w:r w:rsidRPr="00291D96">
        <w:t>–</w:t>
      </w:r>
      <w:r w:rsidRPr="00291D96">
        <w:tab/>
        <w:t>wara li kkunsidra r-riżoluzzjoni tiegħu tad-9 ta’ Settembru 2025 dwar l-akkwist pubbliku</w:t>
      </w:r>
      <w:r w:rsidRPr="00291D96">
        <w:rPr>
          <w:rStyle w:val="FootnoteReference"/>
        </w:rPr>
        <w:footnoteReference w:id="14"/>
      </w:r>
      <w:r w:rsidRPr="00291D96">
        <w:t>,</w:t>
      </w:r>
    </w:p>
    <w:p w14:paraId="0E7E23E1" w14:textId="77777777" w:rsidR="001A17F0" w:rsidRPr="00291D96" w:rsidRDefault="001A17F0" w:rsidP="001A17F0">
      <w:pPr>
        <w:pStyle w:val="NormalHanging12a"/>
      </w:pPr>
      <w:r w:rsidRPr="00291D96">
        <w:t>–</w:t>
      </w:r>
      <w:r w:rsidRPr="00291D96">
        <w:tab/>
        <w:t xml:space="preserve">wara li kkunsidra d-Dikjarazzjoni ta’ La </w:t>
      </w:r>
      <w:proofErr w:type="spellStart"/>
      <w:r w:rsidRPr="00291D96">
        <w:t>Hulpe</w:t>
      </w:r>
      <w:proofErr w:type="spellEnd"/>
      <w:r w:rsidRPr="00291D96">
        <w:t xml:space="preserve"> dwar il-Futur tal-Pilastru Ewropew tad-Drittijiet Soċjali tas-16 ta’ April 2024,</w:t>
      </w:r>
    </w:p>
    <w:p w14:paraId="18332656" w14:textId="77777777" w:rsidR="001A17F0" w:rsidRPr="00291D96" w:rsidRDefault="001A17F0" w:rsidP="001A17F0">
      <w:pPr>
        <w:pStyle w:val="NormalHanging12a"/>
      </w:pPr>
      <w:r w:rsidRPr="00291D96">
        <w:t>–</w:t>
      </w:r>
      <w:r w:rsidRPr="00291D96">
        <w:tab/>
        <w:t xml:space="preserve">wara li kkunsidra d-Dikjarazzjoni Tripartitika tal-31 ta’ Jannar 2024 tas-Summit tas-Sħab Soċjali ta’ </w:t>
      </w:r>
      <w:proofErr w:type="spellStart"/>
      <w:r w:rsidRPr="00291D96">
        <w:t>Val</w:t>
      </w:r>
      <w:proofErr w:type="spellEnd"/>
      <w:r w:rsidRPr="00291D96">
        <w:t xml:space="preserve"> </w:t>
      </w:r>
      <w:proofErr w:type="spellStart"/>
      <w:r w:rsidRPr="00291D96">
        <w:t>Duchesse</w:t>
      </w:r>
      <w:proofErr w:type="spellEnd"/>
      <w:r w:rsidRPr="00291D96">
        <w:t xml:space="preserve"> għal Djalogu Soċjali Ewropew li Jirnexxi,</w:t>
      </w:r>
    </w:p>
    <w:p w14:paraId="7D528289" w14:textId="77777777" w:rsidR="001A17F0" w:rsidRPr="00291D96" w:rsidRDefault="001A17F0" w:rsidP="001A17F0">
      <w:pPr>
        <w:pStyle w:val="NormalHanging12a"/>
      </w:pPr>
      <w:r w:rsidRPr="00291D96">
        <w:t>–</w:t>
      </w:r>
      <w:r w:rsidRPr="00291D96">
        <w:tab/>
        <w:t xml:space="preserve">wara li kkunsidra </w:t>
      </w:r>
      <w:proofErr w:type="spellStart"/>
      <w:r w:rsidRPr="00291D96">
        <w:t>l-green</w:t>
      </w:r>
      <w:proofErr w:type="spellEnd"/>
      <w:r w:rsidRPr="00291D96">
        <w:t xml:space="preserve"> </w:t>
      </w:r>
      <w:proofErr w:type="spellStart"/>
      <w:r w:rsidRPr="00291D96">
        <w:t>paper</w:t>
      </w:r>
      <w:proofErr w:type="spellEnd"/>
      <w:r w:rsidRPr="00291D96">
        <w:t xml:space="preserve"> tal-Kummissjoni tal-31 ta’ Jannar 2013 dwar prattiki kummerċjali inġusti fil-katina tal-provvista alimentari u mhux alimentari minn negozju għal negozju fl-Ewropa (COM(2013)0037),</w:t>
      </w:r>
    </w:p>
    <w:p w14:paraId="6166C50B" w14:textId="77777777" w:rsidR="001A17F0" w:rsidRPr="00291D96" w:rsidRDefault="001A17F0" w:rsidP="001A17F0">
      <w:pPr>
        <w:pStyle w:val="NormalHanging12a"/>
      </w:pPr>
      <w:r w:rsidRPr="00291D96">
        <w:t>–</w:t>
      </w:r>
      <w:r w:rsidRPr="00291D96">
        <w:tab/>
        <w:t>wara li kkunsidra l-komunikazzjoni tal-Kummissjoni tad-29 ta’ Jannar 2025 bit-titolu “Boxxla għall-Kompetittività tal-UE” (COM(2025)0030),</w:t>
      </w:r>
    </w:p>
    <w:p w14:paraId="3EA219D4" w14:textId="77777777" w:rsidR="001A17F0" w:rsidRPr="00291D96" w:rsidRDefault="001A17F0" w:rsidP="001A17F0">
      <w:pPr>
        <w:pStyle w:val="NormalHanging12a"/>
      </w:pPr>
      <w:r w:rsidRPr="00291D96">
        <w:t>–</w:t>
      </w:r>
      <w:r w:rsidRPr="00291D96">
        <w:tab/>
        <w:t>wara li kkunsidra s-Sitt Stħarriġ Ewropew tal-Eurofound dwar il-Kundizzjonijiet tax-</w:t>
      </w:r>
      <w:r w:rsidRPr="00291D96">
        <w:lastRenderedPageBreak/>
        <w:t>Xogħol,</w:t>
      </w:r>
    </w:p>
    <w:p w14:paraId="6BC5A3E4" w14:textId="77777777" w:rsidR="001A17F0" w:rsidRPr="00291D96" w:rsidRDefault="001A17F0" w:rsidP="001A17F0">
      <w:pPr>
        <w:pStyle w:val="NormalHanging12a"/>
      </w:pPr>
      <w:r w:rsidRPr="00291D96">
        <w:t xml:space="preserve"> –</w:t>
      </w:r>
      <w:r w:rsidRPr="00291D96">
        <w:tab/>
        <w:t xml:space="preserve">wara li kkunsidra r-rapport tad-9 ta’ Settembru 2024 ta’ Mario </w:t>
      </w:r>
      <w:proofErr w:type="spellStart"/>
      <w:r w:rsidRPr="00291D96">
        <w:t>Draghi</w:t>
      </w:r>
      <w:proofErr w:type="spellEnd"/>
      <w:r w:rsidRPr="00291D96">
        <w:t xml:space="preserve"> bit-titolu “</w:t>
      </w:r>
      <w:proofErr w:type="spellStart"/>
      <w:r w:rsidRPr="00291D96">
        <w:t>The</w:t>
      </w:r>
      <w:proofErr w:type="spellEnd"/>
      <w:r w:rsidRPr="00291D96">
        <w:t xml:space="preserve"> </w:t>
      </w:r>
      <w:proofErr w:type="spellStart"/>
      <w:r w:rsidRPr="00291D96">
        <w:t>future</w:t>
      </w:r>
      <w:proofErr w:type="spellEnd"/>
      <w:r w:rsidRPr="00291D96">
        <w:t xml:space="preserve"> of </w:t>
      </w:r>
      <w:proofErr w:type="spellStart"/>
      <w:r w:rsidRPr="00291D96">
        <w:t>European</w:t>
      </w:r>
      <w:proofErr w:type="spellEnd"/>
      <w:r w:rsidRPr="00291D96">
        <w:t xml:space="preserve"> </w:t>
      </w:r>
      <w:proofErr w:type="spellStart"/>
      <w:r w:rsidRPr="00291D96">
        <w:t>competitiveness</w:t>
      </w:r>
      <w:proofErr w:type="spellEnd"/>
      <w:r w:rsidRPr="00291D96">
        <w:t xml:space="preserve">” (Il-futur tal-kompetittività Ewropea) (ir-rapport </w:t>
      </w:r>
      <w:proofErr w:type="spellStart"/>
      <w:r w:rsidRPr="00291D96">
        <w:t>Draghi</w:t>
      </w:r>
      <w:proofErr w:type="spellEnd"/>
      <w:r w:rsidRPr="00291D96">
        <w:t>),</w:t>
      </w:r>
    </w:p>
    <w:p w14:paraId="182D65C8" w14:textId="77777777" w:rsidR="001A17F0" w:rsidRPr="00291D96" w:rsidRDefault="001A17F0" w:rsidP="001A17F0">
      <w:pPr>
        <w:pStyle w:val="NormalHanging12a"/>
      </w:pPr>
      <w:r w:rsidRPr="00291D96">
        <w:t>–</w:t>
      </w:r>
      <w:r w:rsidRPr="00291D96">
        <w:tab/>
        <w:t xml:space="preserve">wara li kkunsidra r-rapport tas-17 ta’ April 2024 ta’ Enrico </w:t>
      </w:r>
      <w:proofErr w:type="spellStart"/>
      <w:r w:rsidRPr="00291D96">
        <w:t>Letta</w:t>
      </w:r>
      <w:proofErr w:type="spellEnd"/>
      <w:r w:rsidRPr="00291D96">
        <w:t xml:space="preserve"> bit-titolu “</w:t>
      </w:r>
      <w:proofErr w:type="spellStart"/>
      <w:r w:rsidRPr="00291D96">
        <w:t>Much</w:t>
      </w:r>
      <w:proofErr w:type="spellEnd"/>
      <w:r w:rsidRPr="00291D96">
        <w:t xml:space="preserve"> </w:t>
      </w:r>
      <w:proofErr w:type="spellStart"/>
      <w:r w:rsidRPr="00291D96">
        <w:t>more</w:t>
      </w:r>
      <w:proofErr w:type="spellEnd"/>
      <w:r w:rsidRPr="00291D96">
        <w:t xml:space="preserve"> </w:t>
      </w:r>
      <w:proofErr w:type="spellStart"/>
      <w:r w:rsidRPr="00291D96">
        <w:t>than</w:t>
      </w:r>
      <w:proofErr w:type="spellEnd"/>
      <w:r w:rsidRPr="00291D96">
        <w:t xml:space="preserve"> a </w:t>
      </w:r>
      <w:proofErr w:type="spellStart"/>
      <w:r w:rsidRPr="00291D96">
        <w:t>Market</w:t>
      </w:r>
      <w:proofErr w:type="spellEnd"/>
      <w:r w:rsidRPr="00291D96">
        <w:t xml:space="preserve"> – </w:t>
      </w:r>
      <w:proofErr w:type="spellStart"/>
      <w:r w:rsidRPr="00291D96">
        <w:t>speed</w:t>
      </w:r>
      <w:proofErr w:type="spellEnd"/>
      <w:r w:rsidRPr="00291D96">
        <w:t xml:space="preserve">, </w:t>
      </w:r>
      <w:proofErr w:type="spellStart"/>
      <w:r w:rsidRPr="00291D96">
        <w:t>security</w:t>
      </w:r>
      <w:proofErr w:type="spellEnd"/>
      <w:r w:rsidRPr="00291D96">
        <w:t xml:space="preserve">, </w:t>
      </w:r>
      <w:proofErr w:type="spellStart"/>
      <w:r w:rsidRPr="00291D96">
        <w:t>solidarity</w:t>
      </w:r>
      <w:proofErr w:type="spellEnd"/>
      <w:r w:rsidRPr="00291D96">
        <w:t xml:space="preserve">: </w:t>
      </w:r>
      <w:proofErr w:type="spellStart"/>
      <w:r w:rsidRPr="00291D96">
        <w:t>empowering</w:t>
      </w:r>
      <w:proofErr w:type="spellEnd"/>
      <w:r w:rsidRPr="00291D96">
        <w:t xml:space="preserve"> </w:t>
      </w:r>
      <w:proofErr w:type="spellStart"/>
      <w:r w:rsidRPr="00291D96">
        <w:t>the</w:t>
      </w:r>
      <w:proofErr w:type="spellEnd"/>
      <w:r w:rsidRPr="00291D96">
        <w:t xml:space="preserve"> </w:t>
      </w:r>
      <w:proofErr w:type="spellStart"/>
      <w:r w:rsidRPr="00291D96">
        <w:t>Single</w:t>
      </w:r>
      <w:proofErr w:type="spellEnd"/>
      <w:r w:rsidRPr="00291D96">
        <w:t xml:space="preserve"> </w:t>
      </w:r>
      <w:proofErr w:type="spellStart"/>
      <w:r w:rsidRPr="00291D96">
        <w:t>Market</w:t>
      </w:r>
      <w:proofErr w:type="spellEnd"/>
      <w:r w:rsidRPr="00291D96">
        <w:t xml:space="preserve"> </w:t>
      </w:r>
      <w:proofErr w:type="spellStart"/>
      <w:r w:rsidRPr="00291D96">
        <w:t>to</w:t>
      </w:r>
      <w:proofErr w:type="spellEnd"/>
      <w:r w:rsidRPr="00291D96">
        <w:t xml:space="preserve"> </w:t>
      </w:r>
      <w:proofErr w:type="spellStart"/>
      <w:r w:rsidRPr="00291D96">
        <w:t>deliver</w:t>
      </w:r>
      <w:proofErr w:type="spellEnd"/>
      <w:r w:rsidRPr="00291D96">
        <w:t xml:space="preserve"> a </w:t>
      </w:r>
      <w:proofErr w:type="spellStart"/>
      <w:r w:rsidRPr="00291D96">
        <w:t>sustainable</w:t>
      </w:r>
      <w:proofErr w:type="spellEnd"/>
      <w:r w:rsidRPr="00291D96">
        <w:t xml:space="preserve"> </w:t>
      </w:r>
      <w:proofErr w:type="spellStart"/>
      <w:r w:rsidRPr="00291D96">
        <w:t>future</w:t>
      </w:r>
      <w:proofErr w:type="spellEnd"/>
      <w:r w:rsidRPr="00291D96">
        <w:t xml:space="preserve"> </w:t>
      </w:r>
      <w:proofErr w:type="spellStart"/>
      <w:r w:rsidRPr="00291D96">
        <w:t>and</w:t>
      </w:r>
      <w:proofErr w:type="spellEnd"/>
      <w:r w:rsidRPr="00291D96">
        <w:t xml:space="preserve"> </w:t>
      </w:r>
      <w:proofErr w:type="spellStart"/>
      <w:r w:rsidRPr="00291D96">
        <w:t>prosperity</w:t>
      </w:r>
      <w:proofErr w:type="spellEnd"/>
      <w:r w:rsidRPr="00291D96">
        <w:t xml:space="preserve"> </w:t>
      </w:r>
      <w:proofErr w:type="spellStart"/>
      <w:r w:rsidRPr="00291D96">
        <w:t>for</w:t>
      </w:r>
      <w:proofErr w:type="spellEnd"/>
      <w:r w:rsidRPr="00291D96">
        <w:t xml:space="preserve"> </w:t>
      </w:r>
      <w:proofErr w:type="spellStart"/>
      <w:r w:rsidRPr="00291D96">
        <w:t>all</w:t>
      </w:r>
      <w:proofErr w:type="spellEnd"/>
      <w:r w:rsidRPr="00291D96">
        <w:t xml:space="preserve"> EU </w:t>
      </w:r>
      <w:proofErr w:type="spellStart"/>
      <w:r w:rsidRPr="00291D96">
        <w:t>Citizens</w:t>
      </w:r>
      <w:proofErr w:type="spellEnd"/>
      <w:r w:rsidRPr="00291D96">
        <w:t xml:space="preserve">” (Ħafna aktar minn Suq – veloċità, sigurtà, solidarjetà: nagħtu s-setgħa lis-Suq Uniku biex iwassal futur sostenibbli u prosperità għaċ-Ċittadini kollha tal-UE” (ir-rapport ta’ </w:t>
      </w:r>
      <w:proofErr w:type="spellStart"/>
      <w:r w:rsidRPr="00291D96">
        <w:t>Letta</w:t>
      </w:r>
      <w:proofErr w:type="spellEnd"/>
      <w:r w:rsidRPr="00291D96">
        <w:t>),</w:t>
      </w:r>
    </w:p>
    <w:p w14:paraId="20A65830" w14:textId="77777777" w:rsidR="001A17F0" w:rsidRPr="00291D96" w:rsidRDefault="001A17F0" w:rsidP="001A17F0">
      <w:pPr>
        <w:pStyle w:val="NormalHanging12a"/>
      </w:pPr>
      <w:r w:rsidRPr="00291D96">
        <w:t>–</w:t>
      </w:r>
      <w:r w:rsidRPr="00291D96">
        <w:tab/>
        <w:t>wara li kkunsidra d-dokument ta’ pożizzjoni tal-14 ta’ Frar 2025 min-Netherlands, il-Belġju, id-Danimarka, il-Ġermanja, l-Italja, il-Latvja u l-Lussemburgu dwar il-prijoritajiet ta’ politika tal-UE għall-Kummissjoni 2024-2029 u l-istazzjonar ġust ta’ nazzjonali ta’ pajjiżi terzi,</w:t>
      </w:r>
    </w:p>
    <w:p w14:paraId="2891FB90" w14:textId="77777777" w:rsidR="001A17F0" w:rsidRPr="00291D96" w:rsidRDefault="001A17F0" w:rsidP="001A17F0">
      <w:pPr>
        <w:pStyle w:val="NormalHanging12a"/>
      </w:pPr>
      <w:r w:rsidRPr="00291D96">
        <w:t>–</w:t>
      </w:r>
      <w:r w:rsidRPr="00291D96">
        <w:tab/>
        <w:t xml:space="preserve">wara li kkunsidra s-sentenza tal-Qorti tal-Ġustizzja tal-5 ta’ April 2017 fil-Kawża C-298/15, </w:t>
      </w:r>
      <w:r w:rsidRPr="00291D96">
        <w:rPr>
          <w:i/>
        </w:rPr>
        <w:t>“</w:t>
      </w:r>
      <w:proofErr w:type="spellStart"/>
      <w:r w:rsidRPr="00291D96">
        <w:rPr>
          <w:i/>
        </w:rPr>
        <w:t>Borta</w:t>
      </w:r>
      <w:proofErr w:type="spellEnd"/>
      <w:r w:rsidRPr="00291D96">
        <w:rPr>
          <w:i/>
        </w:rPr>
        <w:t>” UAB</w:t>
      </w:r>
      <w:r w:rsidRPr="00291D96">
        <w:t xml:space="preserve"> vs </w:t>
      </w:r>
      <w:proofErr w:type="spellStart"/>
      <w:r w:rsidRPr="00291D96">
        <w:rPr>
          <w:i/>
        </w:rPr>
        <w:t>Klaipėdos</w:t>
      </w:r>
      <w:proofErr w:type="spellEnd"/>
      <w:r w:rsidRPr="00291D96">
        <w:rPr>
          <w:i/>
        </w:rPr>
        <w:t xml:space="preserve"> </w:t>
      </w:r>
      <w:proofErr w:type="spellStart"/>
      <w:r w:rsidRPr="00291D96">
        <w:rPr>
          <w:i/>
        </w:rPr>
        <w:t>valstybinio</w:t>
      </w:r>
      <w:proofErr w:type="spellEnd"/>
      <w:r w:rsidRPr="00291D96">
        <w:rPr>
          <w:i/>
        </w:rPr>
        <w:t xml:space="preserve"> </w:t>
      </w:r>
      <w:proofErr w:type="spellStart"/>
      <w:r w:rsidRPr="00291D96">
        <w:rPr>
          <w:i/>
        </w:rPr>
        <w:t>jūrų</w:t>
      </w:r>
      <w:proofErr w:type="spellEnd"/>
      <w:r w:rsidRPr="00291D96">
        <w:rPr>
          <w:i/>
        </w:rPr>
        <w:t xml:space="preserve"> </w:t>
      </w:r>
      <w:proofErr w:type="spellStart"/>
      <w:r w:rsidRPr="00291D96">
        <w:rPr>
          <w:i/>
        </w:rPr>
        <w:t>uosto</w:t>
      </w:r>
      <w:proofErr w:type="spellEnd"/>
      <w:r w:rsidRPr="00291D96">
        <w:rPr>
          <w:i/>
        </w:rPr>
        <w:t xml:space="preserve"> </w:t>
      </w:r>
      <w:proofErr w:type="spellStart"/>
      <w:r w:rsidRPr="00291D96">
        <w:rPr>
          <w:i/>
        </w:rPr>
        <w:t>direkcija</w:t>
      </w:r>
      <w:proofErr w:type="spellEnd"/>
      <w:r w:rsidRPr="00291D96">
        <w:rPr>
          <w:i/>
        </w:rPr>
        <w:t xml:space="preserve"> VĮ</w:t>
      </w:r>
      <w:r w:rsidRPr="00291D96">
        <w:rPr>
          <w:rStyle w:val="FootnoteReference"/>
          <w:i/>
          <w:iCs/>
        </w:rPr>
        <w:footnoteReference w:id="15"/>
      </w:r>
      <w:r w:rsidRPr="00291D96">
        <w:t>, dwar l-akkwist pubbliku,</w:t>
      </w:r>
    </w:p>
    <w:p w14:paraId="036C79CA" w14:textId="77777777" w:rsidR="001A17F0" w:rsidRPr="00291D96" w:rsidRDefault="001A17F0" w:rsidP="001A17F0">
      <w:pPr>
        <w:pStyle w:val="NormalHanging12a"/>
      </w:pPr>
      <w:r w:rsidRPr="00291D96">
        <w:t>–</w:t>
      </w:r>
      <w:r w:rsidRPr="00291D96">
        <w:tab/>
        <w:t>wara li kkunsidra l-istrateġiji nazzjonali għall-ġlieda kontra l-isfruttament tal-ħaddiema, ix-xogħol furzat u x-xogħol mhux iddikjarat</w:t>
      </w:r>
      <w:r w:rsidRPr="00291D96">
        <w:rPr>
          <w:rStyle w:val="FootnoteReference"/>
        </w:rPr>
        <w:footnoteReference w:id="16"/>
      </w:r>
      <w:r w:rsidRPr="00291D96">
        <w:t>,</w:t>
      </w:r>
    </w:p>
    <w:p w14:paraId="7388EFE1" w14:textId="77777777" w:rsidR="001A17F0" w:rsidRPr="00291D96" w:rsidRDefault="001A17F0" w:rsidP="001A17F0">
      <w:pPr>
        <w:pStyle w:val="NormalHanging12a"/>
      </w:pPr>
      <w:r w:rsidRPr="00291D96">
        <w:t>–</w:t>
      </w:r>
      <w:r w:rsidRPr="00291D96">
        <w:tab/>
        <w:t>wara li kkunsidra l-Artikolu 55 tar-Regoli ta’ Proċedura tiegħu,</w:t>
      </w:r>
    </w:p>
    <w:p w14:paraId="67677F1A" w14:textId="77777777" w:rsidR="001A17F0" w:rsidRPr="00291D96" w:rsidRDefault="001A17F0" w:rsidP="001A17F0">
      <w:pPr>
        <w:pStyle w:val="NormalHanging12a"/>
      </w:pPr>
      <w:r w:rsidRPr="00291D96">
        <w:t>–</w:t>
      </w:r>
      <w:r w:rsidRPr="00291D96">
        <w:tab/>
        <w:t>wara li kkunsidra l-opinjoni tal-Kumitat għas-Suq Intern u l-Ħarsien tal-Konsumatur,</w:t>
      </w:r>
    </w:p>
    <w:p w14:paraId="0883E5BC" w14:textId="77777777" w:rsidR="001A17F0" w:rsidRPr="00291D96" w:rsidRDefault="001A17F0" w:rsidP="001A17F0">
      <w:pPr>
        <w:pStyle w:val="NormalHanging12a"/>
      </w:pPr>
      <w:r w:rsidRPr="00291D96">
        <w:t>–</w:t>
      </w:r>
      <w:r w:rsidRPr="00291D96">
        <w:tab/>
        <w:t>wara li kkunsidra r-rapport tal-Kumitat għall-Impjiegi u l-Affarijiet Soċjali (A10-0256/2025),</w:t>
      </w:r>
    </w:p>
    <w:p w14:paraId="4711163E" w14:textId="77777777" w:rsidR="001A17F0" w:rsidRPr="00291D96" w:rsidRDefault="001A17F0" w:rsidP="001A17F0">
      <w:pPr>
        <w:pStyle w:val="NormalHanging12a"/>
      </w:pPr>
      <w:r w:rsidRPr="00291D96">
        <w:t>A.</w:t>
      </w:r>
      <w:r w:rsidRPr="00291D96">
        <w:tab/>
        <w:t>billi l-prinċipju 5 tal-Pilastru Ewropew tad-Drittijiet Soċjali jfakkar li, irrispettivament mit-tip u d-durata tar-relazzjoni ta’ impjieg, il-ħaddiema għandhom id-dritt igawdu minn trattament ġust u ugwali rigward il-kundizzjonijiet tax-xogħol, l-aċċess għall-protezzjoni soċjali u t-taħriġ; billi jfakkar ukoll li għandhom jiġu pprevenuti relazzjonijiet tax-xogħol li jwasslu għal kundizzjonijiet tax-xogħol prekarji;</w:t>
      </w:r>
    </w:p>
    <w:p w14:paraId="758F2428" w14:textId="77777777" w:rsidR="001A17F0" w:rsidRPr="00291D96" w:rsidRDefault="001A17F0" w:rsidP="001A17F0">
      <w:pPr>
        <w:pStyle w:val="NormalHanging12a"/>
      </w:pPr>
      <w:r w:rsidRPr="00291D96">
        <w:t>B.</w:t>
      </w:r>
      <w:r w:rsidRPr="00291D96">
        <w:tab/>
        <w:t xml:space="preserve">billi l-libertà li jiġu pprovduti servizzi transfruntiera hija waħda mill-erba’ prinċipji ewlenin tas-suq uniku u billi s-sottokuntrattar huwa parti mil-libertà li jiġu pprovduti servizzi u l-libertà tal-istabbiliment; billi l-UE jeħtieġ li tippreżerva u ssaħħaħ il-kompetittività tagħha sabiex in-negozji jkunu jistgħu jirnexxu, b’enfasi speċjali fuq l-intrapriżi żgħar u ta’ daqs medju (SMEs); billi jeħtieġ ukoll li toħloq regoli ċari u </w:t>
      </w:r>
      <w:r w:rsidRPr="00291D96">
        <w:lastRenderedPageBreak/>
        <w:t>proporzjonati li ma jimponux piżijiet bla bżonn u li ssaħħaħ l-infurzar;</w:t>
      </w:r>
    </w:p>
    <w:p w14:paraId="0F6B185B" w14:textId="77777777" w:rsidR="001A17F0" w:rsidRPr="00291D96" w:rsidRDefault="001A17F0" w:rsidP="001A17F0">
      <w:pPr>
        <w:pStyle w:val="NormalHanging12a"/>
      </w:pPr>
      <w:r w:rsidRPr="00291D96">
        <w:t>C.</w:t>
      </w:r>
      <w:r w:rsidRPr="00291D96">
        <w:tab/>
        <w:t>billi l-isfruttament u l-abbuż tal-ħaddiema fis-suq tax-xogħol tal-UE jikkostitwixxu problema serja fis-setturi b’riskju għoli, li tidher f’diversi forom, inkluż iżda mhux limitata għall-kriminalità relatata max-xogħol, ix-xogħol mhux iddikjarat, ix-xogħol illegali, l-ekonomija griża, id-</w:t>
      </w:r>
      <w:proofErr w:type="spellStart"/>
      <w:r w:rsidRPr="00291D96">
        <w:t>dumping</w:t>
      </w:r>
      <w:proofErr w:type="spellEnd"/>
      <w:r w:rsidRPr="00291D96">
        <w:t xml:space="preserve"> soċjali, l-isfruttament tal-ħaddiema u l-iskjavitù moderna;</w:t>
      </w:r>
    </w:p>
    <w:p w14:paraId="1A921E6C" w14:textId="77777777" w:rsidR="001A17F0" w:rsidRPr="00291D96" w:rsidRDefault="001A17F0" w:rsidP="001A17F0">
      <w:pPr>
        <w:pStyle w:val="NormalHanging12a"/>
      </w:pPr>
      <w:r w:rsidRPr="00291D96">
        <w:t>D.</w:t>
      </w:r>
      <w:r w:rsidRPr="00291D96">
        <w:tab/>
        <w:t>billi xi setturi għandhom riskji ogħla ta’ sfruttament u abbuż tal-ħaddiema, bħall-kostruzzjoni, l-agrikoltura, l-ospitalità, ix-xogħol domestiku, it-trasport u l-loġistika, l-ipproċessar tal-laħam u tal-ikel, is-servizzi tat-tindif u x-xogħol ta’ kura</w:t>
      </w:r>
      <w:r w:rsidRPr="00291D96">
        <w:rPr>
          <w:rStyle w:val="FootnoteReference"/>
        </w:rPr>
        <w:footnoteReference w:id="17"/>
      </w:r>
      <w:r w:rsidRPr="00291D96">
        <w:t>; billi n-nisa huma rrappreżentati b’mod sproporzjonat f’xogħol sottokuntrattat u intermedjarju fis-setturi tal-kura, tat-tindif u tal-ospitalità;</w:t>
      </w:r>
    </w:p>
    <w:p w14:paraId="72A5D406" w14:textId="77777777" w:rsidR="001A17F0" w:rsidRPr="00291D96" w:rsidRDefault="001A17F0" w:rsidP="001A17F0">
      <w:pPr>
        <w:pStyle w:val="NormalHanging12a"/>
      </w:pPr>
      <w:r w:rsidRPr="00291D96">
        <w:t>E.</w:t>
      </w:r>
      <w:r w:rsidRPr="00291D96">
        <w:tab/>
        <w:t>billi l-konsegwenzi tal-isfruttament u l-abbuż tal-ħaddiema jestendu lil hinn minn ħaddiema li huma soġġetti għal kundizzjonijiet tax-xogħol inġusti u mhux sikuri, pagi inadegwati, akkomodazzjoni deplorevoli u impjiegi prekarji, peress li għandhom ukoll impatt fuq l-intrapriżi, speċjalment l-SMEs, li huma soġġetti għal kompetizzjoni inġusta u d-distorsjonijiet tas-suq uniku;</w:t>
      </w:r>
    </w:p>
    <w:p w14:paraId="5EC3CC42" w14:textId="77777777" w:rsidR="001A17F0" w:rsidRPr="00291D96" w:rsidRDefault="001A17F0" w:rsidP="001A17F0">
      <w:pPr>
        <w:pStyle w:val="NormalHanging12a"/>
      </w:pPr>
      <w:r w:rsidRPr="00291D96">
        <w:t>F.</w:t>
      </w:r>
      <w:r w:rsidRPr="00291D96">
        <w:tab/>
        <w:t>billi l-Europol tenfasizza li 86 % tan-networks kriminali l-aktar ta’ ħsara jużaw strutturi kummerċjali legali bħala parti mill-attività kriminali tagħhom li tikkostitwixxi theddida serja għall-kompetizzjoni ġusta fis-suq uniku; billi l-analiżi tal-Kummissjoni, kif ukoll l-għarfien operazzjonali mill-ELA, jenfasizzaw riskji akbar ta’ sfruttament u abbuż tal-ħaddiema marbuta ma’ ktajjen tas-sottokuntrattar twal u kumplessi, kif ukoll ma’ forom frawdolenti ta’ intermedjazzjoni tax-xogħol</w:t>
      </w:r>
      <w:r w:rsidRPr="00291D96">
        <w:rPr>
          <w:rStyle w:val="FootnoteReference"/>
        </w:rPr>
        <w:footnoteReference w:id="18"/>
      </w:r>
      <w:r w:rsidRPr="00291D96">
        <w:t>;</w:t>
      </w:r>
    </w:p>
    <w:p w14:paraId="187FF757" w14:textId="77777777" w:rsidR="001A17F0" w:rsidRPr="00291D96" w:rsidRDefault="001A17F0" w:rsidP="001A17F0">
      <w:pPr>
        <w:pStyle w:val="NormalHanging12a"/>
      </w:pPr>
      <w:r w:rsidRPr="00291D96">
        <w:t>G.</w:t>
      </w:r>
      <w:r w:rsidRPr="00291D96">
        <w:tab/>
        <w:t>billi varjabbli komuni fil-biċċa l-kbira tas-setturi f’riskju għoli ta’ sfruttament tal-ħaddiema huwa l-intensità għolja tax-xogħol flimkien ma’ ktajjen ta’ sottokuntrattar twal u kumplessi, vertikalment u orizzontalment</w:t>
      </w:r>
      <w:r w:rsidRPr="00291D96">
        <w:rPr>
          <w:rStyle w:val="FootnoteReference"/>
        </w:rPr>
        <w:footnoteReference w:id="19"/>
      </w:r>
      <w:r w:rsidRPr="00291D96">
        <w:t xml:space="preserve">, li jimmina t-trasparenza, ir-rwol tas-sħab soċjali, il-ftehimiet kollettivi applikabbli u d-demokrazija fuq il-post tax-xogħol; billi s-setturi b’riskju għoli spiss ikunu assoċjati wkoll ma’ dipendenza qawwija mill-intermedjarji tax-xogħol, il-ħaddiema stazzjonati, il-ħaddiema mobbli tal-UE u n-nazzjonali mhux tal-UE; billi xi forom mhux standard ta’ impjieg u arranġamenti </w:t>
      </w:r>
      <w:r w:rsidRPr="00291D96">
        <w:lastRenderedPageBreak/>
        <w:t>transfruntiera kumplessi jistgħu jagħmlu r-responsabbiltajiet anqas distinti, jimpedixxu s-sensibilizzazzjoni u jikkumplikaw l-infurzar tal-liġi tax-xogħol applikabbli u l-ftehimiet kollettivi, kif ukoll il-kontrolli fuq il-permessi tax-xogħol, il-kontribuzzjonijiet tas-sigurtà soċjali, il-pagamenti tat-taxxa u l-identità tal-ħaddiema;</w:t>
      </w:r>
    </w:p>
    <w:p w14:paraId="004085A6" w14:textId="77777777" w:rsidR="001A17F0" w:rsidRPr="00291D96" w:rsidRDefault="001A17F0" w:rsidP="001A17F0">
      <w:pPr>
        <w:pStyle w:val="NormalHanging12a"/>
      </w:pPr>
      <w:r w:rsidRPr="00291D96">
        <w:t>H.</w:t>
      </w:r>
      <w:r w:rsidRPr="00291D96">
        <w:tab/>
        <w:t>billi n-nuqqas ta’ konformità mal-leġiżlazzjoni dwar is-saħħa u s-sikurezza okkupazzjonali huwa parti kostitwenti mill-isfruttament tal-ħaddiema, li jimmina l-approċċ Viżjoni Żero għall-imwiet relatati max-xogħol kif stabbilit fil-qafas strateġiku tal-UE dwar is-saħħa u s-sikurezza fuq il-post tax-xogħol 2021-2027 tal-Kummissjoni Ewropea; billi l-Konvenzjoni tal-ILO Nru 167 tassenja lill-kuntratturi prinċipali d-dmir li jikkoordinaw miżuri ta’ sikurezza u ta’ saħħa fuq il-post tax-xogħol;</w:t>
      </w:r>
    </w:p>
    <w:p w14:paraId="4653D7E5" w14:textId="77777777" w:rsidR="001A17F0" w:rsidRPr="00291D96" w:rsidRDefault="001A17F0" w:rsidP="001A17F0">
      <w:pPr>
        <w:pStyle w:val="NormalHanging12a"/>
      </w:pPr>
      <w:r w:rsidRPr="00291D96">
        <w:t>I.</w:t>
      </w:r>
      <w:r w:rsidRPr="00291D96">
        <w:tab/>
        <w:t>billi l-preżenza ta’ atturi frawdolenti u kriminali fil-postijiet tax-xogħol Ewropej tippreżenta wkoll riskji għas-sigurtà, b’mod partikolari meta taffettwa setturi kritiċi bħat-trasport u l-loġistika, il-kostruzzjoni, l-enerġija u l-kura tas-saħħa jew attivitajiet b’aċċess għal postijiet tax-xogħol sensittivi għas-sigurtà, b’mod partikolari t-tindif u l-manutenzjoni;</w:t>
      </w:r>
    </w:p>
    <w:p w14:paraId="198E3494" w14:textId="77777777" w:rsidR="001A17F0" w:rsidRPr="00291D96" w:rsidRDefault="001A17F0" w:rsidP="001A17F0">
      <w:pPr>
        <w:pStyle w:val="NormalHanging12a"/>
      </w:pPr>
      <w:r w:rsidRPr="00291D96">
        <w:t>J.</w:t>
      </w:r>
      <w:r w:rsidRPr="00291D96">
        <w:tab/>
        <w:t>billi, skont il-Kummissjoni</w:t>
      </w:r>
      <w:r w:rsidRPr="00291D96">
        <w:rPr>
          <w:rStyle w:val="FootnoteReference"/>
        </w:rPr>
        <w:footnoteReference w:id="20"/>
      </w:r>
      <w:r w:rsidRPr="00291D96">
        <w:t xml:space="preserve"> u rapport ta’ studju tal-każ</w:t>
      </w:r>
      <w:r w:rsidRPr="00291D96">
        <w:rPr>
          <w:rStyle w:val="FootnoteReference"/>
        </w:rPr>
        <w:footnoteReference w:id="21"/>
      </w:r>
      <w:r w:rsidRPr="00291D96">
        <w:t xml:space="preserve"> tal-ELA, l-istazzjonar ta’ ħaddiema minn pajjiżi terzi qed jiżdied, b’wieħed minn kull erba’ ħaddiema stazzjonati jkun nazzjonal ta’ pajjiż terz; billi l-ħaddiema mobbli u migranti, inklużi l-ħaddiema minn pajjiżi terzi, huma partikolarment vulnerabbli għall-isfruttament tal-ħaddiema u l-kriminalità relatata max-xogħol u spiss isibu ruħhom fi spiral ta’ dipendenza fir-rigward tal-viżi, it-tariffi eċċessivi ta’ reklutaġġ, l-arranġamenti tal-ivvjaġġar u l-akkomodazzjoni; billi n-nazzjonali ta’ pajjiżi terzi għandhom it-tendenza li jkollhom anqas probabbiltà li jorganizzaw u jingħaqdu ma’ unjoni u jesperjenzaw aktar diffikultajiet biex jaċċessaw is-sistema ġudizzjarja u jiddefendu d-drittijiet tagħhom;</w:t>
      </w:r>
    </w:p>
    <w:p w14:paraId="7F83BF18" w14:textId="77777777" w:rsidR="001A17F0" w:rsidRPr="00291D96" w:rsidRDefault="001A17F0" w:rsidP="001A17F0">
      <w:pPr>
        <w:pStyle w:val="NormalHanging12a"/>
      </w:pPr>
      <w:r w:rsidRPr="00291D96">
        <w:t>K.</w:t>
      </w:r>
      <w:r w:rsidRPr="00291D96">
        <w:tab/>
        <w:t>billi l-prattika frawdolenti ta’ “reklutaġġ għall-finijiet ta’ stazzjonar” qed tiżdied, fejn nazzjonali mhux tal-UE jiġu reklutati mhux biex jaħdmu fl-Istat Membru tal-impjieg, iżda unikament għall-fini li jiġu stazzjonati fi Stat Membru ieħor; billi l-ELA identifikat dan bħala sfida ta’ infurzar li qed tikber</w:t>
      </w:r>
      <w:r w:rsidRPr="00291D96">
        <w:rPr>
          <w:rStyle w:val="FootnoteReference"/>
        </w:rPr>
        <w:footnoteReference w:id="22"/>
      </w:r>
      <w:r w:rsidRPr="00291D96">
        <w:t>;</w:t>
      </w:r>
    </w:p>
    <w:p w14:paraId="7C46F7CC" w14:textId="77777777" w:rsidR="001A17F0" w:rsidRPr="00291D96" w:rsidRDefault="001A17F0" w:rsidP="001A17F0">
      <w:pPr>
        <w:pStyle w:val="NormalHanging12a"/>
      </w:pPr>
      <w:r w:rsidRPr="00291D96">
        <w:t>L.</w:t>
      </w:r>
      <w:r w:rsidRPr="00291D96">
        <w:tab/>
        <w:t>billi s-sottokuntrattar orizzontali u vertikali jikkostitwixxi prattika essenzjali f’ħafna setturi, b’mod partikolari fir-rigward ta’ proġetti fuq skala kbira, l-iffaċilitar ta’ aċċess flessibbli għal għarfien espert speċjalizzat u l-indirizzar ta’ ħtiġijiet speċifiċi b’mod kosteffettiv; billi s-sottokuntrattar huwa element importanti tax-xenarju tal-impjiegi, b’mod partikolari għall-SMEs u għall-mikrointrapriżi; billi s-sottokuntrattar jista’ jiġġenera valur miżjud għall-awtoritajiet kontraenti u jtejjeb l-effiċjenza u l-</w:t>
      </w:r>
      <w:r w:rsidRPr="00291D96">
        <w:lastRenderedPageBreak/>
        <w:t>innovazzjoni, b’mod partikolari f’setturi esposti għall-kompetizzjoni globali; billi s-sottokuntrattar mhuwiex problematiku b’mod inerenti, b’mod partikolari meta jkun hemm bżonn ta’ kompetenzi speċifiċi; billi sottokuntrattar li jiffunzjona tajjeb huwa importanti għall-kompetizzjoni ġusta fl-UE, b’mod partikolari għall-benefiċċju tal-SMEs; billi l-firxa tas-sottokuntrattar tvarja b’mod konsiderevoli bejn is-setturi u l-kumpaniji;</w:t>
      </w:r>
    </w:p>
    <w:p w14:paraId="499D4585" w14:textId="77777777" w:rsidR="001A17F0" w:rsidRPr="00291D96" w:rsidRDefault="001A17F0" w:rsidP="001A17F0">
      <w:pPr>
        <w:pStyle w:val="NormalHanging12a"/>
      </w:pPr>
      <w:r w:rsidRPr="00291D96">
        <w:t>M.</w:t>
      </w:r>
      <w:r w:rsidRPr="00291D96">
        <w:tab/>
        <w:t>billi ktajjen ta’ sottokuntrattar twal u kumplessi, madankollu, jistgħu jfixklu l-kompetizzjoni ġusta, joskuraw l-obbligu ta’ rendikont, jimminaw id-drittijiet tal-ħaddiema u jżidu r-riskji relatati mal-frodi, l-isfruttament tal-ħaddiema, l-infiltrazzjoni kriminali u s-saħħa u s-sikurezza okkupazzjonali tal-ħaddiema, speċjalment f’setturi b’riskju għoli u f’sitwazzjonijiet transfruntiera; billi f’ċerti każijiet, nuqqas ta’ trasparenza u sorveljanza f’arranġamenti estiżi ta’ sottokuntrattar jista’ jagħmilha aktar diffiċli għall-awtoritajiet kontraenti biex jiżguraw il-konformità mad-dritt tal-UE u nazzjonali applikabbli;</w:t>
      </w:r>
    </w:p>
    <w:p w14:paraId="3ADC12F7" w14:textId="2997B9BF" w:rsidR="001A17F0" w:rsidRPr="00291D96" w:rsidRDefault="005B5E8C" w:rsidP="001A17F0">
      <w:pPr>
        <w:pStyle w:val="NormalHanging12a"/>
      </w:pPr>
      <w:r>
        <w:t>N</w:t>
      </w:r>
      <w:r w:rsidR="001A17F0" w:rsidRPr="00291D96">
        <w:t>.</w:t>
      </w:r>
      <w:r w:rsidR="001A17F0" w:rsidRPr="00291D96">
        <w:tab/>
        <w:t xml:space="preserve">billi r-regoli li jirrestrinġu s-sottokuntrattar jista’ jkollhom impatt fuq il-ktajjen tal-valur tal-kumpaniji, b’mod partikolari f’setturi esposti għall-kompetizzjoni globali; billi tali miżuri jridu jkunu bbilanċjati mal-ħtieġa li jiġu protetti l-SMEs li joperaw f’setturi fejn ir-riskju ta’ sottokuntrattar abbużiv huwa baxx u, għall-kuntrarju tas-setturi b’riskju għoli, ma hemm l-ebda ħtieġa ta’ xi limitazzjoni tal-ktajjen tas-sottokuntrattar; billi r-responsabbiltà </w:t>
      </w:r>
      <w:r w:rsidR="001A17F0" w:rsidRPr="00291D96">
        <w:rPr>
          <w:i/>
          <w:iCs/>
        </w:rPr>
        <w:t>in solidum</w:t>
      </w:r>
      <w:r w:rsidR="001A17F0" w:rsidRPr="00291D96">
        <w:t xml:space="preserve"> fil-ktajjen tas-sottokuntrattar tissodisfa l-objettiv doppju li jiġi pprovdut rikors għall-ħaddiema li ġew sfruttati u li l-kuntratturi jiġu inċentivati tul il-katina kollha biex jillimitaw b’mod volontarju t-tul u l-kumplessità tas-sottokuntrattar;</w:t>
      </w:r>
    </w:p>
    <w:p w14:paraId="27D06ED7" w14:textId="3CBD8D68" w:rsidR="001A17F0" w:rsidRPr="00291D96" w:rsidRDefault="005B5E8C" w:rsidP="001A17F0">
      <w:pPr>
        <w:pStyle w:val="NormalHanging12a"/>
      </w:pPr>
      <w:r>
        <w:t>O</w:t>
      </w:r>
      <w:r w:rsidR="001A17F0" w:rsidRPr="00291D96">
        <w:t>.</w:t>
      </w:r>
      <w:r w:rsidR="001A17F0" w:rsidRPr="00291D96">
        <w:tab/>
        <w:t>billi xi Stati Membri adottaw leġiżlazzjoni li tillimita t-tul tal-ktajjen tas-sottokuntrattar jew tipprojbixxi s-sottokuntrattar kompletament f’ċerti setturi</w:t>
      </w:r>
      <w:r w:rsidR="001A17F0" w:rsidRPr="00291D96">
        <w:rPr>
          <w:rStyle w:val="FootnoteReference"/>
        </w:rPr>
        <w:footnoteReference w:id="23"/>
      </w:r>
      <w:r w:rsidR="001A17F0" w:rsidRPr="00291D96">
        <w:t>, li żied l-għadd ta’ ħaddiema impjegati direttament; billi l-Kummissjoni tqis li l-limitazzjoni tal-għadd ta’ livelli fil-ktajjen tas-sottokuntrattar u/jew l-estensjoni tar-responsabbiltà tas-sottokuntrattar għall-katina sħiħa jistgħu jgħinu lill-Istati Membri, bħala l-atturi responsabbli ewlenin għall-infurzar tar-regoli dwar l-istazzjonar tal-ħaddiema, u, meta applikabbli, is-sħab soċjali, biex tiżdied it-trasparenza u r-responsabbiltà fil-ktajjen tas-sottokuntrattar fuq bażi proporzjonata u mhux diskriminatorja</w:t>
      </w:r>
      <w:r w:rsidR="001A17F0" w:rsidRPr="00291D96">
        <w:rPr>
          <w:rStyle w:val="FootnoteReference"/>
        </w:rPr>
        <w:footnoteReference w:id="24"/>
      </w:r>
      <w:r w:rsidR="001A17F0" w:rsidRPr="00291D96">
        <w:t>; billi hemm ukoll xi intrapriżi li volontarjament irrestrinġew it-tul tal-ktajjen tas-sottokuntrattar tagħhom;</w:t>
      </w:r>
    </w:p>
    <w:p w14:paraId="0238F12C" w14:textId="4EE6B163" w:rsidR="001A17F0" w:rsidRPr="00291D96" w:rsidRDefault="005B5E8C" w:rsidP="001A17F0">
      <w:pPr>
        <w:pStyle w:val="NormalHanging12a"/>
      </w:pPr>
      <w:r>
        <w:t>P</w:t>
      </w:r>
      <w:r w:rsidR="001A17F0" w:rsidRPr="00291D96">
        <w:t>.</w:t>
      </w:r>
      <w:r w:rsidR="001A17F0" w:rsidRPr="00291D96">
        <w:tab/>
        <w:t>billi l-prattika tal-intermedjazzjoni tax-xogħol mhijiex definita fid-dritt tal-UE, bl-</w:t>
      </w:r>
      <w:r w:rsidR="001A17F0" w:rsidRPr="00291D96">
        <w:lastRenderedPageBreak/>
        <w:t>eċċezzjoni tax-xogħol temporanju permezz ta’ aġenzija</w:t>
      </w:r>
      <w:r w:rsidR="001A17F0" w:rsidRPr="00291D96">
        <w:rPr>
          <w:rStyle w:val="FootnoteReference"/>
        </w:rPr>
        <w:footnoteReference w:id="25"/>
      </w:r>
      <w:r w:rsidR="001A17F0" w:rsidRPr="00291D96">
        <w:t xml:space="preserve">; billi l-intermedjazzjoni tax-xogħol tista’ tieħu ħafna forom, li jvarjaw minn kumpaniji stabbiliti għal </w:t>
      </w:r>
      <w:proofErr w:type="spellStart"/>
      <w:r w:rsidR="001A17F0" w:rsidRPr="00291D96">
        <w:t>reklutaturi</w:t>
      </w:r>
      <w:proofErr w:type="spellEnd"/>
      <w:r w:rsidR="001A17F0" w:rsidRPr="00291D96">
        <w:t xml:space="preserve"> individwali; billi anke </w:t>
      </w:r>
      <w:proofErr w:type="spellStart"/>
      <w:r w:rsidR="001A17F0" w:rsidRPr="00291D96">
        <w:t>sensara</w:t>
      </w:r>
      <w:proofErr w:type="spellEnd"/>
      <w:r w:rsidR="001A17F0" w:rsidRPr="00291D96">
        <w:t xml:space="preserve"> informali u kapijiet ta’ gruppi organizzati jistgħu jinħbew bħala intermedjarji tax-xogħol;</w:t>
      </w:r>
    </w:p>
    <w:p w14:paraId="5D88C7E6" w14:textId="032FFE4E" w:rsidR="001A17F0" w:rsidRPr="00291D96" w:rsidRDefault="005B5E8C" w:rsidP="001A17F0">
      <w:pPr>
        <w:pStyle w:val="NormalHanging12a"/>
      </w:pPr>
      <w:r>
        <w:t>Q</w:t>
      </w:r>
      <w:r w:rsidR="001A17F0" w:rsidRPr="00291D96">
        <w:t>.</w:t>
      </w:r>
      <w:r w:rsidR="001A17F0" w:rsidRPr="00291D96">
        <w:tab/>
        <w:t xml:space="preserve">billi l-prattiki kummerċjali inġusti, inkluż ix-xiri taħt il-kost tal-produzzjoni sostenibbli, l-impożizzjoni ta’ żminijiet qosra ta’ tħejjija u l-ħlas tard, huma identifikati bħala fatturi ewlenin li jixprunaw </w:t>
      </w:r>
      <w:proofErr w:type="spellStart"/>
      <w:r w:rsidR="001A17F0" w:rsidRPr="00291D96">
        <w:t>lis</w:t>
      </w:r>
      <w:proofErr w:type="spellEnd"/>
      <w:r w:rsidR="001A17F0" w:rsidRPr="00291D96">
        <w:t>-sottokuntrattar abbużiv; billi l-SMEs li jipparteċipaw f’kuntratti pubbliċi permezz ta’ sottokuntrattar spiss isofru bħala riżultat ta’ pagamenti tard mill-kuntratturi ewlenin;</w:t>
      </w:r>
    </w:p>
    <w:p w14:paraId="6369B51F" w14:textId="633BB9EB" w:rsidR="001A17F0" w:rsidRPr="00291D96" w:rsidRDefault="005B5E8C" w:rsidP="001A17F0">
      <w:pPr>
        <w:pStyle w:val="NormalHanging12a"/>
      </w:pPr>
      <w:r>
        <w:t>R</w:t>
      </w:r>
      <w:r w:rsidR="001A17F0" w:rsidRPr="00291D96">
        <w:t>.</w:t>
      </w:r>
      <w:r w:rsidR="001A17F0" w:rsidRPr="00291D96">
        <w:tab/>
        <w:t xml:space="preserve">billi, f’setturi b’ħafna sottokuntrattar, il-prattika li jiġi żgurat li l-ħaddiema jżommu d-drittijiet u l-kundizzjonijiet tax-xogħol tagħhom meta jiġu trasferiti minħabba li jinbidel il-kuntrattur hija salvagwardja essenzjali biex tiġi żgurata l-istabbiltà tal-impjiegi, jiġu garantiti l-istandards tas-saħħa u s-sikurezza u jiġi </w:t>
      </w:r>
      <w:proofErr w:type="spellStart"/>
      <w:r w:rsidR="001A17F0" w:rsidRPr="00291D96">
        <w:t>pprevenut</w:t>
      </w:r>
      <w:proofErr w:type="spellEnd"/>
      <w:r w:rsidR="001A17F0" w:rsidRPr="00291D96">
        <w:t xml:space="preserve"> id-</w:t>
      </w:r>
      <w:proofErr w:type="spellStart"/>
      <w:r w:rsidR="001A17F0" w:rsidRPr="00291D96">
        <w:t>dumping</w:t>
      </w:r>
      <w:proofErr w:type="spellEnd"/>
      <w:r w:rsidR="001A17F0" w:rsidRPr="00291D96">
        <w:t xml:space="preserve"> soċjali;</w:t>
      </w:r>
    </w:p>
    <w:p w14:paraId="69564CB0" w14:textId="0558666F" w:rsidR="001A17F0" w:rsidRPr="00291D96" w:rsidRDefault="005B5E8C" w:rsidP="001A17F0">
      <w:pPr>
        <w:pStyle w:val="NormalHanging12a"/>
      </w:pPr>
      <w:r>
        <w:t>S</w:t>
      </w:r>
      <w:r w:rsidR="001A17F0" w:rsidRPr="00291D96">
        <w:t>.</w:t>
      </w:r>
      <w:r w:rsidR="001A17F0" w:rsidRPr="00291D96">
        <w:tab/>
        <w:t>billi xi każijiet ta’ intermedjarji tax-xogħol mhux regolati jew moħbija jintużaw biex jaħbu u jevitaw il-liġi tax-xogħol u r-responsabbiltà tal-impjegatur, b’mod partikolari f’setturi b’riskju għoli; billi l-prattiki abbużivi ta’ reklutaġġ u intermedjazzjoni huma spiss assoċjati mal-falsifikazzjoni jew maż-żamma ta’ informazzjoni, in-nuqqas ta’ għoti ta’ kuntratti bil-miktub, l-impożizzjoni ta’ tariffi ta’ reklutaġġ illeġittimi, it-tnaqqis ta’ kostijiet tal-akkomodazzjoni eċċessivi mill-pagi, l-impożizzjoni ta’ imposti fuq il-ħaddiema għat-trasport, taħriġ, tagħmir jew permessi tax-xogħol, il-konfiska ta’ passaporti jew l-involviment f’xogħol furzat jew prattiki kontra t-trade unions; billi spezzjonijiet tax-xogħol aħjar u mmirati jistgħu jgħinu fil-ġlieda kontra tali ksur;</w:t>
      </w:r>
    </w:p>
    <w:p w14:paraId="2EC8E164" w14:textId="2B5E76AF" w:rsidR="001A17F0" w:rsidRPr="00291D96" w:rsidRDefault="005B5E8C" w:rsidP="001A17F0">
      <w:pPr>
        <w:pStyle w:val="NormalHanging12a"/>
      </w:pPr>
      <w:r>
        <w:t>T</w:t>
      </w:r>
      <w:r w:rsidR="001A17F0" w:rsidRPr="00291D96">
        <w:t>.</w:t>
      </w:r>
      <w:r w:rsidR="001A17F0" w:rsidRPr="00291D96">
        <w:tab/>
        <w:t>billi b’rispons għal dawn l-isfidi, diversi pajjiżi tal-UE adottaw pjanijiet ta’ azzjoni u politiki nazzjonali li jfittxu li jiġġieldu l-isfruttament tal-ħaddiema, inkluż li tittieħed azzjoni biex jiġi indirizzat l-abbuż fil-ktajjen tas-sottokuntrattar u mill-intermedjarji tax-xogħol</w:t>
      </w:r>
      <w:r w:rsidR="001A17F0" w:rsidRPr="00291D96">
        <w:rPr>
          <w:rStyle w:val="FootnoteReference"/>
        </w:rPr>
        <w:footnoteReference w:id="26"/>
      </w:r>
      <w:r w:rsidR="001A17F0" w:rsidRPr="00291D96">
        <w:t>;</w:t>
      </w:r>
    </w:p>
    <w:p w14:paraId="6B7B90EB" w14:textId="61FBE08D" w:rsidR="001A17F0" w:rsidRPr="00291D96" w:rsidRDefault="005B5E8C" w:rsidP="001A17F0">
      <w:pPr>
        <w:pStyle w:val="NormalHanging12a"/>
      </w:pPr>
      <w:r>
        <w:t>U</w:t>
      </w:r>
      <w:r w:rsidR="001A17F0" w:rsidRPr="00291D96">
        <w:t>.</w:t>
      </w:r>
      <w:r w:rsidR="001A17F0" w:rsidRPr="00291D96">
        <w:tab/>
        <w:t>billi b’rispons għal dawn l-isfidi, is-sħab soċjali fil-livell tal-UE, dak nazzjonali u dak lokali, kif ukoll fil-livell settorjali u dak transsettorjali, ħadu miżuri biex jindirizzaw kwistjonijiet relatati mas-sottokuntrattar u l-intermedjazzjoni tax-xogħol abbużivi, inkluż permezz ta’ negozjar kollettiv, kif ukoll inizjattivi konġunti li jissalvagwardjaw l-intrapriżi serji u jipproteġu d-drittijiet tal-ħaddiema;</w:t>
      </w:r>
    </w:p>
    <w:p w14:paraId="7E736E2B" w14:textId="16E27E48" w:rsidR="001A17F0" w:rsidRPr="00291D96" w:rsidRDefault="005B5E8C" w:rsidP="001A17F0">
      <w:pPr>
        <w:pStyle w:val="NormalHanging12a"/>
      </w:pPr>
      <w:r>
        <w:t>V</w:t>
      </w:r>
      <w:r w:rsidR="001A17F0" w:rsidRPr="00291D96">
        <w:t>.</w:t>
      </w:r>
      <w:r w:rsidR="001A17F0" w:rsidRPr="00291D96">
        <w:tab/>
        <w:t>billi hemm stabbilita diġà leġiżlazzjoni speċifika li tirregola s-sottokuntrattar fl-</w:t>
      </w:r>
      <w:r w:rsidR="001A17F0" w:rsidRPr="00291D96">
        <w:lastRenderedPageBreak/>
        <w:t>avjazzjoni ċivili, inklużi l-kiri ta’ inġenji tal-ajru, l-ekwipaġġ, il-manutenzjoni u l-assigurazzjoni, magħrufa wkoll bħala “kiri bl-ekwipaġġ”; billi l-użu tal-kiri bl-ekwipaġġ żdied, anke lil hinn mill-użu maħsub tiegħu biex timtela l-kapaċità matul il-livelli massimi ta’ attività; billi l-Kummissjoni għandha tindirizza l-problemi relatati mal-kiri bl-ekwipaġġ fir-reviżjoni li jmiss tar-Regolament dwar is-Servizzi tal-Ajru</w:t>
      </w:r>
      <w:r w:rsidR="001A17F0" w:rsidRPr="00291D96">
        <w:rPr>
          <w:rStyle w:val="FootnoteReference"/>
        </w:rPr>
        <w:footnoteReference w:id="27"/>
      </w:r>
      <w:r w:rsidR="001A17F0" w:rsidRPr="00291D96">
        <w:t>;</w:t>
      </w:r>
    </w:p>
    <w:p w14:paraId="2D566FEB" w14:textId="0A1349B4" w:rsidR="001A17F0" w:rsidRPr="00291D96" w:rsidRDefault="005B5E8C" w:rsidP="001A17F0">
      <w:pPr>
        <w:pStyle w:val="NormalHanging12a"/>
      </w:pPr>
      <w:r>
        <w:t>W</w:t>
      </w:r>
      <w:r w:rsidR="001A17F0" w:rsidRPr="00291D96">
        <w:t>.</w:t>
      </w:r>
      <w:r w:rsidR="001A17F0" w:rsidRPr="00291D96">
        <w:tab/>
        <w:t xml:space="preserve">billi l-Kummissjoni tenfasizza l-Mudell Norveġiż ta’ </w:t>
      </w:r>
      <w:proofErr w:type="spellStart"/>
      <w:r w:rsidR="001A17F0" w:rsidRPr="00291D96">
        <w:t>Skien</w:t>
      </w:r>
      <w:proofErr w:type="spellEnd"/>
      <w:r w:rsidR="001A17F0" w:rsidRPr="00291D96">
        <w:rPr>
          <w:rStyle w:val="FootnoteReference"/>
        </w:rPr>
        <w:footnoteReference w:id="28"/>
      </w:r>
      <w:r w:rsidR="001A17F0" w:rsidRPr="00291D96">
        <w:t xml:space="preserve">, li ġie żviluppat b’mod konġunt bejn il-Muniċipalità ta’ </w:t>
      </w:r>
      <w:proofErr w:type="spellStart"/>
      <w:r w:rsidR="001A17F0" w:rsidRPr="00291D96">
        <w:t>Skien</w:t>
      </w:r>
      <w:proofErr w:type="spellEnd"/>
      <w:r w:rsidR="001A17F0" w:rsidRPr="00291D96">
        <w:t>, it-trade unions u l-organizzazzjonijiet tal-impjegaturi, u li jinkludi limitazzjonijiet stretti fuq saffi twal ta’ sottokuntrattar u approvazzjoni minn qabel tal-ħaddiema temporanji, bl-għan li jiġu żgurati l-obbligu ta’ rendikont u kundizzjonijiet tax-xogħol deċenti f’setturi b’riskju għoli;</w:t>
      </w:r>
    </w:p>
    <w:p w14:paraId="68104D6E" w14:textId="20FF450D" w:rsidR="001A17F0" w:rsidRPr="00291D96" w:rsidRDefault="005B5E8C" w:rsidP="001A17F0">
      <w:pPr>
        <w:pStyle w:val="NormalHanging12a"/>
      </w:pPr>
      <w:r>
        <w:t>X</w:t>
      </w:r>
      <w:r w:rsidR="001A17F0" w:rsidRPr="00291D96">
        <w:t>.</w:t>
      </w:r>
      <w:r w:rsidR="001A17F0" w:rsidRPr="00291D96">
        <w:tab/>
        <w:t xml:space="preserve">billi l-Istati Membri, il-Kummissjoni u s-sħab soċjali fid-Dikjarazzjoni ta’ La </w:t>
      </w:r>
      <w:proofErr w:type="spellStart"/>
      <w:r w:rsidR="001A17F0" w:rsidRPr="00291D96">
        <w:t>Hulpe</w:t>
      </w:r>
      <w:proofErr w:type="spellEnd"/>
      <w:r w:rsidR="001A17F0" w:rsidRPr="00291D96">
        <w:t xml:space="preserve"> impenjaw ruħhom li jagħtu attenzjoni speċjali lill-miżuri fl-oqsma tas-sottokuntrattar u tax-xogħol permezz ta’ aġenzija, u rrikonoxxew l-isfidi komuni li dawn iż-żewġ fenomeni jippreżentaw għas-swieq tax-xogħol Ewropej; billi r-rapport ta’ </w:t>
      </w:r>
      <w:proofErr w:type="spellStart"/>
      <w:r w:rsidR="001A17F0" w:rsidRPr="00291D96">
        <w:t>Letta</w:t>
      </w:r>
      <w:proofErr w:type="spellEnd"/>
      <w:r w:rsidR="001A17F0" w:rsidRPr="00291D96">
        <w:t xml:space="preserve"> jissottolinja l-ħtieġa urġenti li l-prattiki ta’ sottokuntrattar jiġu regolati sabiex jiġu pprevenuti l-isfruttament u l-abbuż; billi r-rapport iwissi li ktajjen ta’ sottokuntrattar mhux ikkontrollati jistgħu jwasslu għall-erożjoni tal-istandards tax-xogħol, id-</w:t>
      </w:r>
      <w:proofErr w:type="spellStart"/>
      <w:r w:rsidR="001A17F0" w:rsidRPr="00291D96">
        <w:t>dumping</w:t>
      </w:r>
      <w:proofErr w:type="spellEnd"/>
      <w:r w:rsidR="001A17F0" w:rsidRPr="00291D96">
        <w:t xml:space="preserve"> soċjali u l-imminar ta’ kompetizzjoni ġusta, kif ukoll ksur tal-obbligi relatati mas-saħħa u s-sikurezza;</w:t>
      </w:r>
    </w:p>
    <w:p w14:paraId="5477649A" w14:textId="7C08C236" w:rsidR="001A17F0" w:rsidRPr="00291D96" w:rsidRDefault="005B5E8C" w:rsidP="001A17F0">
      <w:pPr>
        <w:pStyle w:val="NormalHanging12a"/>
      </w:pPr>
      <w:r>
        <w:t>Y</w:t>
      </w:r>
      <w:r w:rsidR="001A17F0" w:rsidRPr="00291D96">
        <w:t>.</w:t>
      </w:r>
      <w:r w:rsidR="001A17F0" w:rsidRPr="00291D96">
        <w:tab/>
        <w:t>billi l-Artikolu 12(2) tad-Direttiva 2014/67/UE jirrikjedi li l-Istati Membri jintroduċu responsabbiltà tas-sottokuntrattar fil-kuntest tal-istazzjonar tal-ħaddiema fis-settur tal-kostruzzjoni, u l-Artikolu 12(1) joffri lill-Istati Membri l-possibbiltà li jestendu dan għal setturi oħra u jintroduċu regoli ta’ responsabbiltà aktar stretti;</w:t>
      </w:r>
    </w:p>
    <w:p w14:paraId="035B5A84" w14:textId="770F7E2F" w:rsidR="001A17F0" w:rsidRPr="00291D96" w:rsidRDefault="005B5E8C" w:rsidP="001A17F0">
      <w:pPr>
        <w:pStyle w:val="NormalHanging12a"/>
      </w:pPr>
      <w:r>
        <w:t>Z</w:t>
      </w:r>
      <w:r w:rsidR="001A17F0" w:rsidRPr="00291D96">
        <w:t>.</w:t>
      </w:r>
      <w:r w:rsidR="001A17F0" w:rsidRPr="00291D96">
        <w:tab/>
        <w:t>billi l-biċċa l-kbira tal-Istati Membri għandhom xi regoli stabbiliti rigward il-ktajjen tas-sottokuntrattar u l-intermedjarji tax-xogħol, filwaqt li jqisu l-ispeċifiċitajiet nazzjonali; billi l-livell ta’ regolamentazzjoni, madankollu, ivarja b’mod sinifikanti minn Stat Membru għal ieħor, u b’hekk joħloq frammentazzjoni fis-suq uniku; billi għad hemm sfidi minħabba interpretazzjonijiet differenti fir-rigward tal-applikazzjoni tar-regoli tas-suq intern dwar ir-regolamentazzjoni tal-ktajjen tas-sottokuntrattar u l-intermedjarji tax-xogħol; billi d-Direttiva 2014/24/UE ma tipprovdix lill-awtoritajiet kontraenti biżżejjed għodod biex b’mod effettiv jindirizzaw in-nuqqas ta’ eżekuzzjoni tal-kuntratti pubbliċi, u f’xi każijiet saħansitra tfixkel lill-awtoritajiet li jixtiequ jieħdu miżuri proattivi;</w:t>
      </w:r>
    </w:p>
    <w:p w14:paraId="62AC2303" w14:textId="2868D8EC" w:rsidR="001A17F0" w:rsidRPr="00291D96" w:rsidRDefault="005B5E8C" w:rsidP="001A17F0">
      <w:pPr>
        <w:pStyle w:val="NormalHanging12a"/>
      </w:pPr>
      <w:r>
        <w:t>AA</w:t>
      </w:r>
      <w:r w:rsidR="001A17F0" w:rsidRPr="00291D96">
        <w:t>.</w:t>
      </w:r>
      <w:r w:rsidR="001A17F0" w:rsidRPr="00291D96">
        <w:tab/>
        <w:t xml:space="preserve">billi l-ġlieda kontra x-xogħol mhux iddikjarat, it-traffikar tal-bnedmin u l-isfruttament tal-ħaddiema tirrikjedi spezzjonijiet tax-xogħol rigorużi, kontrolli transfruntiera u liċenzjar jew reġistrazzjoni effettivi tal-intermedjarji tax-xogħol; billi l-infurzar tar-regoli attwali u kooperazzjoni aħjar bejn l-Istati Membri jistgħu jgħinu biex jiġu indirizzati l-problemi assoċjati ma’ forom abbużivi ta’ sottokuntrattar u </w:t>
      </w:r>
      <w:r w:rsidR="001A17F0" w:rsidRPr="00291D96">
        <w:lastRenderedPageBreak/>
        <w:t>intermedjazzjoni tax-xogħol;</w:t>
      </w:r>
    </w:p>
    <w:p w14:paraId="00C8189D" w14:textId="77777777" w:rsidR="001A17F0" w:rsidRPr="00291D96" w:rsidRDefault="001A17F0" w:rsidP="001A17F0">
      <w:pPr>
        <w:pStyle w:val="NormalHanging12a"/>
        <w:rPr>
          <w:b/>
          <w:i/>
          <w:iCs/>
        </w:rPr>
      </w:pPr>
      <w:r w:rsidRPr="00291D96">
        <w:rPr>
          <w:b/>
          <w:i/>
        </w:rPr>
        <w:t>Prevenzjoni tal-isfruttament tal-ħaddiema</w:t>
      </w:r>
    </w:p>
    <w:p w14:paraId="1764EF71" w14:textId="77777777" w:rsidR="001A17F0" w:rsidRPr="00291D96" w:rsidRDefault="001A17F0" w:rsidP="001A17F0">
      <w:pPr>
        <w:pStyle w:val="NormalHanging12a"/>
      </w:pPr>
      <w:r w:rsidRPr="00291D96">
        <w:t>1.</w:t>
      </w:r>
      <w:r w:rsidRPr="00291D96">
        <w:tab/>
        <w:t>Jisħaq fuq il-ħtieġa ta’ approċċ komprensiv tal-UE biex jiġi indirizzat l-isfruttament tal-ħaddiema, inklużi x-xogħol illegali u l-kriminalità organizzata marbuta miegħu, kif ukoll forom abbużivi ta’ prattiki kummerċjali, b’mod partikolari s-sottokuntrattar abbużiv u l-intermedjazzjoni tax-xogħol; jitlob, għalhekk, strateġija tal-UE biex jiġu miġġielda dawn il-problemi, li l-impatt tagħhom jista’ jvarja bejn l-Istati Membri u s-setturi; jisħaq li l-isfruttament tal-ħaddiema mhuwiex biss ksur tad-drittijiet tal-ħaddiema u tad-drittijiet tal-bniedem, iżda jimmina wkoll il-kompetizzjoni ġusta għan-negozji; jilqa’, f’dan il-kuntest, l-impenn tal-Kummissjoni li tippreżenta pakkett ta’ mobbiltà ġusta fl-2026; ifakkar li l-objettivi ġenerali tat-tisħiħ tal-kompetittività tal-kumpaniji Ewropej, is-simplifikazzjoni u t-tnaqqis tal-piżijiet amministrattivi bla bżonn ma jridux iwasslu għal livell aktar baxx ta’ protezzjoni tal-ħaddiema; jisħaq fuq il-ħtieġa ta’ infurzar aktar b’saħħtu tal-liġijiet tax-xogħol attwali biex jiġu żgurati l-protezzjoni effettiva tad-drittijiet tal-ħaddiema u kundizzjonijiet ekwi fis-suq uniku;</w:t>
      </w:r>
    </w:p>
    <w:p w14:paraId="16428291" w14:textId="77777777" w:rsidR="001A17F0" w:rsidRPr="00291D96" w:rsidRDefault="001A17F0" w:rsidP="001A17F0">
      <w:pPr>
        <w:pStyle w:val="NormalHanging12a"/>
      </w:pPr>
      <w:r w:rsidRPr="00291D96">
        <w:t>2.</w:t>
      </w:r>
      <w:r w:rsidRPr="00291D96">
        <w:tab/>
        <w:t xml:space="preserve">Ifakkar fl-isfidi ffaċċjati minn xi Stati Membri, minħabba interpretazzjonijiet differenti tar-regoli tas-suq uniku, sabiex jirregolaw is-sottokuntrattar fil-livell nazzjonali, pereżempju, billi jillimitaw it-tul tal-ktajjen tas-sottokuntrattar, ir-responsabbiltà </w:t>
      </w:r>
      <w:r w:rsidRPr="00291D96">
        <w:rPr>
          <w:i/>
          <w:iCs/>
        </w:rPr>
        <w:t>in solidum</w:t>
      </w:r>
      <w:r w:rsidRPr="00291D96">
        <w:t xml:space="preserve"> u r-rekwiżiti għall-impjieg dirett; jistieden lill-Kummissjoni tiċċara l-possibbiltajiet għall-Istati Membri li jadottaw leġiżlazzjoni li tkun proporzjonata biex tindirizza r-riskji u l-problemi li jirriżultaw minn ktajjen ta’ sottokuntrattar twal u kumplessi; jistieden lill-Kummissjoni tintensifika l-isforzi biex tiġġieled l-isfruttament tal-ħaddiema;</w:t>
      </w:r>
    </w:p>
    <w:p w14:paraId="2915B3FF" w14:textId="234C8661" w:rsidR="001A17F0" w:rsidRPr="00291D96" w:rsidRDefault="001E5744" w:rsidP="001A17F0">
      <w:pPr>
        <w:pStyle w:val="NormalHanging12a"/>
      </w:pPr>
      <w:r>
        <w:t>3</w:t>
      </w:r>
      <w:r w:rsidR="001A17F0" w:rsidRPr="00291D96">
        <w:t>.</w:t>
      </w:r>
      <w:r w:rsidR="001A17F0" w:rsidRPr="00291D96">
        <w:tab/>
        <w:t>Itenni t-talba tiegħu lill-Kummissjoni, sabiex jintemm is-sottokuntrattar abbużiv u jiġu protetti d-drittijiet tal-ħaddiema, issaħħaħ it-trasparenza u l-obbligu ta’ rendikont tul il-katina tal-provvista</w:t>
      </w:r>
      <w:r w:rsidR="001A17F0" w:rsidRPr="00291D96">
        <w:rPr>
          <w:rStyle w:val="FootnoteReference"/>
        </w:rPr>
        <w:footnoteReference w:id="29"/>
      </w:r>
      <w:r w:rsidR="001A17F0" w:rsidRPr="00291D96">
        <w:t>;</w:t>
      </w:r>
    </w:p>
    <w:p w14:paraId="40A700BC" w14:textId="49CC0AA2" w:rsidR="001A17F0" w:rsidRPr="00291D96" w:rsidRDefault="001E5744" w:rsidP="001A17F0">
      <w:pPr>
        <w:pStyle w:val="NormalHanging12a"/>
      </w:pPr>
      <w:r>
        <w:t>4</w:t>
      </w:r>
      <w:r w:rsidR="001A17F0" w:rsidRPr="00291D96">
        <w:t>.</w:t>
      </w:r>
      <w:r w:rsidR="001A17F0" w:rsidRPr="00291D96">
        <w:tab/>
        <w:t xml:space="preserve">Jisħaq li kwalunkwe inizjattiva fil-livell tal-UE li tfittex li tindirizza l-isfruttament tal-ħaddiema u l-ktajjen kumplessi ta’ sottokuntrattar għandha tqis l-aħjar prattiki tal-Istati Membri, tiġi żviluppata f’kooperazzjoni mill-qrib mas-sħab soċjali, inklużi l-kumitati Ewropej għad-djalogu soċjali settorjali (CDSS), u titfassal skont realtajiet settorjali speċifiċi; ifakkar li kwalunkwe miżura u inizjattiva speċifika għas-settur, inkluża r-responsabbiltà </w:t>
      </w:r>
      <w:r w:rsidR="001A17F0" w:rsidRPr="00291D96">
        <w:rPr>
          <w:i/>
          <w:iCs/>
        </w:rPr>
        <w:t>in solidum</w:t>
      </w:r>
      <w:r w:rsidR="001A17F0" w:rsidRPr="00291D96">
        <w:t xml:space="preserve"> f’setturi b’riskju għoli, trid tkun konformi mad-dritt tal-UE u ma toħloqx ostakli bla bżonn għall-attivitajiet kummerċjali transfruntiera; jissottolinja li miżuri u inizjattivi speċifiċi għas-settur jistgħu jipprevedu wkoll rekwiżiti regolatorji aktar baxxi għall-kumpaniji f’setturi b’riskju baxx;</w:t>
      </w:r>
    </w:p>
    <w:p w14:paraId="61D40C3E" w14:textId="33C0C910" w:rsidR="001A17F0" w:rsidRPr="00291D96" w:rsidRDefault="001E5744" w:rsidP="001A17F0">
      <w:pPr>
        <w:pStyle w:val="NormalHanging12a"/>
      </w:pPr>
      <w:r>
        <w:t>5</w:t>
      </w:r>
      <w:r w:rsidR="001A17F0" w:rsidRPr="00291D96">
        <w:t>.</w:t>
      </w:r>
      <w:r w:rsidR="001A17F0" w:rsidRPr="00291D96">
        <w:tab/>
        <w:t xml:space="preserve">Jirrimarka li l-prinċipju ta’ responsabbiltà </w:t>
      </w:r>
      <w:r w:rsidR="001A17F0" w:rsidRPr="00291D96">
        <w:rPr>
          <w:i/>
          <w:iCs/>
        </w:rPr>
        <w:t>in solidum</w:t>
      </w:r>
      <w:r w:rsidR="001A17F0" w:rsidRPr="00291D96">
        <w:t xml:space="preserve"> huwa mod kif jiġi żgurat li l-kuntrattur ewlieni jerfa’ r-responsabbiltà ġenerali għas-servizzi pprovduti fil-katina kollha tas-sottokuntratturi; iqis li tali prinċipju jista’ jiżgura li l-kwalità, il-prestazzjoni u l-konformità mal-istandards tax-xogħol, soċjali u tas-sikurezza jiġu ggarantiti kuntrattwalment f’kull livell tal-katina tas-sottokuntrattar; jinnota li diversi Stati Membri ddeċidew li jadottaw regoli ta’ responsabbiltà aktar stretti fil-ktajjen tas-</w:t>
      </w:r>
      <w:r w:rsidR="001A17F0" w:rsidRPr="00291D96">
        <w:lastRenderedPageBreak/>
        <w:t>sottokuntrattar mill-minimu stabbilit fl-Artikolu 12 tad-Direttiva 2014/67/UE;</w:t>
      </w:r>
    </w:p>
    <w:p w14:paraId="1EE683E3" w14:textId="05EE26FC" w:rsidR="001A17F0" w:rsidRPr="00291D96" w:rsidRDefault="001E5744" w:rsidP="001A17F0">
      <w:pPr>
        <w:pStyle w:val="NormalHanging12a"/>
      </w:pPr>
      <w:r>
        <w:t>6</w:t>
      </w:r>
      <w:r w:rsidR="001A17F0" w:rsidRPr="00291D96">
        <w:t>.</w:t>
      </w:r>
      <w:r w:rsidR="001A17F0" w:rsidRPr="00291D96">
        <w:tab/>
        <w:t>Jistieden lill-Kummissjoni u lill-Istati Membri jindirizzaw prattiki li bihom il-kuntrattur ewlieni jissottokuntratta x-xogħol kollu mingħajr ma jwettaq l-ebda xogħol huwa stess, magħruf ukoll bħala “sottokuntrattar finanzjarju”; jissottolinja li l-kuntratturi ewlenin għandhom iwettqu parti definita ta’ kuntratt huma stess; itenni, f’dan il-kuntest, it-talba tiegħu lill-Kummissjoni biex tivvaluta l-impatt ta’ kuntratti pubbliċi li jitwettqu prinċipalment mill-ħaddiema diretti tal-offerent rebbieħ u jirrakkomanda li r-regoli fil-qasam tal-akkwist pubbliku jħeġġu lill-kumpaniji jkollhom biżżejjed persunal intern biex jimplimentaw il-proġetti li għalihom jingħataw kuntratti pubbliċi</w:t>
      </w:r>
      <w:r w:rsidR="001A17F0" w:rsidRPr="00291D96">
        <w:rPr>
          <w:rStyle w:val="FootnoteReference"/>
        </w:rPr>
        <w:footnoteReference w:id="30"/>
      </w:r>
      <w:r w:rsidR="001A17F0" w:rsidRPr="00291D96">
        <w:t>;</w:t>
      </w:r>
    </w:p>
    <w:p w14:paraId="0C5E5B62" w14:textId="690FFA90" w:rsidR="001A17F0" w:rsidRPr="00291D96" w:rsidRDefault="001E5744" w:rsidP="001A17F0">
      <w:pPr>
        <w:pStyle w:val="NormalHanging12a"/>
      </w:pPr>
      <w:r>
        <w:t>7</w:t>
      </w:r>
      <w:r w:rsidR="001A17F0" w:rsidRPr="00291D96">
        <w:t>.</w:t>
      </w:r>
      <w:r w:rsidR="001A17F0" w:rsidRPr="00291D96">
        <w:tab/>
        <w:t>Jistieden lill-Kummissjoni u lill-Istati Membri jindirizzaw il-prattiki illegali fil-ktajjen tas-sottokuntrattar sabiex jiżguraw il-kompetittività tan-negozju u kundizzjonijiet tax-xogħol ġusti u sikuri; jinkoraġġixxi, f’dan il-kuntest, relazzjonijiet ta’ impjieg diretti f’setturi b’riskju għoli, meta fattibbli, ġustifikati, proporzjonati u bbażati fuq raġunijiet prevalenti ta’ interess pubbliku, bħall-protezzjoni tal-ħaddiema u d-drittijiet tagħhom;</w:t>
      </w:r>
    </w:p>
    <w:p w14:paraId="1AE46FC2" w14:textId="250C65EB" w:rsidR="001A17F0" w:rsidRPr="00291D96" w:rsidRDefault="001E5744" w:rsidP="001A17F0">
      <w:pPr>
        <w:pStyle w:val="NormalHanging12a"/>
      </w:pPr>
      <w:r>
        <w:t>8</w:t>
      </w:r>
      <w:r w:rsidR="001A17F0" w:rsidRPr="00291D96">
        <w:t>.</w:t>
      </w:r>
      <w:r w:rsidR="001A17F0" w:rsidRPr="00291D96">
        <w:tab/>
        <w:t>Jistieden lill-Kummissjoni u lill-Istati Membri jinkoraġġixxu l-inklużjoni ta’ dispożizzjonijiet ta’ benefiċċju komunitarju fl-akkwist pubbliku u fi proġetti ffinanzjati mill-UE, bħar-rekwiżit li l-kuntratturi u s-sottokuntratturi jikkontribwixxu għall-iżvilupp tal-ħiliet lokali jew għal inizjattivi ta’ inklużjoni soċjali, u b’hekk jinħolqu effetti konsegwenzjali pożittivi mill-investimenti pubbliċi;</w:t>
      </w:r>
    </w:p>
    <w:p w14:paraId="48A01EF2" w14:textId="67AEA8A8" w:rsidR="001A17F0" w:rsidRPr="00291D96" w:rsidRDefault="001E5744" w:rsidP="001A17F0">
      <w:pPr>
        <w:pStyle w:val="NormalHanging12a"/>
      </w:pPr>
      <w:r>
        <w:t>9</w:t>
      </w:r>
      <w:r w:rsidR="001A17F0" w:rsidRPr="00291D96">
        <w:t>.</w:t>
      </w:r>
      <w:r w:rsidR="001A17F0" w:rsidRPr="00291D96">
        <w:tab/>
        <w:t>Jenfasizza li l-inizjattivi nazzjonali u reġjonali li jillimitaw il-livelli ta’ sottokuntrattar spiss inbdew b’mod konġunt mis-sħab soċjali, inklużi r-rappreżentanti tal-SMEs; jisħaq li inizjattivi bħal dawn għandhom jiġu rispettati, filwaqt li l-limitazzjonijiet għas-sottokuntrattar iridu jkunu proporzjonati;</w:t>
      </w:r>
    </w:p>
    <w:p w14:paraId="41D00FF7" w14:textId="53EBDA8E" w:rsidR="001A17F0" w:rsidRPr="00291D96" w:rsidRDefault="001E5744" w:rsidP="001A17F0">
      <w:pPr>
        <w:pStyle w:val="NormalHanging12a"/>
      </w:pPr>
      <w:r>
        <w:t>10</w:t>
      </w:r>
      <w:r w:rsidR="001A17F0" w:rsidRPr="00291D96">
        <w:t>.</w:t>
      </w:r>
      <w:r w:rsidR="001A17F0" w:rsidRPr="00291D96">
        <w:tab/>
        <w:t>Jinnota li t-tul u l-kumplessità tal-ktajjen tas-sottokuntrattar joħolqu sfida sinifikanti għall-ispettorati tax-xogħol fl-istabbiliment tar-responsabbiltà legali għall-ksur tal-liġi tax-xogħol, li jeħtieġ li tiġi indirizzata;;</w:t>
      </w:r>
    </w:p>
    <w:p w14:paraId="66015FB4" w14:textId="1A2C6184" w:rsidR="001A17F0" w:rsidRPr="00291D96" w:rsidRDefault="001E5744" w:rsidP="001A17F0">
      <w:pPr>
        <w:pStyle w:val="NormalHanging12a"/>
      </w:pPr>
      <w:r>
        <w:t>11</w:t>
      </w:r>
      <w:r w:rsidR="001A17F0" w:rsidRPr="00291D96">
        <w:t>.</w:t>
      </w:r>
      <w:r w:rsidR="001A17F0" w:rsidRPr="00291D96">
        <w:tab/>
        <w:t>Jisħaq fuq l-importanza li jiġu inklużi dispożizzjonijiet sensittivi għal kwistjonijiet ta’ ġeneru fi kwalunkwe qafas ġdid;</w:t>
      </w:r>
    </w:p>
    <w:p w14:paraId="5DC16896" w14:textId="33A5B5F5" w:rsidR="001A17F0" w:rsidRPr="00291D96" w:rsidRDefault="001E5744" w:rsidP="001A17F0">
      <w:pPr>
        <w:pStyle w:val="NormalHanging12a"/>
      </w:pPr>
      <w:r>
        <w:t>12</w:t>
      </w:r>
      <w:r w:rsidR="001A17F0" w:rsidRPr="00291D96">
        <w:t>.</w:t>
      </w:r>
      <w:r w:rsidR="001A17F0" w:rsidRPr="00291D96">
        <w:tab/>
        <w:t>Jissottolinja li, sabiex tiġi limitata l-frammentazzjoni tas-suq uniku, is-setturi b’riskju għoli għandhom jiġu definiti mill-Kummissjoni f’kooperazzjoni mill-qrib mal-Istati Membri u s-sħab soċjali, inkluż is-CDSS; jisħaq li l-Istati Membri jistgħu jitolbu lill-Kummissjoni tippermettilhom jaġġustaw il-lista komuni ta’ setturi b’riskju għoli għas-sitwazzjoni nazzjonali speċifika tagħhom, meta meħtieġ, sabiex jiġi żgurat l-aħjar approċċ possibbli biex jiġu indirizzati s-sottokuntrattar abbużiv, l-isfruttament tal-ħaddiema u l-kriminalità relatata max-xogħol; jissottolinja li kwalunkwe identifikazzjoni u aġġustament ta’ setturi b’riskju għoli għandhom ikunu bbażati fuq data preċiża u aġġornata;</w:t>
      </w:r>
    </w:p>
    <w:p w14:paraId="5FD6276B" w14:textId="774249E6" w:rsidR="001A17F0" w:rsidRPr="00291D96" w:rsidRDefault="001E5744" w:rsidP="001A17F0">
      <w:pPr>
        <w:pStyle w:val="NormalHanging12a"/>
      </w:pPr>
      <w:r>
        <w:t>13</w:t>
      </w:r>
      <w:r w:rsidR="001A17F0" w:rsidRPr="00291D96">
        <w:t>.</w:t>
      </w:r>
      <w:r w:rsidR="001A17F0" w:rsidRPr="00291D96">
        <w:tab/>
        <w:t xml:space="preserve">Jinnota li s-sottokuntrattar ta’ attivitajiet kummerċjali ewlenin jista’ jwassal għal postijiet tax-xogħol frammentati u mhux sikuri, għal tnaqqis fit-trasparenza u l-obbligu ta’ rendikont, u għal esponiment akbar tal-ħaddiema għal sigħat itwal, pagi aktar baxxi </w:t>
      </w:r>
      <w:r w:rsidR="001A17F0" w:rsidRPr="00291D96">
        <w:lastRenderedPageBreak/>
        <w:t>u ksur ieħor tal-liġi tax-xogħol, kif ukoll nuqqas ta’ sigurtà u prekarjetà tal-impjiegi</w:t>
      </w:r>
      <w:r w:rsidR="001A17F0" w:rsidRPr="00291D96">
        <w:rPr>
          <w:rStyle w:val="FootnoteReference"/>
        </w:rPr>
        <w:footnoteReference w:id="31"/>
      </w:r>
      <w:r w:rsidR="001A17F0" w:rsidRPr="00291D96">
        <w:t>; jisħaq li, f’konformità mad-Direttiva 2002/14/KE</w:t>
      </w:r>
      <w:r w:rsidR="001A17F0" w:rsidRPr="00291D96">
        <w:rPr>
          <w:rStyle w:val="FootnoteReference"/>
        </w:rPr>
        <w:footnoteReference w:id="32"/>
      </w:r>
      <w:r w:rsidR="001A17F0" w:rsidRPr="00291D96">
        <w:t>, ir-rappreżentanti tal-impjegati jeħtiġilhom jiġu infurmati u kkonsultati dwar deċiżjonijiet li x’aktarx iwasslu għal bidliet sostanzjali fl-organizzazzjoni tax-xogħol jew fir-relazzjonijiet kuntrattwali; jistieden lill-Kummissjoni u lill-Istati Membri jiżguraw il-prinċipju ta’ trattament ugwali, kif ukoll kundizzjonijiet tax-xogħol deċenti għall-ħaddiema kollha;</w:t>
      </w:r>
    </w:p>
    <w:p w14:paraId="35B32769" w14:textId="4519EAD9" w:rsidR="001A17F0" w:rsidRPr="00291D96" w:rsidRDefault="001E5744" w:rsidP="001A17F0">
      <w:pPr>
        <w:pStyle w:val="NormalHanging12a"/>
      </w:pPr>
      <w:r>
        <w:t>14</w:t>
      </w:r>
      <w:r w:rsidR="001A17F0" w:rsidRPr="00291D96">
        <w:t>.</w:t>
      </w:r>
      <w:r w:rsidR="001A17F0" w:rsidRPr="00291D96">
        <w:tab/>
        <w:t xml:space="preserve">Jinsab imħasseb dwar in-nuqqas ta’ ċarezza tad-dritt fir-rigward tad-differenzjazzjoni bejn stazzjonar ġenwin u frawdolenti ta’ nazzjonali mhux tal-UE, kif ukoll l-abbuż tad-dritt tal-UE fil-forniment ta’ servizzi biex jiġu evitati r-regoli tal-migrazzjoni u l-liġi nazzjonali tax-xogħol; jisħaq li l-istazzjonar frawdolenti jdgħajjef in-nisġa soċjali tas-suq uniku u jisfrutta s-sitwazzjonijiet tal-persuni l-aktar vulnerabbli; jistieden lill-Kummissjoni, f’konformità mar-rapport ta’ </w:t>
      </w:r>
      <w:proofErr w:type="spellStart"/>
      <w:r w:rsidR="001A17F0" w:rsidRPr="00291D96">
        <w:t>Letta</w:t>
      </w:r>
      <w:proofErr w:type="spellEnd"/>
      <w:r w:rsidR="001A17F0" w:rsidRPr="00291D96">
        <w:t xml:space="preserve">, tirrieżamina l-isfidi tal-infurzar, speċjalment f’termini ta’ kooperazzjoni transfruntiera, u tieħu miżuri xierqa biex ittemm l-istazzjonar mingħajr ebda konnessjoni ġenwina tal-ħaddiema mal-Istat Membru mittenti; ifakkar fil-konklużjoni ġenerali tar-rapporti ta’ </w:t>
      </w:r>
      <w:proofErr w:type="spellStart"/>
      <w:r w:rsidR="001A17F0" w:rsidRPr="00291D96">
        <w:t>Letta</w:t>
      </w:r>
      <w:proofErr w:type="spellEnd"/>
      <w:r w:rsidR="001A17F0" w:rsidRPr="00291D96">
        <w:t xml:space="preserve"> u ta’ </w:t>
      </w:r>
      <w:proofErr w:type="spellStart"/>
      <w:r w:rsidR="001A17F0" w:rsidRPr="00291D96">
        <w:t>Draghi</w:t>
      </w:r>
      <w:proofErr w:type="spellEnd"/>
      <w:r w:rsidR="001A17F0" w:rsidRPr="00291D96">
        <w:t xml:space="preserve"> dwar il-ħtieġa li tissaħħaħ il-kompetittività tas-suq uniku;</w:t>
      </w:r>
    </w:p>
    <w:p w14:paraId="34FBC46E" w14:textId="0E536F10" w:rsidR="001A17F0" w:rsidRPr="00291D96" w:rsidRDefault="001E5744" w:rsidP="001A17F0">
      <w:pPr>
        <w:pStyle w:val="NormalHanging12a"/>
      </w:pPr>
      <w:r>
        <w:t>15</w:t>
      </w:r>
      <w:r w:rsidR="001A17F0" w:rsidRPr="00291D96">
        <w:t>.</w:t>
      </w:r>
      <w:r w:rsidR="001A17F0" w:rsidRPr="00291D96">
        <w:tab/>
        <w:t>Jinnota bi tħassib ir-riskji relatati mal-istazzjonar meta kkombinati ma’ forom abbużivi ta’ sottokuntrattar u intermedjazzjoni tax-xogħol; jistieden lill-ELA teżamina l-użu tal-intermedjarji tax-xogħol fl-istazzjonar, inkluż ir-riskju li dawn l-arranġamenti jintużaw biex jiġu evitati l-obbligazzjonijiet, jiġu evitati l-obbligi tas-sigurtà soċjali u jitnaqqsu l-istandards tas-saħħa u s-sikurezza; jistieden lill-Kummissjoni tindirizza kwalunkwe abbuż possibbli tad-Direttiva dwar Xogħol Temporanju permezz ta’ Aġenzija</w:t>
      </w:r>
      <w:r w:rsidR="001A17F0" w:rsidRPr="00291D96">
        <w:rPr>
          <w:rStyle w:val="FootnoteReference"/>
        </w:rPr>
        <w:footnoteReference w:id="33"/>
      </w:r>
      <w:r w:rsidR="001A17F0" w:rsidRPr="00291D96">
        <w:t xml:space="preserve"> fil-kuntest tal-istazzjonar tal-ħaddiema;</w:t>
      </w:r>
    </w:p>
    <w:p w14:paraId="39AB8F45" w14:textId="31D85F54" w:rsidR="001A17F0" w:rsidRPr="00291D96" w:rsidRDefault="001E5744" w:rsidP="001A17F0">
      <w:pPr>
        <w:pStyle w:val="NormalHanging12a"/>
      </w:pPr>
      <w:r>
        <w:t>16</w:t>
      </w:r>
      <w:r w:rsidR="001A17F0" w:rsidRPr="00291D96">
        <w:t>.</w:t>
      </w:r>
      <w:r w:rsidR="001A17F0" w:rsidRPr="00291D96">
        <w:tab/>
        <w:t xml:space="preserve">Jisħaq li l-akkomodazzjoni pprovduta lil ħaddiem minn impjegatur jew intermedjarju tax-xogħol trid tikkonforma mal-istandards applikabbli tal-kwalità, tal-iġjene u tas-sikurezza; jissottolinja li l-kera għal tali akkomodazzjoni trid tkun proporzjonata u mhux diskriminatorja; jitlob l-integrazzjoni tal-ispezzjonijiet tal-akkomodazzjoni fl-ispezzjonijiet tax-xogħol f’setturi b’riskju għoli sabiex l-impjegaturi jew l-intermedjarji ma jitħallewx jipprovdu lill-ħaddiema b’akkomodazzjoni degradanti, mhux sikura jew </w:t>
      </w:r>
      <w:proofErr w:type="spellStart"/>
      <w:r w:rsidR="001A17F0" w:rsidRPr="00291D96">
        <w:t>iffullata</w:t>
      </w:r>
      <w:proofErr w:type="spellEnd"/>
      <w:r w:rsidR="001A17F0" w:rsidRPr="00291D96">
        <w:t xml:space="preserve"> żżejjed; jisħaq li d-dispożizzjonijiet kuntrattwali li jirregolaw l-akkomodazzjoni ta’ ħaddiem ma jridux iwasslu għal sitwazzjonijiet prekarji ta’ akkomodazzjoni jekk ir-relazzjoni ta’ impjieg tiġi tterminata;</w:t>
      </w:r>
    </w:p>
    <w:p w14:paraId="05A425B5" w14:textId="54CDDAED" w:rsidR="001A17F0" w:rsidRPr="00291D96" w:rsidRDefault="001E5744" w:rsidP="001A17F0">
      <w:pPr>
        <w:pStyle w:val="NormalHanging12a"/>
      </w:pPr>
      <w:r>
        <w:t>17</w:t>
      </w:r>
      <w:r w:rsidR="001A17F0" w:rsidRPr="00291D96">
        <w:t>.</w:t>
      </w:r>
      <w:r w:rsidR="001A17F0" w:rsidRPr="00291D96">
        <w:tab/>
        <w:t>Jistieden lill-Kummissjoni taħdem mal-Istati Membri biex jiġu żgurati l-</w:t>
      </w:r>
      <w:r w:rsidR="001A17F0" w:rsidRPr="00291D96">
        <w:lastRenderedPageBreak/>
        <w:t>implimentazzjoni u l-infurzar effiċjenti tal-leġiżlazzjoni attwali dwar l-istazzjonar tal-ħaddiema; ifakkar li l-UE adottat għadd ta’ strumenti legali biex tiġġieled l-isfruttament tal-ħaddiema u x-xogħol illegali, li l-infurzar tagħhom jeħtieġ li jittejjeb fil-livell nazzjonali; jistieden lill-Kummissjoni tqis is-sitwazzjoni, tiżgura l-implimentazzjoni u l-infurzar effiċjenti u effettivi tal-istrumenti legali rilevanti mill-Istati Membri u tniedi, meta meħtieġ, proċeduri ta’ ksur kontra l-Istati Membri li ma jikkonformawx mad-dritt applikabbli tal-UE;</w:t>
      </w:r>
    </w:p>
    <w:p w14:paraId="054749DA" w14:textId="626CF5F7" w:rsidR="001A17F0" w:rsidRPr="00291D96" w:rsidRDefault="001E5744" w:rsidP="001A17F0">
      <w:pPr>
        <w:pStyle w:val="NormalHanging12a"/>
      </w:pPr>
      <w:r>
        <w:t>18</w:t>
      </w:r>
      <w:r w:rsidR="001A17F0" w:rsidRPr="00291D96">
        <w:t>.</w:t>
      </w:r>
      <w:r w:rsidR="001A17F0" w:rsidRPr="00291D96">
        <w:tab/>
        <w:t>Jenfasizza l-valur miżjud tar-reġistri pubbliċi u interoperabbli tal-intermedjarji tax-xogħol liċenzjati; jissottolinja li kwalunkwe liċenzjar jew reġistrazzjoni għandha tkun soġġetta għal kriterji minimi ta’ integrità; jistieden lill-Kummissjoni tqis il-prattiki u l-leġiżlazzjoni nazzjonali dwar l-intermedjarji tax-xogħol u tiżgura li l-intermedjarji tax-xogħol li joperaw fl-UE ma jimponu l-ebda tariffa jew jgħaddu kwalunkwe kost lill-ħaddiema, direttament jew indirettament, kompletament jew parzjalment; jissottolinja li l-intermedjarji tax-xogħol li jiksru l-liġi applikabbli jew il-ftehimiet kollettivi għandhom jirċievu sanzjonijiet dissważivi, bħat-tneħħija tagħhom mir-reġistri pubbliċi u l-esklużjoni tagħhom mill-kuntratti pubbliċi;</w:t>
      </w:r>
    </w:p>
    <w:p w14:paraId="1AE8F369" w14:textId="0924F25B" w:rsidR="001A17F0" w:rsidRPr="00291D96" w:rsidRDefault="001E5744" w:rsidP="001A17F0">
      <w:pPr>
        <w:pStyle w:val="NormalHanging12a"/>
      </w:pPr>
      <w:r>
        <w:t>19</w:t>
      </w:r>
      <w:r w:rsidR="001A17F0" w:rsidRPr="00291D96">
        <w:t>.</w:t>
      </w:r>
      <w:r w:rsidR="001A17F0" w:rsidRPr="00291D96">
        <w:tab/>
        <w:t>Jitlob ir-reviżjoni li jmiss tad-direttivi dwar l-akkwist pubbliku biex jiġi żgurat li l-kriterji ta’ esklużjoni jindirizzaw aħjar ir-riskji settorjali speċifiċi relatati mal-frodi, il-korruzzjoni u l-infiltrazzjoni kriminali; jisħaq li setturi differenti jirrikjedu kriterji ta’ esklużjoni separati u mfassla apposta li jirriflettu l-vulnerabbiltajiet speċifiċi tagħhom; jisħaq li l-awtoritajiet kontraenti għandhom jingħataw is-setgħa biex jadattaw il-proċeduri ta’ akkwist ħalli jiġġieldu u jindirizzaw l-attivitajiet kriminali; jenfasizza li, sabiex jiġu promossi effiċjenza u simplifikazzjoni akbar, id-dispożizzjonijiet relatati mar-raġunijiet għall-esklużjoni għandhom jiġu ssimplifikati; jissottolinja li kwalunkwe operatur ekonomiku li jikser l-obbligi tiegħu fl-ambitu tal-liġijiet tax-xogħol u dawk ambjentali applikabbli skont l-Artikolu 18(2) tad-Direttiva 2014/24/UE għandu effettivament jiġi eskluż mill-proċess tal-akkwist pubbliku inkwistjoni;</w:t>
      </w:r>
    </w:p>
    <w:p w14:paraId="75CEB3FF" w14:textId="69723691" w:rsidR="001A17F0" w:rsidRPr="00291D96" w:rsidRDefault="001E5744" w:rsidP="001A17F0">
      <w:pPr>
        <w:pStyle w:val="NormalHanging12a"/>
      </w:pPr>
      <w:r>
        <w:t>20</w:t>
      </w:r>
      <w:r w:rsidR="001A17F0" w:rsidRPr="00291D96">
        <w:t>.</w:t>
      </w:r>
      <w:r w:rsidR="001A17F0" w:rsidRPr="00291D96">
        <w:tab/>
        <w:t>Jissottolinja l-valur tar-reġistri kummerċjali nazzjonali u tas-Sistema Ewropea ta’ Interkonnessjoni tar-Reġistri Kummerċjali għall-intrapriżi li jfittxu informazzjoni dwar is-sottokuntratturi, għat-trade unions li jfittxu li jinvolvu ruħhom f’negozjar kollettiv u għall-awtoritajiet tal-infurzar; jesprimi dispjaċir għall-fatt li l-livell ta’ informazzjoni aċċessibbli fir-reġistri kummerċjali nazzjonali jvarja ħafna; jistieden lill-Kummissjoni tirrieżamina kif il-livell ta’ informazzjoni disponibbli pubblikament jista’ jittejjeb, billi tibbaża fuq l-aħjar prattiki fl-Istati Membri;</w:t>
      </w:r>
    </w:p>
    <w:p w14:paraId="15DC27F6" w14:textId="5DA44AA4" w:rsidR="001A17F0" w:rsidRPr="00291D96" w:rsidRDefault="001E5744" w:rsidP="001A17F0">
      <w:pPr>
        <w:pStyle w:val="NormalHanging12a"/>
      </w:pPr>
      <w:r>
        <w:t>21</w:t>
      </w:r>
      <w:r w:rsidR="001A17F0" w:rsidRPr="00291D96">
        <w:t>.</w:t>
      </w:r>
      <w:r w:rsidR="001A17F0" w:rsidRPr="00291D96">
        <w:tab/>
        <w:t>Jinsab imħasseb li l-ħaddiema stazzjonati u l-ħaddiema fil-ktajjen tas-sottokuntrattar jiffaċċjaw riskji sproporzjonati għas-saħħa u s-sikurezza okkupazzjonali (OSH) minħabba ktajjen ta’ responsabbiltà frammentati u koordinazzjoni mhux ċara, speċjalment fis-settur tal-kostruzzjoni; jisħaq, f’dan il-kuntest, fuq l-importanza tal-informazzjoni u l-konsultazzjoni għall-ħaddiema stazzjonati u għall-ħaddiema fil-ktajjen tas-sottokuntrattar, kif ukoll l-infurzar effettiv tad-dispożizzjonijiet dwar is-saħħa u s-sikurezza kif stipulat mill-Konvenzjoni Nru 167 tal-ILO; iqis li huwa importanti, f’dan il-kuntest, li jissaħħaħ ir-rwol tas-sħab soċjali fl-iżvilupp ta’ għodod u taħriġ għall-ħaddiema u li jiġu promossi aktar kundizzjonijiet tax-xogħol tajbin għas-saħħa fil-qafas strateġiku tal-UE li jmiss dwar is-saħħa u s-sikurezza fuq il-post tax-xogħol; jistieden lill-Kummissjoni tivvaluta jekk il-leġiżlazzjoni attwali dwar is-saħħa u s-sikurezza okkupazzjonali tkoprix b’mod adegwat l-implimentazzjoni tar-rekwiżiti minimi tas-sikurezza u s-saħħa fil-ktajjen tas-sottokuntrattar;</w:t>
      </w:r>
    </w:p>
    <w:p w14:paraId="39F5D89E" w14:textId="77777777" w:rsidR="001A17F0" w:rsidRPr="00291D96" w:rsidRDefault="001A17F0" w:rsidP="001A17F0">
      <w:pPr>
        <w:pStyle w:val="NormalHanging12a"/>
        <w:rPr>
          <w:b/>
          <w:i/>
          <w:iCs/>
        </w:rPr>
      </w:pPr>
      <w:r w:rsidRPr="00291D96">
        <w:rPr>
          <w:b/>
          <w:i/>
        </w:rPr>
        <w:lastRenderedPageBreak/>
        <w:t>Infurzar u kontroll</w:t>
      </w:r>
    </w:p>
    <w:p w14:paraId="2783ED7B" w14:textId="02D059FC" w:rsidR="001A17F0" w:rsidRPr="00291D96" w:rsidRDefault="001E5744" w:rsidP="001A17F0">
      <w:pPr>
        <w:pStyle w:val="NormalHanging12a"/>
      </w:pPr>
      <w:r>
        <w:t>22</w:t>
      </w:r>
      <w:r w:rsidR="001A17F0" w:rsidRPr="00291D96">
        <w:t>.</w:t>
      </w:r>
      <w:r w:rsidR="001A17F0" w:rsidRPr="00291D96">
        <w:tab/>
        <w:t>Ifakkar fl-importanza tal-kooperazzjoni transfruntiera, l-infurzar effiċjenti u t-trasparenza fl-indirizzar tan-networks kriminali assoċjati mal-kriminalità relatata max-xogħol; jappoġġja kollaborazzjoni msaħħa bejn l-ELA, l-Europol, l-awtoritajiet nazzjonali u s-sħab soċjali f’dan ir-rigward; jisħaq fuq il-ħtieġa ta’ sistemi effiċjenti u b’riżorsi tajbin għall-infurzar biex jiġi miġġieled l-isfruttament tal-ħaddiema u tiġi promossa l-kompetizzjoni ġusta fis-suq uniku; jisħaq fuq il-ħtieġa li jiġi indirizzat is-sottokuntrattar abbużiv li juża arranġamenti artifiċjali bħall-kumpaniji fantażma u x-xogħol temporanju fittizju permezz ta’ aġenzija; ifakkar li d-Direttiva 2009/52/KE tirrikjedi li l-Istati Membri jiżguraw spezzjonijiet effettivi u adegwati biex jikkontrollaw l-impjieg ta’ nazzjonali ta’ pajjiżi terzi li jkunu qegħdin fil-pajjiż illegalment u jistieden lill-Kummissjoni u lill-Istati Membri jiżguraw infurzar xieraq;</w:t>
      </w:r>
    </w:p>
    <w:p w14:paraId="0B3A577C" w14:textId="0E18DB50" w:rsidR="001A17F0" w:rsidRPr="00291D96" w:rsidRDefault="001E5744" w:rsidP="001A17F0">
      <w:pPr>
        <w:pStyle w:val="NormalHanging12a"/>
      </w:pPr>
      <w:r>
        <w:t>23</w:t>
      </w:r>
      <w:r w:rsidR="001A17F0" w:rsidRPr="00291D96">
        <w:t>.</w:t>
      </w:r>
      <w:r w:rsidR="001A17F0" w:rsidRPr="00291D96">
        <w:tab/>
        <w:t>Jilqa’ r-rapport ta’ evalwazzjoni tal-Kummissjoni dwar l-ELA u jtenni t-talba</w:t>
      </w:r>
      <w:r w:rsidR="001A17F0" w:rsidRPr="00291D96">
        <w:rPr>
          <w:rStyle w:val="FootnoteReference"/>
        </w:rPr>
        <w:footnoteReference w:id="34"/>
      </w:r>
      <w:r w:rsidR="001A17F0" w:rsidRPr="00291D96">
        <w:t xml:space="preserve"> tiegħu lill-Kummissjoni biex issaħħaħ b’mod sostanzjali l-mandat tal-ELA billi tippermettilha tinvestiga allegat ksur tal-liġi tax-xogħol tal-UE u tibda u twettaq spezzjonijiet ta’ każijiet transfruntiera fuq inizjattiva tagħha stess, billi tespandi l-ambitu tal-mandat tal-aġenzija biex ikopri l-mobbiltà tal-forza tax-xogħol ta’ nazzjonali ta’ pajjiżi terzi, billi ssaħħaħ il-kapaċità ta’ analiżi tar-riskju operazzjonali tagħha, kif ukoll billi tipprovdi biżżejjed riżorsi biex twettaq il-kompiti tagħha; jisħaq fuq il-ħtieġa ta’ aktar allinjament u simplifikazzjoni tar-regolamenti dwar il-mobbiltà tal-forza tax-xogħol u l-proċeduri ta’ kontroll, inklużi standards uniformi ta’ kontroll u skambju aħjar ta’ informazzjoni, taħt il-gwida tal-ELA; jirrakkomanda l-istabbiliment ta’ unitajiet ta’ infurzar speċifiċi għas-settur fl-ELA, b’mod partikolari għall-kostruzzjoni, it-trasport u l-agrikoltura u t-tisħiħ tal-kooperazzjoni mas-sħab soċjali fis-setturi rispettivi;</w:t>
      </w:r>
    </w:p>
    <w:p w14:paraId="583AF4AE" w14:textId="6AA23978" w:rsidR="001A17F0" w:rsidRPr="00291D96" w:rsidRDefault="001E5744" w:rsidP="001A17F0">
      <w:pPr>
        <w:pStyle w:val="NormalHanging12a"/>
      </w:pPr>
      <w:r>
        <w:t>24</w:t>
      </w:r>
      <w:r w:rsidR="001A17F0" w:rsidRPr="00291D96">
        <w:t>.</w:t>
      </w:r>
      <w:r w:rsidR="001A17F0" w:rsidRPr="00291D96">
        <w:tab/>
        <w:t>Jenfasizza r-rwol vitali tal-ispezzjonijiet tax-xogħol kemm fid-detezzjoni u kif ukoll fil-prevenzjoni tal-isfruttament tal-ħaddiema kif ukoll fir-rigward tal-konformità ġenerali mal-liġijiet tax-xogħol; iħeġġeġ lill-Istati Membri jżidu l-għadd tagħhom ta’ spetturi tax-xogħol u l-appoġġ tagħhom għall-ispettorati tax-xogħol; ifakkar li d-Direttiva 2006/22/KE</w:t>
      </w:r>
      <w:r w:rsidR="001A17F0" w:rsidRPr="00291D96">
        <w:rPr>
          <w:rStyle w:val="FootnoteReference"/>
        </w:rPr>
        <w:footnoteReference w:id="35"/>
      </w:r>
      <w:r w:rsidR="001A17F0" w:rsidRPr="00291D96">
        <w:t xml:space="preserve"> diġà tistabbilixxi regoli minimi għall-verifika tal-konformità mal-leġiżlazzjoni soċjali fit-trasport bit-triq u jistieden lill-Kummissjoni u lill-Istati Membri jtejbu l-kwalità u l-frekwenza tal-ispezzjonijiet tax-xogħol u jiżguraw kapaċità minima adegwata ta’ spezzjoni tax-xogħol, bi qbil mal-punt ta’ riferiment tal-ILO ta’ mill-anqas spettur tax-xogħol wieħed għal kull 10 000 ħaddiem; jisħaq li, minkejja l-importanza tagħhom biex jinbdew spezzjonijiet immirati, il-mekkaniżmi tal-ilmenti għadhom mhux użati biżżejjed u inaċċessibbli, b’mod partikolari għall-ħaddiema mobbli u għall-ħaddiema minn pajjiżi mhux tal-UE; ifakkar li, f’konformità mad-Direttiva 2009/52/KE, l-Istati Membri jeħtiġilhom jiżguraw li jkun hemm mekkaniżmi effettivi li permezz tagħhom nazzjonali mhux tal-UE f’impjieg illegali jkunu jistgħu jressqu lmenti kontra l-impjegaturi tagħhom;</w:t>
      </w:r>
    </w:p>
    <w:p w14:paraId="68C99FBC" w14:textId="6C83A448" w:rsidR="001A17F0" w:rsidRPr="00291D96" w:rsidRDefault="001E5744" w:rsidP="001A17F0">
      <w:pPr>
        <w:pStyle w:val="NormalHanging12a"/>
      </w:pPr>
      <w:r>
        <w:lastRenderedPageBreak/>
        <w:t>25</w:t>
      </w:r>
      <w:r w:rsidR="001A17F0" w:rsidRPr="00291D96">
        <w:t>.</w:t>
      </w:r>
      <w:r w:rsidR="001A17F0" w:rsidRPr="00291D96">
        <w:tab/>
        <w:t>Jissottolinja l-importanza ta’ data preċiża u aġġornata; jinnota li l-livell ta’ informazzjoni dwar il-kompożizzjoni tal-ktajjen tas-sottokuntrattar u l-kriminalità relatata max-xogħol ivarja madwar l-Ewropa u li dan jirrappreżenta sfida kemm għall-infurzar kif ukoll għat-tfassil tal-politika; jistieden lill-Kummissjoni ssaħħaħ il-ġbir tad-data f’dan ir-rigward u jenfasizza r-rwol tal-ELA fl-għoti ta’ informazzjoni affidabbli dwar ix-xejriet ġenerali u l-imġiba abbużiva f’sitwazzjonijiet transfruntiera;</w:t>
      </w:r>
    </w:p>
    <w:p w14:paraId="1A01D80D" w14:textId="11424962" w:rsidR="001A17F0" w:rsidRPr="00291D96" w:rsidRDefault="001E5744" w:rsidP="001A17F0">
      <w:pPr>
        <w:pStyle w:val="NormalHanging12a"/>
      </w:pPr>
      <w:r>
        <w:t>26</w:t>
      </w:r>
      <w:r w:rsidR="001A17F0" w:rsidRPr="00291D96">
        <w:t>.</w:t>
      </w:r>
      <w:r w:rsidR="001A17F0" w:rsidRPr="00291D96">
        <w:tab/>
        <w:t>Jenfasizza s-suċċess tal-inizjattivi għall-identifikazzjoni tas-sit tax-xogħol fil-livell nazzjonali u settorjali, bħall-karti tal-identità soċjali; jilqa’, f’dan il-kuntest, l-inklużjoni tal-Pass Ewropew tas-Sigurtà Soċjali (ESSPASS) fil-programm ta’ ħidma tal-Kummissjoni għall-2026; itenni t-talba</w:t>
      </w:r>
      <w:r w:rsidR="001A17F0" w:rsidRPr="00291D96">
        <w:rPr>
          <w:rStyle w:val="FootnoteReference"/>
        </w:rPr>
        <w:footnoteReference w:id="36"/>
      </w:r>
      <w:r w:rsidR="001A17F0" w:rsidRPr="00291D96">
        <w:t xml:space="preserve"> tiegħu għal introduzzjoni rapida tas-sistema ESSPASS u għall-protezzjoni mtejba u l-infurzar diġitali tad-drittijiet tas-sigurtà soċjali u l-mobbiltà ġusta, inklużi l-verifika f’ħin reali u l-iskambju ta’ informazzjoni bejn l-awtoritajiet tal-infurzar; jitlob l-integrazzjoni tal-ESSPASS mas-sistemi nazzjonali u settorjali tal-karti tax-xogħol sabiex jiġu żgurati l-interoperabbiltà u t-tfixkil minimu; jissottolinja li l-ESSPASS għandu jnaqqas il-piżijiet amministrattivi bla bżonn, jissimplifika l-konformità għan-negozji b’kostijiet minimi ta’ konformità għall-SMEs, u jappoġġja lill-ELA u lill-awtoritajiet nazzjonali fil-ġlieda kontra l-abbuż u l-attivitajiet kriminali; jisħaq fuq l-importanza ta’ sigurtà u protezzjoni b’saħħithom tad-data għall-ESSPASS u l-involviment tas-sħab soċjali fit-tfassil u l-introduzzjoni tas-sistema; jinnota wkoll il-ħidma li għaddejja fuq inizjattivi oħra tal-UE, bħall-Kartiera tal-Identità Diġitali, li jistgħu jgħinu biex tittejjeb il-kapaċità tal-awtoritajiet li jindirizzaw l-imġiba kriminali mingħajr ma jgħabbu lill-SMEs jew iżidu l-kostijiet għall-konsumaturi;</w:t>
      </w:r>
    </w:p>
    <w:p w14:paraId="53CA1BA6" w14:textId="77777777" w:rsidR="001A17F0" w:rsidRPr="00291D96" w:rsidRDefault="001A17F0" w:rsidP="001A17F0">
      <w:pPr>
        <w:pStyle w:val="NormalHanging12a"/>
        <w:rPr>
          <w:b/>
          <w:i/>
          <w:iCs/>
        </w:rPr>
      </w:pPr>
      <w:r w:rsidRPr="00291D96">
        <w:rPr>
          <w:b/>
          <w:i/>
        </w:rPr>
        <w:t>Sanzjonar tal-isfruttament tal-ħaddiema</w:t>
      </w:r>
    </w:p>
    <w:p w14:paraId="0B93A09A" w14:textId="3705E561" w:rsidR="001A17F0" w:rsidRPr="00291D96" w:rsidRDefault="001E5744" w:rsidP="001A17F0">
      <w:pPr>
        <w:pStyle w:val="NormalHanging12a"/>
      </w:pPr>
      <w:r>
        <w:t>27</w:t>
      </w:r>
      <w:r w:rsidR="001A17F0" w:rsidRPr="00291D96">
        <w:t>.</w:t>
      </w:r>
      <w:r w:rsidR="001A17F0" w:rsidRPr="00291D96">
        <w:tab/>
        <w:t xml:space="preserve">Jinnota bi tħassib li l-individwi soġġetti għal projbizzjonijiet ta’ kummerċ fi Stat Membru wieħed jistgħu jevitaw ir-restrizzjonijiet nazzjonali billi jirreġistraw u joperaw negozju fi Stat Membru ieħor, u b’hekk jimminaw il-ġlieda kontra l-isfruttament tal-ħaddiema fis-suq uniku kollu; jistieden lill-Kummissjoni tiżgura skambju ta’ informazzjoni u kooperazzjoni aktar effettivi bejn l-Istati Membri, kif ukoll ir-rikonoxximent reċiproku ta’ projbizzjonijiet kummerċjali u ta’ sanzjonijiet kriminali, f’konformità mat-Trattati, biex tiġi </w:t>
      </w:r>
      <w:proofErr w:type="spellStart"/>
      <w:r w:rsidR="001A17F0" w:rsidRPr="00291D96">
        <w:t>pprevenuta</w:t>
      </w:r>
      <w:proofErr w:type="spellEnd"/>
      <w:r w:rsidR="001A17F0" w:rsidRPr="00291D96">
        <w:t xml:space="preserve"> ċ-ċirkomvenzjoni tar-restrizzjonijiet; jissottolinja l-importanza tal-konformità mal-istat tad-dritt u s-salvagwardji ta’ proċess ġust f’dan il-kuntest; jirrakkomanda l-użu tas-Sistema ta’ Informazzjoni tas-Suq Intern (IMI) għall-iskambju f’waqtu u sigur ta’ informazzjoni rilevanti bejn l-Istati Membri;</w:t>
      </w:r>
    </w:p>
    <w:p w14:paraId="3984D9A3" w14:textId="783D9D97" w:rsidR="001A17F0" w:rsidRPr="00291D96" w:rsidRDefault="001E5744" w:rsidP="001A17F0">
      <w:pPr>
        <w:pStyle w:val="NormalHanging12a"/>
      </w:pPr>
      <w:r>
        <w:t>28</w:t>
      </w:r>
      <w:r w:rsidR="001A17F0" w:rsidRPr="00291D96">
        <w:t>.</w:t>
      </w:r>
      <w:r w:rsidR="001A17F0" w:rsidRPr="00291D96">
        <w:tab/>
        <w:t>Jinnota d-diskrepanzi rigward il-penali u r-reġimi ta’ sanzjonijiet fl-oqsma ta’ politika kollha tal-UE; jisħaq li l-penali u s-sanzjonijiet għall-kriminalità relatata max-xogħol u l-ksur tad-drittijiet tal-ħaddiema jridu jkunu effettivi, dissważivi u proporzjonati għan-natura, il-gravità u t-tul tal-ksur tal-impriża u għall-għadd ta’ ħaddiema affettwati; jistieden lill-Kummissjoni teżamina r-rabta tas-sanzjonijiet mad-daqs jew il-fatturat tal-kumpanija, sabiex jiġu żgurati l-proporzjonalità, id-deterrenza u kundizzjonijiet ekwi; jissottolinja l-ħtieġa ta’ mekkaniżmu biex jiġu rkuprati l-pagi pendenti, il-kontribuzzjonijiet tas-sigurtà soċjali, il-multi u d-danni f’każijiet transfruntiera;</w:t>
      </w:r>
    </w:p>
    <w:p w14:paraId="389E03B4" w14:textId="6ED3A483" w:rsidR="001A17F0" w:rsidRPr="00291D96" w:rsidRDefault="001E5744" w:rsidP="001A17F0">
      <w:pPr>
        <w:pStyle w:val="NormalHanging12a"/>
      </w:pPr>
      <w:r>
        <w:t>29</w:t>
      </w:r>
      <w:r w:rsidR="001A17F0" w:rsidRPr="00291D96">
        <w:t>.</w:t>
      </w:r>
      <w:r w:rsidR="001A17F0" w:rsidRPr="00291D96">
        <w:tab/>
        <w:t xml:space="preserve">Jenfasizza l-problema ta’ atturi tas-suq tax-xogħol frawdolenti u kriminali li jużaw </w:t>
      </w:r>
      <w:r w:rsidR="001A17F0" w:rsidRPr="00291D96">
        <w:lastRenderedPageBreak/>
        <w:t>fallimenti strateġiċi u għajbien tan-negozju biex jevadu r-responsabbiltà għal pagamenti pendenti u sanzjonijiet; jistieden lill-Kummissjoni u lill-Istati Membri janalizzaw il-kwistjonijiet assoċjati mal-fallimenti strateġiċi u l-kumpaniji li jisparixxu, speċjalment fil-każijiet transfruntiera, u tieħu l-inizjattivi meħtieġa biex tnaqqas il-prevalenza tagħhom;</w:t>
      </w:r>
    </w:p>
    <w:p w14:paraId="2100E0CA" w14:textId="485B1CC4" w:rsidR="001A17F0" w:rsidRPr="00291D96" w:rsidRDefault="001E5744" w:rsidP="001A17F0">
      <w:pPr>
        <w:pStyle w:val="NormalHanging12a"/>
      </w:pPr>
      <w:r>
        <w:t>30</w:t>
      </w:r>
      <w:r w:rsidR="001A17F0" w:rsidRPr="00291D96">
        <w:t>.</w:t>
      </w:r>
      <w:r w:rsidR="001A17F0" w:rsidRPr="00291D96">
        <w:tab/>
        <w:t>Ifakkar li r-rabta tal-infiq pubbliku mar-rispett tad-drittijiet tal-ħaddiema u l-kundizzjonijiet tax-xogħol deċenti hija waħda mill-mezzi disponibbli biex jiġu indirizzati s-sottokuntrattar abbużiv u l-kriminalità relatata max-xogħol;</w:t>
      </w:r>
    </w:p>
    <w:p w14:paraId="39BC7B67" w14:textId="77777777" w:rsidR="001A17F0" w:rsidRPr="00291D96" w:rsidRDefault="001A17F0" w:rsidP="001A17F0">
      <w:pPr>
        <w:pStyle w:val="NormalHanging12a"/>
        <w:jc w:val="center"/>
      </w:pPr>
      <w:r w:rsidRPr="00291D96">
        <w:t>°</w:t>
      </w:r>
    </w:p>
    <w:p w14:paraId="0ED6E5FA" w14:textId="77777777" w:rsidR="001A17F0" w:rsidRPr="00291D96" w:rsidRDefault="001A17F0" w:rsidP="001A17F0">
      <w:pPr>
        <w:pStyle w:val="NormalHanging12a"/>
        <w:jc w:val="center"/>
      </w:pPr>
      <w:r w:rsidRPr="00291D96">
        <w:t>°</w:t>
      </w:r>
      <w:r w:rsidRPr="00291D96">
        <w:tab/>
        <w:t>°</w:t>
      </w:r>
    </w:p>
    <w:p w14:paraId="65416D34" w14:textId="6A6B69AF" w:rsidR="00291D96" w:rsidRPr="00291D96" w:rsidRDefault="001E5744" w:rsidP="00291D96">
      <w:pPr>
        <w:pStyle w:val="NormalHanging12a"/>
      </w:pPr>
      <w:r>
        <w:t>31</w:t>
      </w:r>
      <w:r w:rsidR="001A17F0" w:rsidRPr="00291D96">
        <w:t>.</w:t>
      </w:r>
      <w:r w:rsidR="001A17F0" w:rsidRPr="00291D96">
        <w:tab/>
        <w:t>Jagħti istruzzjonijiet lill-President tiegħu biex tgħaddi din ir-riżoluzzjoni lill-Kunsill u lill-Kummissjoni.</w:t>
      </w:r>
    </w:p>
    <w:p w14:paraId="3983EBF4" w14:textId="7C31D71B" w:rsidR="00E365E1" w:rsidRPr="00291D96" w:rsidRDefault="00E365E1" w:rsidP="00C85FA9"/>
    <w:sectPr w:rsidR="00E365E1" w:rsidRPr="00291D96" w:rsidSect="00291D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768686" w14:textId="77777777" w:rsidR="00C85FA9" w:rsidRPr="00291D96" w:rsidRDefault="00C85FA9">
      <w:r w:rsidRPr="00291D96">
        <w:separator/>
      </w:r>
    </w:p>
  </w:endnote>
  <w:endnote w:type="continuationSeparator" w:id="0">
    <w:p w14:paraId="50047E8E" w14:textId="77777777" w:rsidR="00C85FA9" w:rsidRPr="00291D96" w:rsidRDefault="00C85FA9">
      <w:r w:rsidRPr="00291D9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7F262" w14:textId="77777777" w:rsidR="00064002" w:rsidRPr="00291D9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4B619" w14:textId="77777777" w:rsidR="00064002" w:rsidRPr="00291D9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A491B" w14:textId="77777777" w:rsidR="00064002" w:rsidRPr="00291D9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3A7A5" w14:textId="77777777" w:rsidR="00C85FA9" w:rsidRPr="00291D96" w:rsidRDefault="00C85FA9">
      <w:r w:rsidRPr="00291D96">
        <w:separator/>
      </w:r>
    </w:p>
  </w:footnote>
  <w:footnote w:type="continuationSeparator" w:id="0">
    <w:p w14:paraId="719FAD86" w14:textId="77777777" w:rsidR="00C85FA9" w:rsidRPr="00291D96" w:rsidRDefault="00C85FA9">
      <w:r w:rsidRPr="00291D96">
        <w:continuationSeparator/>
      </w:r>
    </w:p>
  </w:footnote>
  <w:footnote w:id="1">
    <w:p w14:paraId="23FD336B" w14:textId="0376F95E" w:rsidR="001A17F0" w:rsidRPr="00291D96" w:rsidRDefault="001A17F0" w:rsidP="00291D96">
      <w:pPr>
        <w:pStyle w:val="FootnoteText"/>
        <w:ind w:left="567" w:hanging="567"/>
        <w:rPr>
          <w:sz w:val="24"/>
          <w:lang w:val="mt-MT"/>
        </w:rPr>
      </w:pPr>
      <w:r w:rsidRPr="00291D96">
        <w:rPr>
          <w:rStyle w:val="FootnoteReference"/>
          <w:sz w:val="24"/>
          <w:lang w:val="mt-MT"/>
        </w:rPr>
        <w:footnoteRef/>
      </w:r>
      <w:r w:rsidR="00291D96" w:rsidRPr="00291D96">
        <w:rPr>
          <w:sz w:val="24"/>
          <w:lang w:val="mt-MT"/>
        </w:rPr>
        <w:t xml:space="preserve"> </w:t>
      </w:r>
      <w:r w:rsidR="00291D96" w:rsidRPr="00291D96">
        <w:rPr>
          <w:sz w:val="24"/>
          <w:lang w:val="mt-MT"/>
        </w:rPr>
        <w:tab/>
      </w:r>
      <w:r w:rsidRPr="00291D96">
        <w:rPr>
          <w:sz w:val="24"/>
          <w:lang w:val="mt-MT"/>
        </w:rPr>
        <w:t xml:space="preserve">ĠU L 18, 21.1.1997, p. 1, ELI: </w:t>
      </w:r>
      <w:hyperlink r:id="rId1" w:history="1">
        <w:r w:rsidRPr="00291D96">
          <w:rPr>
            <w:rStyle w:val="Hyperlink"/>
            <w:sz w:val="24"/>
            <w:lang w:val="mt-MT"/>
          </w:rPr>
          <w:t>http://data.europa.eu/eli/dir/1996/71/oj</w:t>
        </w:r>
      </w:hyperlink>
      <w:r w:rsidRPr="00291D96">
        <w:rPr>
          <w:sz w:val="24"/>
          <w:lang w:val="mt-MT"/>
        </w:rPr>
        <w:t>.</w:t>
      </w:r>
    </w:p>
  </w:footnote>
  <w:footnote w:id="2">
    <w:p w14:paraId="43AA448C" w14:textId="4386EB34" w:rsidR="001A17F0" w:rsidRPr="00291D96" w:rsidRDefault="001A17F0" w:rsidP="00291D96">
      <w:pPr>
        <w:pStyle w:val="FootnoteText"/>
        <w:ind w:left="567" w:hanging="567"/>
        <w:rPr>
          <w:sz w:val="24"/>
          <w:lang w:val="mt-MT"/>
        </w:rPr>
      </w:pPr>
      <w:r w:rsidRPr="00291D96">
        <w:rPr>
          <w:rStyle w:val="FootnoteReference"/>
          <w:sz w:val="24"/>
          <w:lang w:val="mt-MT"/>
        </w:rPr>
        <w:footnoteRef/>
      </w:r>
      <w:r w:rsidR="00291D96" w:rsidRPr="00291D96">
        <w:rPr>
          <w:sz w:val="24"/>
          <w:lang w:val="mt-MT"/>
        </w:rPr>
        <w:t xml:space="preserve"> </w:t>
      </w:r>
      <w:r w:rsidR="00291D96" w:rsidRPr="00291D96">
        <w:rPr>
          <w:sz w:val="24"/>
          <w:lang w:val="mt-MT"/>
        </w:rPr>
        <w:tab/>
      </w:r>
      <w:r w:rsidRPr="00291D96">
        <w:rPr>
          <w:sz w:val="24"/>
          <w:lang w:val="mt-MT"/>
        </w:rPr>
        <w:t>ĠU L 159, 28.5.2014, p. 11,</w:t>
      </w:r>
      <w:r w:rsidRPr="00291D96">
        <w:rPr>
          <w:color w:val="333333"/>
          <w:sz w:val="24"/>
          <w:shd w:val="clear" w:color="auto" w:fill="FFFFFF"/>
          <w:lang w:val="mt-MT"/>
        </w:rPr>
        <w:t xml:space="preserve"> </w:t>
      </w:r>
      <w:r w:rsidRPr="00291D96">
        <w:rPr>
          <w:sz w:val="24"/>
          <w:lang w:val="mt-MT"/>
        </w:rPr>
        <w:t>ELI: </w:t>
      </w:r>
      <w:hyperlink r:id="rId2" w:tooltip="Jagħti aċċess għad-dokument permezz tal-URI tal-ELI tiegħu." w:history="1">
        <w:r w:rsidRPr="00291D96">
          <w:rPr>
            <w:rStyle w:val="Hyperlink"/>
            <w:sz w:val="24"/>
            <w:lang w:val="mt-MT"/>
          </w:rPr>
          <w:t>http://data.europa.eu/eli/dir/2014/67/oj</w:t>
        </w:r>
      </w:hyperlink>
      <w:r w:rsidRPr="00291D96">
        <w:rPr>
          <w:sz w:val="24"/>
          <w:lang w:val="mt-MT"/>
        </w:rPr>
        <w:t>.</w:t>
      </w:r>
    </w:p>
  </w:footnote>
  <w:footnote w:id="3">
    <w:p w14:paraId="76147CEF" w14:textId="749C6F10" w:rsidR="001A17F0" w:rsidRPr="00291D96" w:rsidRDefault="001A17F0" w:rsidP="00291D96">
      <w:pPr>
        <w:pStyle w:val="FootnoteText"/>
        <w:ind w:left="567" w:hanging="567"/>
        <w:rPr>
          <w:sz w:val="24"/>
          <w:lang w:val="mt-MT"/>
        </w:rPr>
      </w:pPr>
      <w:r w:rsidRPr="00291D96">
        <w:rPr>
          <w:rStyle w:val="FootnoteReference"/>
          <w:sz w:val="24"/>
          <w:lang w:val="mt-MT"/>
        </w:rPr>
        <w:footnoteRef/>
      </w:r>
      <w:r w:rsidR="00291D96" w:rsidRPr="00291D96">
        <w:rPr>
          <w:sz w:val="24"/>
          <w:lang w:val="mt-MT"/>
        </w:rPr>
        <w:t xml:space="preserve"> </w:t>
      </w:r>
      <w:r w:rsidR="00291D96" w:rsidRPr="00291D96">
        <w:rPr>
          <w:sz w:val="24"/>
          <w:lang w:val="mt-MT"/>
        </w:rPr>
        <w:tab/>
      </w:r>
      <w:r w:rsidRPr="00291D96">
        <w:rPr>
          <w:sz w:val="24"/>
          <w:lang w:val="mt-MT"/>
        </w:rPr>
        <w:t xml:space="preserve">ĠU L 101, 15.4.2011, p. 1, ELI: </w:t>
      </w:r>
      <w:hyperlink r:id="rId3" w:history="1">
        <w:r w:rsidRPr="00291D96">
          <w:rPr>
            <w:rStyle w:val="Hyperlink"/>
            <w:sz w:val="24"/>
            <w:lang w:val="mt-MT"/>
          </w:rPr>
          <w:t>http://data.europa.eu/eli/dir/2011/36/oj.</w:t>
        </w:r>
      </w:hyperlink>
    </w:p>
  </w:footnote>
  <w:footnote w:id="4">
    <w:p w14:paraId="0B09C102" w14:textId="1647C383" w:rsidR="001A17F0" w:rsidRPr="00291D96" w:rsidRDefault="001A17F0" w:rsidP="00291D96">
      <w:pPr>
        <w:pStyle w:val="FootnoteText"/>
        <w:ind w:left="567" w:hanging="567"/>
        <w:rPr>
          <w:sz w:val="24"/>
          <w:lang w:val="mt-MT"/>
        </w:rPr>
      </w:pPr>
      <w:r w:rsidRPr="00291D96">
        <w:rPr>
          <w:rStyle w:val="FootnoteReference"/>
          <w:sz w:val="24"/>
          <w:lang w:val="mt-MT"/>
        </w:rPr>
        <w:footnoteRef/>
      </w:r>
      <w:r w:rsidR="00291D96" w:rsidRPr="00291D96">
        <w:rPr>
          <w:sz w:val="24"/>
          <w:lang w:val="mt-MT"/>
        </w:rPr>
        <w:t xml:space="preserve"> </w:t>
      </w:r>
      <w:r w:rsidR="00291D96" w:rsidRPr="00291D96">
        <w:rPr>
          <w:sz w:val="24"/>
          <w:lang w:val="mt-MT"/>
        </w:rPr>
        <w:tab/>
      </w:r>
      <w:r w:rsidRPr="00291D96">
        <w:rPr>
          <w:sz w:val="24"/>
          <w:lang w:val="mt-MT"/>
        </w:rPr>
        <w:t>ĠU L 168, 30.6.2009, p. 24, ELI: </w:t>
      </w:r>
      <w:hyperlink r:id="rId4" w:tooltip="Jagħti aċċess għad-dokument permezz tal-URI tal-ELI tiegħu." w:history="1">
        <w:r w:rsidRPr="00291D96">
          <w:rPr>
            <w:rStyle w:val="Hyperlink"/>
            <w:sz w:val="24"/>
            <w:lang w:val="mt-MT"/>
          </w:rPr>
          <w:t>http://data.europa.eu/eli/dir/2009/52/oj</w:t>
        </w:r>
      </w:hyperlink>
      <w:r w:rsidRPr="00291D96">
        <w:rPr>
          <w:sz w:val="24"/>
          <w:lang w:val="mt-MT"/>
        </w:rPr>
        <w:t>.</w:t>
      </w:r>
    </w:p>
  </w:footnote>
  <w:footnote w:id="5">
    <w:p w14:paraId="103E17A9" w14:textId="5A242D7D" w:rsidR="001A17F0" w:rsidRPr="00291D96" w:rsidRDefault="001A17F0" w:rsidP="00291D96">
      <w:pPr>
        <w:pStyle w:val="FootnoteText"/>
        <w:ind w:left="567" w:hanging="567"/>
        <w:rPr>
          <w:sz w:val="24"/>
          <w:lang w:val="mt-MT"/>
        </w:rPr>
      </w:pPr>
      <w:r w:rsidRPr="00291D96">
        <w:rPr>
          <w:rStyle w:val="FootnoteReference"/>
          <w:sz w:val="24"/>
          <w:lang w:val="mt-MT"/>
        </w:rPr>
        <w:footnoteRef/>
      </w:r>
      <w:r w:rsidR="00291D96" w:rsidRPr="00291D96">
        <w:rPr>
          <w:sz w:val="24"/>
          <w:lang w:val="mt-MT"/>
        </w:rPr>
        <w:t xml:space="preserve"> </w:t>
      </w:r>
      <w:r w:rsidR="00291D96" w:rsidRPr="00291D96">
        <w:rPr>
          <w:sz w:val="24"/>
          <w:lang w:val="mt-MT"/>
        </w:rPr>
        <w:tab/>
      </w:r>
      <w:r w:rsidRPr="00291D96">
        <w:rPr>
          <w:sz w:val="24"/>
          <w:lang w:val="mt-MT"/>
        </w:rPr>
        <w:t>ĠU L 94, 28.3.2014, p. 65, ELI: </w:t>
      </w:r>
      <w:hyperlink r:id="rId5" w:tooltip="Jagħti aċċess għad-dokument permezz tal-URI tal-ELI tiegħu." w:history="1">
        <w:r w:rsidRPr="00291D96">
          <w:rPr>
            <w:rStyle w:val="Hyperlink"/>
            <w:sz w:val="24"/>
            <w:lang w:val="mt-MT"/>
          </w:rPr>
          <w:t>http://data.europa.eu/eli/dir/2014/24/oj</w:t>
        </w:r>
      </w:hyperlink>
      <w:r w:rsidRPr="00291D96">
        <w:rPr>
          <w:sz w:val="24"/>
          <w:lang w:val="mt-MT"/>
        </w:rPr>
        <w:t>.</w:t>
      </w:r>
    </w:p>
  </w:footnote>
  <w:footnote w:id="6">
    <w:p w14:paraId="391E6F22" w14:textId="35AC8F25" w:rsidR="001A17F0" w:rsidRPr="00291D96" w:rsidRDefault="001A17F0" w:rsidP="00291D96">
      <w:pPr>
        <w:pStyle w:val="FootnoteText"/>
        <w:ind w:left="567" w:hanging="567"/>
        <w:rPr>
          <w:sz w:val="24"/>
          <w:lang w:val="mt-MT"/>
        </w:rPr>
      </w:pPr>
      <w:r w:rsidRPr="00291D96">
        <w:rPr>
          <w:rStyle w:val="FootnoteReference"/>
          <w:sz w:val="24"/>
          <w:lang w:val="mt-MT"/>
        </w:rPr>
        <w:footnoteRef/>
      </w:r>
      <w:r w:rsidR="00291D96" w:rsidRPr="00291D96">
        <w:rPr>
          <w:sz w:val="24"/>
          <w:lang w:val="mt-MT"/>
        </w:rPr>
        <w:t xml:space="preserve"> </w:t>
      </w:r>
      <w:r w:rsidR="00291D96" w:rsidRPr="00291D96">
        <w:rPr>
          <w:sz w:val="24"/>
          <w:lang w:val="mt-MT"/>
        </w:rPr>
        <w:tab/>
      </w:r>
      <w:r w:rsidRPr="00291D96">
        <w:rPr>
          <w:sz w:val="24"/>
          <w:lang w:val="mt-MT"/>
        </w:rPr>
        <w:t>ĠU L, 2024/1760, 5.7.2024, ELI: </w:t>
      </w:r>
      <w:hyperlink r:id="rId6" w:tgtFrame="_blank" w:tooltip="Jagħti aċċess għad-dokument permezz tal-URI tal-ELI tiegħu." w:history="1">
        <w:r w:rsidRPr="00291D96">
          <w:rPr>
            <w:rStyle w:val="Hyperlink"/>
            <w:sz w:val="24"/>
            <w:lang w:val="mt-MT"/>
          </w:rPr>
          <w:t>http://data.europa.eu/eli/dir/2024/1760/oj</w:t>
        </w:r>
      </w:hyperlink>
      <w:r w:rsidRPr="00291D96">
        <w:rPr>
          <w:sz w:val="24"/>
          <w:lang w:val="mt-MT"/>
        </w:rPr>
        <w:t>.</w:t>
      </w:r>
    </w:p>
  </w:footnote>
  <w:footnote w:id="7">
    <w:p w14:paraId="5F9A42CB" w14:textId="66271B96" w:rsidR="001A17F0" w:rsidRPr="00291D96" w:rsidRDefault="001A17F0" w:rsidP="00291D96">
      <w:pPr>
        <w:pStyle w:val="FootnoteText"/>
        <w:ind w:left="567" w:hanging="567"/>
        <w:rPr>
          <w:sz w:val="24"/>
          <w:lang w:val="mt-MT"/>
        </w:rPr>
      </w:pPr>
      <w:r w:rsidRPr="00291D96">
        <w:rPr>
          <w:rStyle w:val="FootnoteReference"/>
          <w:sz w:val="24"/>
          <w:lang w:val="mt-MT"/>
        </w:rPr>
        <w:footnoteRef/>
      </w:r>
      <w:r w:rsidR="00291D96" w:rsidRPr="00291D96">
        <w:rPr>
          <w:sz w:val="24"/>
          <w:lang w:val="mt-MT"/>
        </w:rPr>
        <w:t xml:space="preserve"> </w:t>
      </w:r>
      <w:r w:rsidR="00291D96" w:rsidRPr="00291D96">
        <w:rPr>
          <w:sz w:val="24"/>
          <w:lang w:val="mt-MT"/>
        </w:rPr>
        <w:tab/>
      </w:r>
      <w:hyperlink r:id="rId7" w:history="1">
        <w:r w:rsidRPr="00291D96">
          <w:rPr>
            <w:rStyle w:val="Hyperlink"/>
            <w:sz w:val="24"/>
            <w:lang w:val="mt-MT"/>
          </w:rPr>
          <w:t>https://data.europa.eu/doi/10.2826/844552</w:t>
        </w:r>
      </w:hyperlink>
      <w:r w:rsidRPr="00291D96">
        <w:rPr>
          <w:sz w:val="24"/>
          <w:lang w:val="mt-MT"/>
        </w:rPr>
        <w:t>.</w:t>
      </w:r>
    </w:p>
  </w:footnote>
  <w:footnote w:id="8">
    <w:p w14:paraId="3C013E9D" w14:textId="708868D6" w:rsidR="001A17F0" w:rsidRPr="00291D96" w:rsidRDefault="001A17F0" w:rsidP="00291D96">
      <w:pPr>
        <w:pStyle w:val="FootnoteText"/>
        <w:ind w:left="567" w:hanging="567"/>
        <w:rPr>
          <w:sz w:val="24"/>
          <w:lang w:val="mt-MT"/>
        </w:rPr>
      </w:pPr>
      <w:r w:rsidRPr="00291D96">
        <w:rPr>
          <w:rStyle w:val="FootnoteReference"/>
          <w:sz w:val="24"/>
          <w:lang w:val="mt-MT"/>
        </w:rPr>
        <w:footnoteRef/>
      </w:r>
      <w:r w:rsidR="00291D96" w:rsidRPr="00291D96">
        <w:rPr>
          <w:sz w:val="24"/>
          <w:lang w:val="mt-MT"/>
        </w:rPr>
        <w:t xml:space="preserve"> </w:t>
      </w:r>
      <w:r w:rsidR="00291D96" w:rsidRPr="00291D96">
        <w:rPr>
          <w:sz w:val="24"/>
          <w:lang w:val="mt-MT"/>
        </w:rPr>
        <w:tab/>
      </w:r>
      <w:hyperlink r:id="rId8" w:history="1">
        <w:r w:rsidRPr="00291D96">
          <w:rPr>
            <w:rStyle w:val="Hyperlink"/>
            <w:sz w:val="24"/>
            <w:lang w:val="mt-MT"/>
          </w:rPr>
          <w:t>https://www.ela.europa.eu/sites/default/files/2025-03/ELA-posting-third-country-nationals-report.pdf</w:t>
        </w:r>
      </w:hyperlink>
      <w:r w:rsidRPr="00291D96">
        <w:rPr>
          <w:sz w:val="24"/>
          <w:lang w:val="mt-MT"/>
        </w:rPr>
        <w:t>.</w:t>
      </w:r>
    </w:p>
  </w:footnote>
  <w:footnote w:id="9">
    <w:p w14:paraId="16CBD0D9" w14:textId="53C6E159" w:rsidR="001A17F0" w:rsidRPr="00291D96" w:rsidRDefault="001A17F0" w:rsidP="00291D96">
      <w:pPr>
        <w:pStyle w:val="FootnoteText"/>
        <w:ind w:left="567" w:hanging="567"/>
        <w:rPr>
          <w:sz w:val="24"/>
          <w:lang w:val="mt-MT"/>
        </w:rPr>
      </w:pPr>
      <w:r w:rsidRPr="00291D96">
        <w:rPr>
          <w:rStyle w:val="FootnoteReference"/>
          <w:sz w:val="24"/>
          <w:lang w:val="mt-MT"/>
        </w:rPr>
        <w:footnoteRef/>
      </w:r>
      <w:r w:rsidR="00291D96" w:rsidRPr="00291D96">
        <w:rPr>
          <w:sz w:val="24"/>
          <w:lang w:val="mt-MT"/>
        </w:rPr>
        <w:t xml:space="preserve"> </w:t>
      </w:r>
      <w:r w:rsidR="00291D96" w:rsidRPr="00291D96">
        <w:rPr>
          <w:sz w:val="24"/>
          <w:lang w:val="mt-MT"/>
        </w:rPr>
        <w:tab/>
      </w:r>
      <w:hyperlink r:id="rId9" w:history="1">
        <w:r w:rsidRPr="00291D96">
          <w:rPr>
            <w:rStyle w:val="Hyperlink"/>
            <w:sz w:val="24"/>
            <w:lang w:val="mt-MT"/>
          </w:rPr>
          <w:t>https://www.ela.europa.eu/sites/default/files/2023-04/ela-report-posting-third-country-nationals.pdf</w:t>
        </w:r>
      </w:hyperlink>
      <w:r w:rsidRPr="00291D96">
        <w:rPr>
          <w:sz w:val="24"/>
          <w:lang w:val="mt-MT"/>
        </w:rPr>
        <w:t>.</w:t>
      </w:r>
    </w:p>
  </w:footnote>
  <w:footnote w:id="10">
    <w:p w14:paraId="2417D712" w14:textId="537B85D1" w:rsidR="001A17F0" w:rsidRPr="00291D96" w:rsidRDefault="001A17F0" w:rsidP="00291D96">
      <w:pPr>
        <w:pStyle w:val="FootnoteText"/>
        <w:ind w:left="567" w:hanging="567"/>
        <w:rPr>
          <w:sz w:val="24"/>
          <w:lang w:val="mt-MT"/>
        </w:rPr>
      </w:pPr>
      <w:r w:rsidRPr="00291D96">
        <w:rPr>
          <w:rStyle w:val="FootnoteReference"/>
          <w:sz w:val="24"/>
          <w:lang w:val="mt-MT"/>
        </w:rPr>
        <w:footnoteRef/>
      </w:r>
      <w:r w:rsidR="00291D96" w:rsidRPr="00291D96">
        <w:rPr>
          <w:sz w:val="24"/>
          <w:lang w:val="mt-MT"/>
        </w:rPr>
        <w:t xml:space="preserve"> </w:t>
      </w:r>
      <w:r w:rsidR="00291D96" w:rsidRPr="00291D96">
        <w:rPr>
          <w:sz w:val="24"/>
          <w:lang w:val="mt-MT"/>
        </w:rPr>
        <w:tab/>
      </w:r>
      <w:hyperlink r:id="rId10" w:history="1">
        <w:r w:rsidRPr="00291D96">
          <w:rPr>
            <w:rStyle w:val="Hyperlink"/>
            <w:sz w:val="24"/>
            <w:lang w:val="mt-MT"/>
          </w:rPr>
          <w:t>https://www.ela.europa.eu/en/publications/construction-sector-issues-information-provision-enforcement-labour-mobility-law</w:t>
        </w:r>
      </w:hyperlink>
      <w:r w:rsidRPr="00291D96">
        <w:rPr>
          <w:sz w:val="24"/>
          <w:lang w:val="mt-MT"/>
        </w:rPr>
        <w:t>.</w:t>
      </w:r>
    </w:p>
  </w:footnote>
  <w:footnote w:id="11">
    <w:p w14:paraId="41A296E5" w14:textId="00F51AAE" w:rsidR="001A17F0" w:rsidRPr="00291D96" w:rsidRDefault="001A17F0" w:rsidP="00291D96">
      <w:pPr>
        <w:pStyle w:val="FootnoteText"/>
        <w:ind w:left="567" w:hanging="567"/>
        <w:rPr>
          <w:sz w:val="24"/>
          <w:lang w:val="mt-MT"/>
        </w:rPr>
      </w:pPr>
      <w:r w:rsidRPr="00291D96">
        <w:rPr>
          <w:rStyle w:val="FootnoteReference"/>
          <w:sz w:val="24"/>
          <w:lang w:val="mt-MT"/>
        </w:rPr>
        <w:footnoteRef/>
      </w:r>
      <w:r w:rsidR="00291D96" w:rsidRPr="00291D96">
        <w:rPr>
          <w:sz w:val="24"/>
          <w:lang w:val="mt-MT"/>
        </w:rPr>
        <w:t xml:space="preserve"> </w:t>
      </w:r>
      <w:r w:rsidR="00291D96" w:rsidRPr="00291D96">
        <w:rPr>
          <w:sz w:val="24"/>
          <w:lang w:val="mt-MT"/>
        </w:rPr>
        <w:tab/>
      </w:r>
      <w:r w:rsidRPr="00291D96">
        <w:rPr>
          <w:sz w:val="24"/>
          <w:lang w:val="mt-MT"/>
        </w:rPr>
        <w:t>ĠU C 224, 8.6.2022, p. 81.</w:t>
      </w:r>
    </w:p>
  </w:footnote>
  <w:footnote w:id="12">
    <w:p w14:paraId="1583A25D" w14:textId="55331EE0" w:rsidR="001A17F0" w:rsidRPr="00291D96" w:rsidRDefault="001A17F0" w:rsidP="00291D96">
      <w:pPr>
        <w:pStyle w:val="FootnoteText"/>
        <w:ind w:left="567" w:hanging="567"/>
        <w:rPr>
          <w:sz w:val="24"/>
          <w:lang w:val="mt-MT"/>
        </w:rPr>
      </w:pPr>
      <w:r w:rsidRPr="00291D96">
        <w:rPr>
          <w:rStyle w:val="FootnoteReference"/>
          <w:sz w:val="24"/>
          <w:lang w:val="mt-MT"/>
        </w:rPr>
        <w:footnoteRef/>
      </w:r>
      <w:r w:rsidR="00291D96" w:rsidRPr="00291D96">
        <w:rPr>
          <w:sz w:val="24"/>
          <w:lang w:val="mt-MT"/>
        </w:rPr>
        <w:t xml:space="preserve"> </w:t>
      </w:r>
      <w:r w:rsidR="00291D96" w:rsidRPr="00291D96">
        <w:rPr>
          <w:sz w:val="24"/>
          <w:lang w:val="mt-MT"/>
        </w:rPr>
        <w:tab/>
      </w:r>
      <w:r w:rsidRPr="00291D96">
        <w:rPr>
          <w:sz w:val="24"/>
          <w:lang w:val="mt-MT"/>
        </w:rPr>
        <w:t xml:space="preserve">ĠU C, C/2025/3156, 20.6.2025, </w:t>
      </w:r>
      <w:hyperlink r:id="rId11" w:history="1">
        <w:r w:rsidRPr="00291D96">
          <w:rPr>
            <w:rStyle w:val="Hyperlink"/>
            <w:sz w:val="24"/>
            <w:lang w:val="mt-MT"/>
          </w:rPr>
          <w:t>ELI:</w:t>
        </w:r>
      </w:hyperlink>
      <w:hyperlink r:id="rId12" w:history="1">
        <w:r w:rsidRPr="00291D96">
          <w:rPr>
            <w:rStyle w:val="Hyperlink"/>
            <w:sz w:val="24"/>
            <w:lang w:val="mt-MT"/>
          </w:rPr>
          <w:t xml:space="preserve"> http://data.europa.eu/eli/C/2025/3156/oj</w:t>
        </w:r>
      </w:hyperlink>
      <w:r w:rsidRPr="00291D96">
        <w:rPr>
          <w:sz w:val="24"/>
          <w:lang w:val="mt-MT"/>
        </w:rPr>
        <w:t>.</w:t>
      </w:r>
    </w:p>
  </w:footnote>
  <w:footnote w:id="13">
    <w:p w14:paraId="75F89516" w14:textId="653EA414" w:rsidR="001A17F0" w:rsidRPr="00291D96" w:rsidRDefault="001A17F0" w:rsidP="00291D96">
      <w:pPr>
        <w:pStyle w:val="FootnoteText"/>
        <w:ind w:left="567" w:hanging="567"/>
        <w:rPr>
          <w:sz w:val="24"/>
          <w:lang w:val="mt-MT"/>
        </w:rPr>
      </w:pPr>
      <w:r w:rsidRPr="00291D96">
        <w:rPr>
          <w:rStyle w:val="FootnoteReference"/>
          <w:sz w:val="24"/>
          <w:lang w:val="mt-MT"/>
        </w:rPr>
        <w:footnoteRef/>
      </w:r>
      <w:r w:rsidR="00291D96" w:rsidRPr="00291D96">
        <w:rPr>
          <w:sz w:val="24"/>
          <w:lang w:val="mt-MT"/>
        </w:rPr>
        <w:t xml:space="preserve"> </w:t>
      </w:r>
      <w:r w:rsidR="00291D96" w:rsidRPr="00291D96">
        <w:rPr>
          <w:sz w:val="24"/>
          <w:lang w:val="mt-MT"/>
        </w:rPr>
        <w:tab/>
      </w:r>
      <w:r w:rsidRPr="00291D96">
        <w:rPr>
          <w:sz w:val="24"/>
          <w:lang w:val="mt-MT"/>
        </w:rPr>
        <w:t xml:space="preserve">ĠU C, C/2024/5741, 17.10.2024, ELI: </w:t>
      </w:r>
      <w:hyperlink r:id="rId13" w:history="1">
        <w:r w:rsidRPr="00291D96">
          <w:rPr>
            <w:rStyle w:val="Hyperlink"/>
            <w:sz w:val="24"/>
            <w:lang w:val="mt-MT"/>
          </w:rPr>
          <w:t>http://data.europa.eu/eli/C/2024/5741/oj</w:t>
        </w:r>
      </w:hyperlink>
      <w:r w:rsidRPr="00291D96">
        <w:rPr>
          <w:sz w:val="24"/>
          <w:lang w:val="mt-MT"/>
        </w:rPr>
        <w:t>.</w:t>
      </w:r>
    </w:p>
  </w:footnote>
  <w:footnote w:id="14">
    <w:p w14:paraId="5C7C5BE2" w14:textId="669E5033" w:rsidR="001A17F0" w:rsidRPr="00291D96" w:rsidRDefault="001A17F0" w:rsidP="00291D96">
      <w:pPr>
        <w:pStyle w:val="FootnoteText"/>
        <w:ind w:left="567" w:hanging="567"/>
        <w:rPr>
          <w:sz w:val="24"/>
          <w:lang w:val="mt-MT"/>
        </w:rPr>
      </w:pPr>
      <w:r w:rsidRPr="00291D96">
        <w:rPr>
          <w:rStyle w:val="FootnoteReference"/>
          <w:sz w:val="24"/>
          <w:lang w:val="mt-MT"/>
        </w:rPr>
        <w:footnoteRef/>
      </w:r>
      <w:r w:rsidR="00291D96" w:rsidRPr="00291D96">
        <w:rPr>
          <w:sz w:val="24"/>
          <w:lang w:val="mt-MT"/>
        </w:rPr>
        <w:t xml:space="preserve"> </w:t>
      </w:r>
      <w:r w:rsidR="00291D96" w:rsidRPr="00291D96">
        <w:rPr>
          <w:sz w:val="24"/>
          <w:lang w:val="mt-MT"/>
        </w:rPr>
        <w:tab/>
      </w:r>
      <w:r w:rsidRPr="00291D96">
        <w:rPr>
          <w:sz w:val="24"/>
          <w:lang w:val="mt-MT"/>
        </w:rPr>
        <w:t>Testi adottati, P10_TA(2025)0174.</w:t>
      </w:r>
    </w:p>
  </w:footnote>
  <w:footnote w:id="15">
    <w:p w14:paraId="29DDE6B6" w14:textId="20B73126" w:rsidR="001A17F0" w:rsidRPr="00291D96" w:rsidRDefault="001A17F0" w:rsidP="00291D96">
      <w:pPr>
        <w:pStyle w:val="FootnoteText"/>
        <w:ind w:left="567" w:hanging="567"/>
        <w:rPr>
          <w:sz w:val="24"/>
          <w:lang w:val="mt-MT"/>
        </w:rPr>
      </w:pPr>
      <w:r w:rsidRPr="00291D96">
        <w:rPr>
          <w:rStyle w:val="FootnoteReference"/>
          <w:sz w:val="24"/>
          <w:lang w:val="mt-MT"/>
        </w:rPr>
        <w:footnoteRef/>
      </w:r>
      <w:r w:rsidR="00291D96" w:rsidRPr="00291D96">
        <w:rPr>
          <w:sz w:val="24"/>
          <w:lang w:val="mt-MT"/>
        </w:rPr>
        <w:t xml:space="preserve"> </w:t>
      </w:r>
      <w:r w:rsidR="00291D96" w:rsidRPr="00291D96">
        <w:rPr>
          <w:sz w:val="24"/>
          <w:lang w:val="mt-MT"/>
        </w:rPr>
        <w:tab/>
      </w:r>
      <w:r w:rsidRPr="00291D96">
        <w:rPr>
          <w:sz w:val="24"/>
          <w:lang w:val="mt-MT"/>
        </w:rPr>
        <w:t xml:space="preserve">Is-sentenza tal-Qorti tal-Ġustizzja tal-5 ta’ April 2017, </w:t>
      </w:r>
      <w:r w:rsidRPr="00291D96">
        <w:rPr>
          <w:i/>
          <w:sz w:val="24"/>
          <w:lang w:val="mt-MT"/>
        </w:rPr>
        <w:t>“</w:t>
      </w:r>
      <w:proofErr w:type="spellStart"/>
      <w:r w:rsidRPr="00291D96">
        <w:rPr>
          <w:i/>
          <w:sz w:val="24"/>
          <w:lang w:val="mt-MT"/>
        </w:rPr>
        <w:t>Borta</w:t>
      </w:r>
      <w:proofErr w:type="spellEnd"/>
      <w:r w:rsidRPr="00291D96">
        <w:rPr>
          <w:i/>
          <w:sz w:val="24"/>
          <w:lang w:val="mt-MT"/>
        </w:rPr>
        <w:t>” UAB</w:t>
      </w:r>
      <w:r w:rsidRPr="00291D96">
        <w:rPr>
          <w:sz w:val="24"/>
          <w:lang w:val="mt-MT"/>
        </w:rPr>
        <w:t xml:space="preserve"> vs </w:t>
      </w:r>
      <w:proofErr w:type="spellStart"/>
      <w:r w:rsidRPr="00291D96">
        <w:rPr>
          <w:i/>
          <w:sz w:val="24"/>
          <w:lang w:val="mt-MT"/>
        </w:rPr>
        <w:t>Klaipėdos</w:t>
      </w:r>
      <w:proofErr w:type="spellEnd"/>
      <w:r w:rsidRPr="00291D96">
        <w:rPr>
          <w:i/>
          <w:sz w:val="24"/>
          <w:lang w:val="mt-MT"/>
        </w:rPr>
        <w:t xml:space="preserve"> </w:t>
      </w:r>
      <w:proofErr w:type="spellStart"/>
      <w:r w:rsidRPr="00291D96">
        <w:rPr>
          <w:i/>
          <w:sz w:val="24"/>
          <w:lang w:val="mt-MT"/>
        </w:rPr>
        <w:t>valstybinio</w:t>
      </w:r>
      <w:proofErr w:type="spellEnd"/>
      <w:r w:rsidRPr="00291D96">
        <w:rPr>
          <w:i/>
          <w:sz w:val="24"/>
          <w:lang w:val="mt-MT"/>
        </w:rPr>
        <w:t xml:space="preserve"> </w:t>
      </w:r>
      <w:proofErr w:type="spellStart"/>
      <w:r w:rsidRPr="00291D96">
        <w:rPr>
          <w:i/>
          <w:sz w:val="24"/>
          <w:lang w:val="mt-MT"/>
        </w:rPr>
        <w:t>jūrų</w:t>
      </w:r>
      <w:proofErr w:type="spellEnd"/>
      <w:r w:rsidRPr="00291D96">
        <w:rPr>
          <w:i/>
          <w:sz w:val="24"/>
          <w:lang w:val="mt-MT"/>
        </w:rPr>
        <w:t xml:space="preserve"> </w:t>
      </w:r>
      <w:proofErr w:type="spellStart"/>
      <w:r w:rsidRPr="00291D96">
        <w:rPr>
          <w:i/>
          <w:sz w:val="24"/>
          <w:lang w:val="mt-MT"/>
        </w:rPr>
        <w:t>uosto</w:t>
      </w:r>
      <w:proofErr w:type="spellEnd"/>
      <w:r w:rsidRPr="00291D96">
        <w:rPr>
          <w:i/>
          <w:sz w:val="24"/>
          <w:lang w:val="mt-MT"/>
        </w:rPr>
        <w:t xml:space="preserve"> </w:t>
      </w:r>
      <w:proofErr w:type="spellStart"/>
      <w:r w:rsidRPr="00291D96">
        <w:rPr>
          <w:i/>
          <w:sz w:val="24"/>
          <w:lang w:val="mt-MT"/>
        </w:rPr>
        <w:t>direkcija</w:t>
      </w:r>
      <w:proofErr w:type="spellEnd"/>
      <w:r w:rsidRPr="00291D96">
        <w:rPr>
          <w:i/>
          <w:sz w:val="24"/>
          <w:lang w:val="mt-MT"/>
        </w:rPr>
        <w:t xml:space="preserve"> VĮ</w:t>
      </w:r>
      <w:r w:rsidRPr="00291D96">
        <w:rPr>
          <w:sz w:val="24"/>
          <w:lang w:val="mt-MT"/>
        </w:rPr>
        <w:t>, C-298/15, ECLI:EU:C:2017:266.</w:t>
      </w:r>
    </w:p>
  </w:footnote>
  <w:footnote w:id="16">
    <w:p w14:paraId="40E8A664" w14:textId="2C6D274F" w:rsidR="001A17F0" w:rsidRPr="00291D96" w:rsidRDefault="001A17F0" w:rsidP="00291D96">
      <w:pPr>
        <w:pStyle w:val="FootnoteText"/>
        <w:ind w:left="567" w:hanging="567"/>
        <w:rPr>
          <w:sz w:val="24"/>
          <w:lang w:val="mt-MT"/>
        </w:rPr>
      </w:pPr>
      <w:r w:rsidRPr="00291D96">
        <w:rPr>
          <w:rStyle w:val="FootnoteReference"/>
          <w:sz w:val="24"/>
          <w:lang w:val="mt-MT"/>
        </w:rPr>
        <w:footnoteRef/>
      </w:r>
      <w:r w:rsidR="00291D96" w:rsidRPr="00291D96">
        <w:rPr>
          <w:sz w:val="24"/>
          <w:lang w:val="mt-MT"/>
        </w:rPr>
        <w:t xml:space="preserve"> </w:t>
      </w:r>
      <w:r w:rsidR="00291D96" w:rsidRPr="00291D96">
        <w:rPr>
          <w:sz w:val="24"/>
          <w:lang w:val="mt-MT"/>
        </w:rPr>
        <w:tab/>
      </w:r>
      <w:r w:rsidRPr="00291D96">
        <w:rPr>
          <w:sz w:val="24"/>
          <w:lang w:val="mt-MT"/>
        </w:rPr>
        <w:t xml:space="preserve">Ara, pereżempju: </w:t>
      </w:r>
      <w:proofErr w:type="spellStart"/>
      <w:r w:rsidRPr="00291D96">
        <w:rPr>
          <w:sz w:val="24"/>
          <w:lang w:val="mt-MT"/>
        </w:rPr>
        <w:t>Nationaler</w:t>
      </w:r>
      <w:proofErr w:type="spellEnd"/>
      <w:r w:rsidRPr="00291D96">
        <w:rPr>
          <w:sz w:val="24"/>
          <w:lang w:val="mt-MT"/>
        </w:rPr>
        <w:t xml:space="preserve"> </w:t>
      </w:r>
      <w:proofErr w:type="spellStart"/>
      <w:r w:rsidRPr="00291D96">
        <w:rPr>
          <w:sz w:val="24"/>
          <w:lang w:val="mt-MT"/>
        </w:rPr>
        <w:t>Aktionsplan</w:t>
      </w:r>
      <w:proofErr w:type="spellEnd"/>
      <w:r w:rsidRPr="00291D96">
        <w:rPr>
          <w:sz w:val="24"/>
          <w:lang w:val="mt-MT"/>
        </w:rPr>
        <w:t xml:space="preserve"> </w:t>
      </w:r>
      <w:proofErr w:type="spellStart"/>
      <w:r w:rsidRPr="00291D96">
        <w:rPr>
          <w:sz w:val="24"/>
          <w:lang w:val="mt-MT"/>
        </w:rPr>
        <w:t>gegen</w:t>
      </w:r>
      <w:proofErr w:type="spellEnd"/>
      <w:r w:rsidRPr="00291D96">
        <w:rPr>
          <w:sz w:val="24"/>
          <w:lang w:val="mt-MT"/>
        </w:rPr>
        <w:t xml:space="preserve"> </w:t>
      </w:r>
      <w:proofErr w:type="spellStart"/>
      <w:r w:rsidRPr="00291D96">
        <w:rPr>
          <w:sz w:val="24"/>
          <w:lang w:val="mt-MT"/>
        </w:rPr>
        <w:t>Arbeitsausbeutung</w:t>
      </w:r>
      <w:proofErr w:type="spellEnd"/>
      <w:r w:rsidRPr="00291D96">
        <w:rPr>
          <w:sz w:val="24"/>
          <w:lang w:val="mt-MT"/>
        </w:rPr>
        <w:t xml:space="preserve"> </w:t>
      </w:r>
      <w:proofErr w:type="spellStart"/>
      <w:r w:rsidRPr="00291D96">
        <w:rPr>
          <w:sz w:val="24"/>
          <w:lang w:val="mt-MT"/>
        </w:rPr>
        <w:t>und</w:t>
      </w:r>
      <w:proofErr w:type="spellEnd"/>
      <w:r w:rsidRPr="00291D96">
        <w:rPr>
          <w:sz w:val="24"/>
          <w:lang w:val="mt-MT"/>
        </w:rPr>
        <w:t xml:space="preserve"> </w:t>
      </w:r>
      <w:proofErr w:type="spellStart"/>
      <w:r w:rsidRPr="00291D96">
        <w:rPr>
          <w:sz w:val="24"/>
          <w:lang w:val="mt-MT"/>
        </w:rPr>
        <w:t>Zwangsarbeit</w:t>
      </w:r>
      <w:proofErr w:type="spellEnd"/>
      <w:r w:rsidRPr="00291D96">
        <w:rPr>
          <w:sz w:val="24"/>
          <w:lang w:val="mt-MT"/>
        </w:rPr>
        <w:t xml:space="preserve"> tal-Ministeru Federali Ġermaniż għax-Xogħol u l-Affarijiet Soċjali, 2025; </w:t>
      </w:r>
      <w:proofErr w:type="spellStart"/>
      <w:r w:rsidRPr="00291D96">
        <w:rPr>
          <w:sz w:val="24"/>
          <w:lang w:val="mt-MT"/>
        </w:rPr>
        <w:t>Piano</w:t>
      </w:r>
      <w:proofErr w:type="spellEnd"/>
      <w:r w:rsidRPr="00291D96">
        <w:rPr>
          <w:sz w:val="24"/>
          <w:lang w:val="mt-MT"/>
        </w:rPr>
        <w:t xml:space="preserve"> </w:t>
      </w:r>
      <w:proofErr w:type="spellStart"/>
      <w:r w:rsidRPr="00291D96">
        <w:rPr>
          <w:sz w:val="24"/>
          <w:lang w:val="mt-MT"/>
        </w:rPr>
        <w:t>nazionale</w:t>
      </w:r>
      <w:proofErr w:type="spellEnd"/>
      <w:r w:rsidRPr="00291D96">
        <w:rPr>
          <w:sz w:val="24"/>
          <w:lang w:val="mt-MT"/>
        </w:rPr>
        <w:t xml:space="preserve"> per la lotta </w:t>
      </w:r>
      <w:proofErr w:type="spellStart"/>
      <w:r w:rsidRPr="00291D96">
        <w:rPr>
          <w:sz w:val="24"/>
          <w:lang w:val="mt-MT"/>
        </w:rPr>
        <w:t>al</w:t>
      </w:r>
      <w:proofErr w:type="spellEnd"/>
      <w:r w:rsidRPr="00291D96">
        <w:rPr>
          <w:sz w:val="24"/>
          <w:lang w:val="mt-MT"/>
        </w:rPr>
        <w:t xml:space="preserve"> </w:t>
      </w:r>
      <w:proofErr w:type="spellStart"/>
      <w:r w:rsidRPr="00291D96">
        <w:rPr>
          <w:sz w:val="24"/>
          <w:lang w:val="mt-MT"/>
        </w:rPr>
        <w:t>lavoro</w:t>
      </w:r>
      <w:proofErr w:type="spellEnd"/>
      <w:r w:rsidRPr="00291D96">
        <w:rPr>
          <w:sz w:val="24"/>
          <w:lang w:val="mt-MT"/>
        </w:rPr>
        <w:t xml:space="preserve"> </w:t>
      </w:r>
      <w:proofErr w:type="spellStart"/>
      <w:r w:rsidRPr="00291D96">
        <w:rPr>
          <w:sz w:val="24"/>
          <w:lang w:val="mt-MT"/>
        </w:rPr>
        <w:t>sommerso</w:t>
      </w:r>
      <w:proofErr w:type="spellEnd"/>
      <w:r w:rsidRPr="00291D96">
        <w:rPr>
          <w:sz w:val="24"/>
          <w:lang w:val="mt-MT"/>
        </w:rPr>
        <w:t xml:space="preserve"> tal-Ministeru Taljan għax-Xogħol u l-Politiki Soċjali (2022); </w:t>
      </w:r>
      <w:proofErr w:type="spellStart"/>
      <w:r w:rsidRPr="00291D96">
        <w:rPr>
          <w:sz w:val="24"/>
          <w:lang w:val="mt-MT"/>
        </w:rPr>
        <w:t>Plan</w:t>
      </w:r>
      <w:proofErr w:type="spellEnd"/>
      <w:r w:rsidRPr="00291D96">
        <w:rPr>
          <w:sz w:val="24"/>
          <w:lang w:val="mt-MT"/>
        </w:rPr>
        <w:t xml:space="preserve"> de </w:t>
      </w:r>
      <w:proofErr w:type="spellStart"/>
      <w:r w:rsidRPr="00291D96">
        <w:rPr>
          <w:sz w:val="24"/>
          <w:lang w:val="mt-MT"/>
        </w:rPr>
        <w:t>Acción</w:t>
      </w:r>
      <w:proofErr w:type="spellEnd"/>
      <w:r w:rsidRPr="00291D96">
        <w:rPr>
          <w:sz w:val="24"/>
          <w:lang w:val="mt-MT"/>
        </w:rPr>
        <w:t xml:space="preserve"> </w:t>
      </w:r>
      <w:proofErr w:type="spellStart"/>
      <w:r w:rsidRPr="00291D96">
        <w:rPr>
          <w:sz w:val="24"/>
          <w:lang w:val="mt-MT"/>
        </w:rPr>
        <w:t>contra</w:t>
      </w:r>
      <w:proofErr w:type="spellEnd"/>
      <w:r w:rsidRPr="00291D96">
        <w:rPr>
          <w:sz w:val="24"/>
          <w:lang w:val="mt-MT"/>
        </w:rPr>
        <w:t xml:space="preserve"> </w:t>
      </w:r>
      <w:proofErr w:type="spellStart"/>
      <w:r w:rsidRPr="00291D96">
        <w:rPr>
          <w:sz w:val="24"/>
          <w:lang w:val="mt-MT"/>
        </w:rPr>
        <w:t>el</w:t>
      </w:r>
      <w:proofErr w:type="spellEnd"/>
      <w:r w:rsidRPr="00291D96">
        <w:rPr>
          <w:sz w:val="24"/>
          <w:lang w:val="mt-MT"/>
        </w:rPr>
        <w:t xml:space="preserve"> </w:t>
      </w:r>
      <w:proofErr w:type="spellStart"/>
      <w:r w:rsidRPr="00291D96">
        <w:rPr>
          <w:sz w:val="24"/>
          <w:lang w:val="mt-MT"/>
        </w:rPr>
        <w:t>Trabajo</w:t>
      </w:r>
      <w:proofErr w:type="spellEnd"/>
      <w:r w:rsidRPr="00291D96">
        <w:rPr>
          <w:sz w:val="24"/>
          <w:lang w:val="mt-MT"/>
        </w:rPr>
        <w:t xml:space="preserve"> </w:t>
      </w:r>
      <w:proofErr w:type="spellStart"/>
      <w:r w:rsidRPr="00291D96">
        <w:rPr>
          <w:sz w:val="24"/>
          <w:lang w:val="mt-MT"/>
        </w:rPr>
        <w:t>Forzoso</w:t>
      </w:r>
      <w:proofErr w:type="spellEnd"/>
      <w:r w:rsidRPr="00291D96">
        <w:rPr>
          <w:sz w:val="24"/>
          <w:lang w:val="mt-MT"/>
        </w:rPr>
        <w:t xml:space="preserve"> tal-Ministeru Spanjol għall-Inklużjoni, is-Sigurtà Soċjali u l-Migrazzjoni (2021); </w:t>
      </w:r>
      <w:proofErr w:type="spellStart"/>
      <w:r w:rsidRPr="00291D96">
        <w:rPr>
          <w:sz w:val="24"/>
          <w:lang w:val="mt-MT"/>
        </w:rPr>
        <w:t>Nationell</w:t>
      </w:r>
      <w:proofErr w:type="spellEnd"/>
      <w:r w:rsidRPr="00291D96">
        <w:rPr>
          <w:sz w:val="24"/>
          <w:lang w:val="mt-MT"/>
        </w:rPr>
        <w:t xml:space="preserve"> </w:t>
      </w:r>
      <w:proofErr w:type="spellStart"/>
      <w:r w:rsidRPr="00291D96">
        <w:rPr>
          <w:sz w:val="24"/>
          <w:lang w:val="mt-MT"/>
        </w:rPr>
        <w:t>strategi</w:t>
      </w:r>
      <w:proofErr w:type="spellEnd"/>
      <w:r w:rsidRPr="00291D96">
        <w:rPr>
          <w:sz w:val="24"/>
          <w:lang w:val="mt-MT"/>
        </w:rPr>
        <w:t xml:space="preserve"> </w:t>
      </w:r>
      <w:proofErr w:type="spellStart"/>
      <w:r w:rsidRPr="00291D96">
        <w:rPr>
          <w:sz w:val="24"/>
          <w:lang w:val="mt-MT"/>
        </w:rPr>
        <w:t>mot</w:t>
      </w:r>
      <w:proofErr w:type="spellEnd"/>
      <w:r w:rsidRPr="00291D96">
        <w:rPr>
          <w:sz w:val="24"/>
          <w:lang w:val="mt-MT"/>
        </w:rPr>
        <w:t xml:space="preserve"> </w:t>
      </w:r>
      <w:proofErr w:type="spellStart"/>
      <w:r w:rsidRPr="00291D96">
        <w:rPr>
          <w:sz w:val="24"/>
          <w:lang w:val="mt-MT"/>
        </w:rPr>
        <w:t>arbetslivskriminalitet</w:t>
      </w:r>
      <w:proofErr w:type="spellEnd"/>
      <w:r w:rsidRPr="00291D96">
        <w:rPr>
          <w:sz w:val="24"/>
          <w:lang w:val="mt-MT"/>
        </w:rPr>
        <w:t xml:space="preserve"> tal-Gvern Żvediż (2022) u kif ukoll: </w:t>
      </w:r>
      <w:proofErr w:type="spellStart"/>
      <w:r w:rsidRPr="00291D96">
        <w:rPr>
          <w:sz w:val="24"/>
          <w:lang w:val="mt-MT"/>
        </w:rPr>
        <w:t>Strategi</w:t>
      </w:r>
      <w:proofErr w:type="spellEnd"/>
      <w:r w:rsidRPr="00291D96">
        <w:rPr>
          <w:sz w:val="24"/>
          <w:lang w:val="mt-MT"/>
        </w:rPr>
        <w:t xml:space="preserve"> </w:t>
      </w:r>
      <w:proofErr w:type="spellStart"/>
      <w:r w:rsidRPr="00291D96">
        <w:rPr>
          <w:sz w:val="24"/>
          <w:lang w:val="mt-MT"/>
        </w:rPr>
        <w:t>mot</w:t>
      </w:r>
      <w:proofErr w:type="spellEnd"/>
      <w:r w:rsidRPr="00291D96">
        <w:rPr>
          <w:sz w:val="24"/>
          <w:lang w:val="mt-MT"/>
        </w:rPr>
        <w:t xml:space="preserve"> </w:t>
      </w:r>
      <w:proofErr w:type="spellStart"/>
      <w:r w:rsidRPr="00291D96">
        <w:rPr>
          <w:sz w:val="24"/>
          <w:lang w:val="mt-MT"/>
        </w:rPr>
        <w:t>arbeidslivskriminalitet</w:t>
      </w:r>
      <w:proofErr w:type="spellEnd"/>
      <w:r w:rsidRPr="00291D96">
        <w:rPr>
          <w:sz w:val="24"/>
          <w:lang w:val="mt-MT"/>
        </w:rPr>
        <w:t xml:space="preserve"> (2021) tal-Gvern Norveġiż.</w:t>
      </w:r>
    </w:p>
  </w:footnote>
  <w:footnote w:id="17">
    <w:p w14:paraId="38440EBD" w14:textId="2BA166DC" w:rsidR="001A17F0" w:rsidRPr="00291D96" w:rsidRDefault="001A17F0" w:rsidP="00291D96">
      <w:pPr>
        <w:pStyle w:val="FootnoteText"/>
        <w:ind w:left="567" w:hanging="567"/>
        <w:rPr>
          <w:sz w:val="24"/>
          <w:lang w:val="mt-MT"/>
        </w:rPr>
      </w:pPr>
      <w:r w:rsidRPr="00291D96">
        <w:rPr>
          <w:rStyle w:val="FootnoteReference"/>
          <w:sz w:val="24"/>
          <w:lang w:val="mt-MT"/>
        </w:rPr>
        <w:footnoteRef/>
      </w:r>
      <w:r w:rsidR="00291D96" w:rsidRPr="00291D96">
        <w:rPr>
          <w:sz w:val="24"/>
          <w:lang w:val="mt-MT"/>
        </w:rPr>
        <w:t xml:space="preserve"> </w:t>
      </w:r>
      <w:r w:rsidR="00291D96" w:rsidRPr="00291D96">
        <w:rPr>
          <w:sz w:val="24"/>
          <w:lang w:val="mt-MT"/>
        </w:rPr>
        <w:tab/>
      </w:r>
      <w:r w:rsidRPr="00291D96">
        <w:rPr>
          <w:sz w:val="24"/>
          <w:lang w:val="mt-MT"/>
        </w:rPr>
        <w:t>Il-Kummissjoni Ewropea, ir-raba’ rapport dwar il-progress li sar fil-ġlieda kontra t-traffikar tal-bnedmin (COM(2022)0736); Il-Kummissjoni Ewropea, il-ħames rapport dwar il-progress li jkun sar fil-ġlieda kontra t-traffikar ta’ bnedmin (COM(2025)0008).</w:t>
      </w:r>
    </w:p>
  </w:footnote>
  <w:footnote w:id="18">
    <w:p w14:paraId="25F63C48" w14:textId="4BAE0F95" w:rsidR="001A17F0" w:rsidRPr="00291D96" w:rsidRDefault="001A17F0" w:rsidP="00291D96">
      <w:pPr>
        <w:pStyle w:val="FootnoteText"/>
        <w:ind w:left="567" w:hanging="567"/>
        <w:rPr>
          <w:sz w:val="24"/>
          <w:lang w:val="mt-MT"/>
        </w:rPr>
      </w:pPr>
      <w:r w:rsidRPr="00291D96">
        <w:rPr>
          <w:rStyle w:val="FootnoteReference"/>
          <w:sz w:val="24"/>
          <w:lang w:val="mt-MT"/>
        </w:rPr>
        <w:footnoteRef/>
      </w:r>
      <w:r w:rsidR="00291D96" w:rsidRPr="00291D96">
        <w:rPr>
          <w:sz w:val="24"/>
          <w:lang w:val="mt-MT"/>
        </w:rPr>
        <w:t xml:space="preserve"> </w:t>
      </w:r>
      <w:r w:rsidR="00291D96" w:rsidRPr="00291D96">
        <w:rPr>
          <w:sz w:val="24"/>
          <w:lang w:val="mt-MT"/>
        </w:rPr>
        <w:tab/>
      </w:r>
      <w:r w:rsidRPr="00291D96">
        <w:rPr>
          <w:sz w:val="24"/>
          <w:lang w:val="mt-MT"/>
        </w:rPr>
        <w:t xml:space="preserve">ELA, </w:t>
      </w:r>
      <w:proofErr w:type="spellStart"/>
      <w:r w:rsidRPr="00291D96">
        <w:rPr>
          <w:i/>
          <w:sz w:val="24"/>
          <w:lang w:val="mt-MT"/>
        </w:rPr>
        <w:t>Posting</w:t>
      </w:r>
      <w:proofErr w:type="spellEnd"/>
      <w:r w:rsidRPr="00291D96">
        <w:rPr>
          <w:i/>
          <w:sz w:val="24"/>
          <w:lang w:val="mt-MT"/>
        </w:rPr>
        <w:t xml:space="preserve"> of </w:t>
      </w:r>
      <w:proofErr w:type="spellStart"/>
      <w:r w:rsidRPr="00291D96">
        <w:rPr>
          <w:i/>
          <w:sz w:val="24"/>
          <w:lang w:val="mt-MT"/>
        </w:rPr>
        <w:t>third-country</w:t>
      </w:r>
      <w:proofErr w:type="spellEnd"/>
      <w:r w:rsidRPr="00291D96">
        <w:rPr>
          <w:i/>
          <w:sz w:val="24"/>
          <w:lang w:val="mt-MT"/>
        </w:rPr>
        <w:t xml:space="preserve"> </w:t>
      </w:r>
      <w:proofErr w:type="spellStart"/>
      <w:r w:rsidRPr="00291D96">
        <w:rPr>
          <w:i/>
          <w:sz w:val="24"/>
          <w:lang w:val="mt-MT"/>
        </w:rPr>
        <w:t>nationals</w:t>
      </w:r>
      <w:proofErr w:type="spellEnd"/>
      <w:r w:rsidRPr="00291D96">
        <w:rPr>
          <w:i/>
          <w:sz w:val="24"/>
          <w:lang w:val="mt-MT"/>
        </w:rPr>
        <w:t>:</w:t>
      </w:r>
      <w:r w:rsidRPr="00291D96">
        <w:rPr>
          <w:i/>
          <w:iCs/>
          <w:sz w:val="24"/>
          <w:lang w:val="mt-MT"/>
        </w:rPr>
        <w:t xml:space="preserve"> </w:t>
      </w:r>
      <w:proofErr w:type="spellStart"/>
      <w:r w:rsidRPr="00291D96">
        <w:rPr>
          <w:i/>
          <w:sz w:val="24"/>
          <w:lang w:val="mt-MT"/>
        </w:rPr>
        <w:t>contracting</w:t>
      </w:r>
      <w:proofErr w:type="spellEnd"/>
      <w:r w:rsidRPr="00291D96">
        <w:rPr>
          <w:i/>
          <w:sz w:val="24"/>
          <w:lang w:val="mt-MT"/>
        </w:rPr>
        <w:t xml:space="preserve"> </w:t>
      </w:r>
      <w:proofErr w:type="spellStart"/>
      <w:r w:rsidRPr="00291D96">
        <w:rPr>
          <w:i/>
          <w:sz w:val="24"/>
          <w:lang w:val="mt-MT"/>
        </w:rPr>
        <w:t>chains</w:t>
      </w:r>
      <w:proofErr w:type="spellEnd"/>
      <w:r w:rsidRPr="00291D96">
        <w:rPr>
          <w:i/>
          <w:sz w:val="24"/>
          <w:lang w:val="mt-MT"/>
        </w:rPr>
        <w:t xml:space="preserve">, </w:t>
      </w:r>
      <w:proofErr w:type="spellStart"/>
      <w:r w:rsidRPr="00291D96">
        <w:rPr>
          <w:i/>
          <w:sz w:val="24"/>
          <w:lang w:val="mt-MT"/>
        </w:rPr>
        <w:t>recruitment</w:t>
      </w:r>
      <w:proofErr w:type="spellEnd"/>
      <w:r w:rsidRPr="00291D96">
        <w:rPr>
          <w:i/>
          <w:sz w:val="24"/>
          <w:lang w:val="mt-MT"/>
        </w:rPr>
        <w:t xml:space="preserve"> </w:t>
      </w:r>
      <w:proofErr w:type="spellStart"/>
      <w:r w:rsidRPr="00291D96">
        <w:rPr>
          <w:i/>
          <w:sz w:val="24"/>
          <w:lang w:val="mt-MT"/>
        </w:rPr>
        <w:t>patterns</w:t>
      </w:r>
      <w:proofErr w:type="spellEnd"/>
      <w:r w:rsidRPr="00291D96">
        <w:rPr>
          <w:i/>
          <w:sz w:val="24"/>
          <w:lang w:val="mt-MT"/>
        </w:rPr>
        <w:t xml:space="preserve">, </w:t>
      </w:r>
      <w:proofErr w:type="spellStart"/>
      <w:r w:rsidRPr="00291D96">
        <w:rPr>
          <w:i/>
          <w:sz w:val="24"/>
          <w:lang w:val="mt-MT"/>
        </w:rPr>
        <w:t>and</w:t>
      </w:r>
      <w:proofErr w:type="spellEnd"/>
      <w:r w:rsidRPr="00291D96">
        <w:rPr>
          <w:i/>
          <w:sz w:val="24"/>
          <w:lang w:val="mt-MT"/>
        </w:rPr>
        <w:t xml:space="preserve"> </w:t>
      </w:r>
      <w:proofErr w:type="spellStart"/>
      <w:r w:rsidRPr="00291D96">
        <w:rPr>
          <w:i/>
          <w:sz w:val="24"/>
          <w:lang w:val="mt-MT"/>
        </w:rPr>
        <w:t>enforcement</w:t>
      </w:r>
      <w:proofErr w:type="spellEnd"/>
      <w:r w:rsidRPr="00291D96">
        <w:rPr>
          <w:i/>
          <w:sz w:val="24"/>
          <w:lang w:val="mt-MT"/>
        </w:rPr>
        <w:t xml:space="preserve"> </w:t>
      </w:r>
      <w:proofErr w:type="spellStart"/>
      <w:r w:rsidRPr="00291D96">
        <w:rPr>
          <w:i/>
          <w:sz w:val="24"/>
          <w:lang w:val="mt-MT"/>
        </w:rPr>
        <w:t>issues</w:t>
      </w:r>
      <w:proofErr w:type="spellEnd"/>
      <w:r w:rsidRPr="00291D96">
        <w:rPr>
          <w:sz w:val="24"/>
          <w:lang w:val="mt-MT"/>
        </w:rPr>
        <w:t xml:space="preserve"> (Stazzjonar ta’ nazzjonali ta’ pajjiżi terzi: katini ta’ kuntrattar, xejriet ta’ reklutaġġ, u kwistjonijiet ta’ infurzar)</w:t>
      </w:r>
      <w:r w:rsidRPr="00291D96">
        <w:rPr>
          <w:i/>
          <w:iCs/>
          <w:sz w:val="24"/>
          <w:lang w:val="mt-MT"/>
        </w:rPr>
        <w:t xml:space="preserve"> </w:t>
      </w:r>
      <w:r w:rsidRPr="00291D96">
        <w:rPr>
          <w:sz w:val="24"/>
          <w:lang w:val="mt-MT"/>
        </w:rPr>
        <w:t xml:space="preserve">(2025); ELA, </w:t>
      </w:r>
      <w:proofErr w:type="spellStart"/>
      <w:r w:rsidRPr="00291D96">
        <w:rPr>
          <w:i/>
          <w:sz w:val="24"/>
          <w:lang w:val="mt-MT"/>
        </w:rPr>
        <w:t>Counteracting</w:t>
      </w:r>
      <w:proofErr w:type="spellEnd"/>
      <w:r w:rsidRPr="00291D96">
        <w:rPr>
          <w:i/>
          <w:sz w:val="24"/>
          <w:lang w:val="mt-MT"/>
        </w:rPr>
        <w:t xml:space="preserve"> </w:t>
      </w:r>
      <w:proofErr w:type="spellStart"/>
      <w:r w:rsidRPr="00291D96">
        <w:rPr>
          <w:i/>
          <w:sz w:val="24"/>
          <w:lang w:val="mt-MT"/>
        </w:rPr>
        <w:t>undeclared</w:t>
      </w:r>
      <w:proofErr w:type="spellEnd"/>
      <w:r w:rsidRPr="00291D96">
        <w:rPr>
          <w:i/>
          <w:sz w:val="24"/>
          <w:lang w:val="mt-MT"/>
        </w:rPr>
        <w:t xml:space="preserve"> </w:t>
      </w:r>
      <w:proofErr w:type="spellStart"/>
      <w:r w:rsidRPr="00291D96">
        <w:rPr>
          <w:i/>
          <w:sz w:val="24"/>
          <w:lang w:val="mt-MT"/>
        </w:rPr>
        <w:t>work</w:t>
      </w:r>
      <w:proofErr w:type="spellEnd"/>
      <w:r w:rsidRPr="00291D96">
        <w:rPr>
          <w:i/>
          <w:sz w:val="24"/>
          <w:lang w:val="mt-MT"/>
        </w:rPr>
        <w:t xml:space="preserve"> </w:t>
      </w:r>
      <w:proofErr w:type="spellStart"/>
      <w:r w:rsidRPr="00291D96">
        <w:rPr>
          <w:i/>
          <w:sz w:val="24"/>
          <w:lang w:val="mt-MT"/>
        </w:rPr>
        <w:t>and</w:t>
      </w:r>
      <w:proofErr w:type="spellEnd"/>
      <w:r w:rsidRPr="00291D96">
        <w:rPr>
          <w:i/>
          <w:sz w:val="24"/>
          <w:lang w:val="mt-MT"/>
        </w:rPr>
        <w:t xml:space="preserve"> labour </w:t>
      </w:r>
      <w:proofErr w:type="spellStart"/>
      <w:r w:rsidRPr="00291D96">
        <w:rPr>
          <w:i/>
          <w:sz w:val="24"/>
          <w:lang w:val="mt-MT"/>
        </w:rPr>
        <w:t>exploitation</w:t>
      </w:r>
      <w:proofErr w:type="spellEnd"/>
      <w:r w:rsidRPr="00291D96">
        <w:rPr>
          <w:i/>
          <w:sz w:val="24"/>
          <w:lang w:val="mt-MT"/>
        </w:rPr>
        <w:t xml:space="preserve"> of </w:t>
      </w:r>
      <w:proofErr w:type="spellStart"/>
      <w:r w:rsidRPr="00291D96">
        <w:rPr>
          <w:i/>
          <w:sz w:val="24"/>
          <w:lang w:val="mt-MT"/>
        </w:rPr>
        <w:t>third-country</w:t>
      </w:r>
      <w:proofErr w:type="spellEnd"/>
      <w:r w:rsidRPr="00291D96">
        <w:rPr>
          <w:i/>
          <w:sz w:val="24"/>
          <w:lang w:val="mt-MT"/>
        </w:rPr>
        <w:t xml:space="preserve"> </w:t>
      </w:r>
      <w:proofErr w:type="spellStart"/>
      <w:r w:rsidRPr="00291D96">
        <w:rPr>
          <w:i/>
          <w:sz w:val="24"/>
          <w:lang w:val="mt-MT"/>
        </w:rPr>
        <w:t>national</w:t>
      </w:r>
      <w:proofErr w:type="spellEnd"/>
      <w:r w:rsidRPr="00291D96">
        <w:rPr>
          <w:i/>
          <w:sz w:val="24"/>
          <w:lang w:val="mt-MT"/>
        </w:rPr>
        <w:t xml:space="preserve"> workers</w:t>
      </w:r>
      <w:r w:rsidRPr="00291D96">
        <w:rPr>
          <w:sz w:val="24"/>
          <w:lang w:val="mt-MT"/>
        </w:rPr>
        <w:t xml:space="preserve"> (Il-ġlieda kontra x-xogħol mhux iddikjarat u l-isfruttament tax-xogħol ta’ ħaddiema ċittadini ta’ pajjiżi terzi) (2021); ELA, </w:t>
      </w:r>
      <w:proofErr w:type="spellStart"/>
      <w:r w:rsidRPr="00291D96">
        <w:rPr>
          <w:i/>
          <w:iCs/>
          <w:sz w:val="24"/>
          <w:lang w:val="mt-MT"/>
        </w:rPr>
        <w:t>Tackling</w:t>
      </w:r>
      <w:proofErr w:type="spellEnd"/>
      <w:r w:rsidRPr="00291D96">
        <w:rPr>
          <w:i/>
          <w:iCs/>
          <w:sz w:val="24"/>
          <w:lang w:val="mt-MT"/>
        </w:rPr>
        <w:t xml:space="preserve"> </w:t>
      </w:r>
      <w:proofErr w:type="spellStart"/>
      <w:r w:rsidRPr="00291D96">
        <w:rPr>
          <w:i/>
          <w:iCs/>
          <w:sz w:val="24"/>
          <w:lang w:val="mt-MT"/>
        </w:rPr>
        <w:t>undeclared</w:t>
      </w:r>
      <w:proofErr w:type="spellEnd"/>
      <w:r w:rsidRPr="00291D96">
        <w:rPr>
          <w:i/>
          <w:iCs/>
          <w:sz w:val="24"/>
          <w:lang w:val="mt-MT"/>
        </w:rPr>
        <w:t xml:space="preserve"> </w:t>
      </w:r>
      <w:proofErr w:type="spellStart"/>
      <w:r w:rsidRPr="00291D96">
        <w:rPr>
          <w:i/>
          <w:iCs/>
          <w:sz w:val="24"/>
          <w:lang w:val="mt-MT"/>
        </w:rPr>
        <w:t>work</w:t>
      </w:r>
      <w:proofErr w:type="spellEnd"/>
      <w:r w:rsidRPr="00291D96">
        <w:rPr>
          <w:i/>
          <w:iCs/>
          <w:sz w:val="24"/>
          <w:lang w:val="mt-MT"/>
        </w:rPr>
        <w:t xml:space="preserve"> in </w:t>
      </w:r>
      <w:proofErr w:type="spellStart"/>
      <w:r w:rsidRPr="00291D96">
        <w:rPr>
          <w:i/>
          <w:iCs/>
          <w:sz w:val="24"/>
          <w:lang w:val="mt-MT"/>
        </w:rPr>
        <w:t>supply</w:t>
      </w:r>
      <w:proofErr w:type="spellEnd"/>
      <w:r w:rsidRPr="00291D96">
        <w:rPr>
          <w:i/>
          <w:iCs/>
          <w:sz w:val="24"/>
          <w:lang w:val="mt-MT"/>
        </w:rPr>
        <w:t xml:space="preserve"> </w:t>
      </w:r>
      <w:proofErr w:type="spellStart"/>
      <w:r w:rsidRPr="00291D96">
        <w:rPr>
          <w:i/>
          <w:iCs/>
          <w:sz w:val="24"/>
          <w:lang w:val="mt-MT"/>
        </w:rPr>
        <w:t>chains</w:t>
      </w:r>
      <w:proofErr w:type="spellEnd"/>
      <w:r w:rsidRPr="00291D96">
        <w:rPr>
          <w:i/>
          <w:iCs/>
          <w:sz w:val="24"/>
          <w:lang w:val="mt-MT"/>
        </w:rPr>
        <w:t xml:space="preserve"> — </w:t>
      </w:r>
      <w:proofErr w:type="spellStart"/>
      <w:r w:rsidRPr="00291D96">
        <w:rPr>
          <w:i/>
          <w:iCs/>
          <w:sz w:val="24"/>
          <w:lang w:val="mt-MT"/>
        </w:rPr>
        <w:t>Learning</w:t>
      </w:r>
      <w:proofErr w:type="spellEnd"/>
      <w:r w:rsidRPr="00291D96">
        <w:rPr>
          <w:i/>
          <w:iCs/>
          <w:sz w:val="24"/>
          <w:lang w:val="mt-MT"/>
        </w:rPr>
        <w:t xml:space="preserve"> </w:t>
      </w:r>
      <w:proofErr w:type="spellStart"/>
      <w:r w:rsidRPr="00291D96">
        <w:rPr>
          <w:i/>
          <w:iCs/>
          <w:sz w:val="24"/>
          <w:lang w:val="mt-MT"/>
        </w:rPr>
        <w:t>Resource</w:t>
      </w:r>
      <w:proofErr w:type="spellEnd"/>
      <w:r w:rsidRPr="00291D96">
        <w:rPr>
          <w:i/>
          <w:iCs/>
          <w:sz w:val="24"/>
          <w:lang w:val="mt-MT"/>
        </w:rPr>
        <w:t xml:space="preserve"> </w:t>
      </w:r>
      <w:proofErr w:type="spellStart"/>
      <w:r w:rsidRPr="00291D96">
        <w:rPr>
          <w:i/>
          <w:iCs/>
          <w:sz w:val="24"/>
          <w:lang w:val="mt-MT"/>
        </w:rPr>
        <w:t>Paper</w:t>
      </w:r>
      <w:proofErr w:type="spellEnd"/>
      <w:r w:rsidRPr="00291D96">
        <w:rPr>
          <w:sz w:val="24"/>
          <w:lang w:val="mt-MT"/>
        </w:rPr>
        <w:t xml:space="preserve"> (L-indirizzar tax-xogħol mhux iddikjarat fil-ktajjen tal-provvista – Dokument dwar ir-Riżorsi tat-Tagħlim) (2022); Ir-rapport tal-Kummissjoni dwar l-applikazzjoni u l-implimentazzjoni tad-Direttiva (UE) 2018/957 tal-Parlament Ewropew u tal-Kunsill tat-28 ta’ Ġunju 2018 li temenda d-Direttiva 96/71/KE dwar l-istazzjonar ta’ ħaddiema fil-qafas ta’ prestazzjoni ta’ servizzi (COM(2024)0320).</w:t>
      </w:r>
    </w:p>
  </w:footnote>
  <w:footnote w:id="19">
    <w:p w14:paraId="727364E7" w14:textId="4BB4EF2A" w:rsidR="001A17F0" w:rsidRPr="00291D96" w:rsidRDefault="001A17F0" w:rsidP="00291D96">
      <w:pPr>
        <w:pStyle w:val="FootnoteText"/>
        <w:ind w:left="567" w:hanging="567"/>
        <w:rPr>
          <w:sz w:val="24"/>
          <w:lang w:val="mt-MT"/>
        </w:rPr>
      </w:pPr>
      <w:r w:rsidRPr="00291D96">
        <w:rPr>
          <w:rStyle w:val="FootnoteReference"/>
          <w:sz w:val="24"/>
          <w:lang w:val="mt-MT"/>
        </w:rPr>
        <w:footnoteRef/>
      </w:r>
      <w:r w:rsidR="00291D96" w:rsidRPr="00291D96">
        <w:rPr>
          <w:sz w:val="24"/>
          <w:lang w:val="mt-MT"/>
        </w:rPr>
        <w:t xml:space="preserve"> </w:t>
      </w:r>
      <w:r w:rsidR="00291D96" w:rsidRPr="00291D96">
        <w:rPr>
          <w:sz w:val="24"/>
          <w:lang w:val="mt-MT"/>
        </w:rPr>
        <w:tab/>
      </w:r>
      <w:r w:rsidRPr="00291D96">
        <w:rPr>
          <w:sz w:val="24"/>
          <w:lang w:val="mt-MT"/>
        </w:rPr>
        <w:t>Il-Komunikazzjoni tal-Kummissjoni bit-titolu “Linji Gwida dwar l-applikabbiltà tal-Artikolu 101 tat-Trattat dwar il-Funzjonament tal-Unjoni Ewropea għall-ftehimiet ta’ kooperazzjoni orizzontali” (ĠU C 259, 21.7.2023, p. 1).</w:t>
      </w:r>
    </w:p>
  </w:footnote>
  <w:footnote w:id="20">
    <w:p w14:paraId="4FF2EE73" w14:textId="1F9B2208" w:rsidR="001A17F0" w:rsidRPr="00291D96" w:rsidRDefault="001A17F0" w:rsidP="00291D96">
      <w:pPr>
        <w:pStyle w:val="FootnoteText"/>
        <w:ind w:left="567" w:hanging="567"/>
        <w:rPr>
          <w:sz w:val="24"/>
          <w:lang w:val="mt-MT"/>
        </w:rPr>
      </w:pPr>
      <w:r w:rsidRPr="00291D96">
        <w:rPr>
          <w:rStyle w:val="FootnoteReference"/>
          <w:sz w:val="24"/>
          <w:lang w:val="mt-MT"/>
        </w:rPr>
        <w:footnoteRef/>
      </w:r>
      <w:r w:rsidR="00291D96" w:rsidRPr="00291D96">
        <w:rPr>
          <w:sz w:val="24"/>
          <w:lang w:val="mt-MT"/>
        </w:rPr>
        <w:t xml:space="preserve"> </w:t>
      </w:r>
      <w:r w:rsidR="00291D96" w:rsidRPr="00291D96">
        <w:rPr>
          <w:sz w:val="24"/>
          <w:lang w:val="mt-MT"/>
        </w:rPr>
        <w:tab/>
      </w:r>
      <w:r w:rsidRPr="00291D96">
        <w:rPr>
          <w:sz w:val="24"/>
          <w:lang w:val="mt-MT"/>
        </w:rPr>
        <w:t xml:space="preserve">Il-Kummissjoni Ewropea: Id-Direttorat Ġenerali għall-Impjiegi, l-Affarijiet Soċjali u l-Inklużjoni, EFTHEIA, HIVA-KU Leuven, IRIS, </w:t>
      </w:r>
      <w:proofErr w:type="spellStart"/>
      <w:r w:rsidRPr="00291D96">
        <w:rPr>
          <w:sz w:val="24"/>
          <w:lang w:val="mt-MT"/>
        </w:rPr>
        <w:t>Milieu</w:t>
      </w:r>
      <w:proofErr w:type="spellEnd"/>
      <w:r w:rsidRPr="00291D96">
        <w:rPr>
          <w:sz w:val="24"/>
          <w:lang w:val="mt-MT"/>
        </w:rPr>
        <w:t xml:space="preserve"> u WIIW, </w:t>
      </w:r>
      <w:hyperlink r:id="rId14" w:history="1">
        <w:proofErr w:type="spellStart"/>
        <w:r w:rsidRPr="00291D96">
          <w:rPr>
            <w:rStyle w:val="Hyperlink"/>
            <w:i/>
            <w:sz w:val="24"/>
            <w:lang w:val="mt-MT"/>
          </w:rPr>
          <w:t>Posting</w:t>
        </w:r>
        <w:proofErr w:type="spellEnd"/>
        <w:r w:rsidRPr="00291D96">
          <w:rPr>
            <w:rStyle w:val="Hyperlink"/>
            <w:i/>
            <w:sz w:val="24"/>
            <w:lang w:val="mt-MT"/>
          </w:rPr>
          <w:t xml:space="preserve"> of workers – </w:t>
        </w:r>
        <w:proofErr w:type="spellStart"/>
        <w:r w:rsidRPr="00291D96">
          <w:rPr>
            <w:rStyle w:val="Hyperlink"/>
            <w:i/>
            <w:sz w:val="24"/>
            <w:lang w:val="mt-MT"/>
          </w:rPr>
          <w:t>Collection</w:t>
        </w:r>
        <w:proofErr w:type="spellEnd"/>
        <w:r w:rsidRPr="00291D96">
          <w:rPr>
            <w:rStyle w:val="Hyperlink"/>
            <w:i/>
            <w:sz w:val="24"/>
            <w:lang w:val="mt-MT"/>
          </w:rPr>
          <w:t xml:space="preserve"> of data </w:t>
        </w:r>
        <w:proofErr w:type="spellStart"/>
        <w:r w:rsidRPr="00291D96">
          <w:rPr>
            <w:rStyle w:val="Hyperlink"/>
            <w:i/>
            <w:sz w:val="24"/>
            <w:lang w:val="mt-MT"/>
          </w:rPr>
          <w:t>from</w:t>
        </w:r>
        <w:proofErr w:type="spellEnd"/>
        <w:r w:rsidRPr="00291D96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291D96">
          <w:rPr>
            <w:rStyle w:val="Hyperlink"/>
            <w:i/>
            <w:sz w:val="24"/>
            <w:lang w:val="mt-MT"/>
          </w:rPr>
          <w:t>the</w:t>
        </w:r>
        <w:proofErr w:type="spellEnd"/>
        <w:r w:rsidRPr="00291D96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291D96">
          <w:rPr>
            <w:rStyle w:val="Hyperlink"/>
            <w:i/>
            <w:sz w:val="24"/>
            <w:lang w:val="mt-MT"/>
          </w:rPr>
          <w:t>prior</w:t>
        </w:r>
        <w:proofErr w:type="spellEnd"/>
        <w:r w:rsidRPr="00291D96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291D96">
          <w:rPr>
            <w:rStyle w:val="Hyperlink"/>
            <w:i/>
            <w:sz w:val="24"/>
            <w:lang w:val="mt-MT"/>
          </w:rPr>
          <w:t>declaration</w:t>
        </w:r>
        <w:proofErr w:type="spellEnd"/>
        <w:r w:rsidRPr="00291D96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291D96">
          <w:rPr>
            <w:rStyle w:val="Hyperlink"/>
            <w:i/>
            <w:sz w:val="24"/>
            <w:lang w:val="mt-MT"/>
          </w:rPr>
          <w:t>tools</w:t>
        </w:r>
        <w:proofErr w:type="spellEnd"/>
        <w:r w:rsidRPr="00291D96">
          <w:rPr>
            <w:rStyle w:val="Hyperlink"/>
            <w:i/>
            <w:sz w:val="24"/>
            <w:lang w:val="mt-MT"/>
          </w:rPr>
          <w:t xml:space="preserve"> – </w:t>
        </w:r>
        <w:proofErr w:type="spellStart"/>
        <w:r w:rsidRPr="00291D96">
          <w:rPr>
            <w:rStyle w:val="Hyperlink"/>
            <w:i/>
            <w:sz w:val="24"/>
            <w:lang w:val="mt-MT"/>
          </w:rPr>
          <w:t>Reference</w:t>
        </w:r>
        <w:proofErr w:type="spellEnd"/>
        <w:r w:rsidRPr="00291D96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291D96">
          <w:rPr>
            <w:rStyle w:val="Hyperlink"/>
            <w:i/>
            <w:sz w:val="24"/>
            <w:lang w:val="mt-MT"/>
          </w:rPr>
          <w:t>year</w:t>
        </w:r>
        <w:proofErr w:type="spellEnd"/>
        <w:r w:rsidRPr="00291D96">
          <w:rPr>
            <w:rStyle w:val="Hyperlink"/>
            <w:i/>
            <w:sz w:val="24"/>
            <w:lang w:val="mt-MT"/>
          </w:rPr>
          <w:t xml:space="preserve"> 2022</w:t>
        </w:r>
      </w:hyperlink>
      <w:r w:rsidRPr="00291D96">
        <w:rPr>
          <w:sz w:val="24"/>
          <w:lang w:val="mt-MT"/>
        </w:rPr>
        <w:t xml:space="preserve"> (Stazzjonar ta’ ħaddiema – Ġbir ta’ data mill-għodod ta’ dikjarazzjoni preċedenti – Sena ta’ referenza 2022), l-Uffiċċju tal-Pubblikazzjonijiet tal-Unjoni Ewropea, 2024.</w:t>
      </w:r>
    </w:p>
  </w:footnote>
  <w:footnote w:id="21">
    <w:p w14:paraId="35B2876C" w14:textId="3889A660" w:rsidR="001A17F0" w:rsidRPr="00291D96" w:rsidRDefault="001A17F0" w:rsidP="00291D96">
      <w:pPr>
        <w:pStyle w:val="FootnoteText"/>
        <w:ind w:left="567" w:hanging="567"/>
        <w:rPr>
          <w:sz w:val="24"/>
          <w:lang w:val="mt-MT"/>
        </w:rPr>
      </w:pPr>
      <w:r w:rsidRPr="00291D96">
        <w:rPr>
          <w:rStyle w:val="FootnoteReference"/>
          <w:sz w:val="24"/>
          <w:lang w:val="mt-MT"/>
        </w:rPr>
        <w:footnoteRef/>
      </w:r>
      <w:r w:rsidR="00291D96" w:rsidRPr="00291D96">
        <w:rPr>
          <w:sz w:val="24"/>
          <w:lang w:val="mt-MT"/>
        </w:rPr>
        <w:t xml:space="preserve"> </w:t>
      </w:r>
      <w:r w:rsidR="00291D96" w:rsidRPr="00291D96">
        <w:rPr>
          <w:sz w:val="24"/>
          <w:lang w:val="mt-MT"/>
        </w:rPr>
        <w:tab/>
      </w:r>
      <w:r w:rsidRPr="00291D96">
        <w:rPr>
          <w:sz w:val="24"/>
          <w:lang w:val="mt-MT"/>
        </w:rPr>
        <w:t>Ir-rapport tal-ELA dwar il-ktajjen kuntrattwali u x-xejriet ta’ reklutaġġ ta’ nazzjonali ta’ pajjiżi terzi stazzjonati, Marzu 2025, u r-rapport tal-ELA dwar il-prattiki ta’ kooperazzjoni, il-possibbiltajiet u l-isfidi bejn l-Istati Membri – speċifikament fir-rigward tal-istazzjonar ta’ nazzjonali ta’ pajjiżi terzi, Frar 2023.</w:t>
      </w:r>
    </w:p>
  </w:footnote>
  <w:footnote w:id="22">
    <w:p w14:paraId="1D020551" w14:textId="5A8B37B0" w:rsidR="001A17F0" w:rsidRPr="00291D96" w:rsidRDefault="001A17F0" w:rsidP="00291D96">
      <w:pPr>
        <w:pStyle w:val="FootnoteText"/>
        <w:ind w:left="567" w:hanging="567"/>
        <w:rPr>
          <w:sz w:val="24"/>
          <w:lang w:val="mt-MT"/>
        </w:rPr>
      </w:pPr>
      <w:r w:rsidRPr="00291D96">
        <w:rPr>
          <w:rStyle w:val="FootnoteReference"/>
          <w:sz w:val="24"/>
          <w:lang w:val="mt-MT"/>
        </w:rPr>
        <w:footnoteRef/>
      </w:r>
      <w:r w:rsidR="00291D96" w:rsidRPr="00291D96">
        <w:rPr>
          <w:sz w:val="24"/>
          <w:lang w:val="mt-MT"/>
        </w:rPr>
        <w:t xml:space="preserve"> </w:t>
      </w:r>
      <w:r w:rsidR="00291D96" w:rsidRPr="00291D96">
        <w:rPr>
          <w:sz w:val="24"/>
          <w:lang w:val="mt-MT"/>
        </w:rPr>
        <w:tab/>
      </w:r>
      <w:r w:rsidRPr="00291D96">
        <w:rPr>
          <w:sz w:val="24"/>
          <w:lang w:val="mt-MT"/>
        </w:rPr>
        <w:t>Rapport tal-ELA bit-titolu “</w:t>
      </w:r>
      <w:proofErr w:type="spellStart"/>
      <w:r w:rsidRPr="00291D96">
        <w:rPr>
          <w:sz w:val="24"/>
          <w:lang w:val="mt-MT"/>
        </w:rPr>
        <w:t>Posting</w:t>
      </w:r>
      <w:proofErr w:type="spellEnd"/>
      <w:r w:rsidRPr="00291D96">
        <w:rPr>
          <w:sz w:val="24"/>
          <w:lang w:val="mt-MT"/>
        </w:rPr>
        <w:t xml:space="preserve"> of </w:t>
      </w:r>
      <w:proofErr w:type="spellStart"/>
      <w:r w:rsidRPr="00291D96">
        <w:rPr>
          <w:sz w:val="24"/>
          <w:lang w:val="mt-MT"/>
        </w:rPr>
        <w:t>third-country</w:t>
      </w:r>
      <w:proofErr w:type="spellEnd"/>
      <w:r w:rsidRPr="00291D96">
        <w:rPr>
          <w:sz w:val="24"/>
          <w:lang w:val="mt-MT"/>
        </w:rPr>
        <w:t xml:space="preserve"> </w:t>
      </w:r>
      <w:proofErr w:type="spellStart"/>
      <w:r w:rsidRPr="00291D96">
        <w:rPr>
          <w:sz w:val="24"/>
          <w:lang w:val="mt-MT"/>
        </w:rPr>
        <w:t>nationals</w:t>
      </w:r>
      <w:proofErr w:type="spellEnd"/>
      <w:r w:rsidRPr="00291D96">
        <w:rPr>
          <w:sz w:val="24"/>
          <w:lang w:val="mt-MT"/>
        </w:rPr>
        <w:t xml:space="preserve">: </w:t>
      </w:r>
      <w:proofErr w:type="spellStart"/>
      <w:r w:rsidRPr="00291D96">
        <w:rPr>
          <w:sz w:val="24"/>
          <w:lang w:val="mt-MT"/>
        </w:rPr>
        <w:t>contracting</w:t>
      </w:r>
      <w:proofErr w:type="spellEnd"/>
      <w:r w:rsidRPr="00291D96">
        <w:rPr>
          <w:sz w:val="24"/>
          <w:lang w:val="mt-MT"/>
        </w:rPr>
        <w:t xml:space="preserve"> </w:t>
      </w:r>
      <w:proofErr w:type="spellStart"/>
      <w:r w:rsidRPr="00291D96">
        <w:rPr>
          <w:sz w:val="24"/>
          <w:lang w:val="mt-MT"/>
        </w:rPr>
        <w:t>chains</w:t>
      </w:r>
      <w:proofErr w:type="spellEnd"/>
      <w:r w:rsidRPr="00291D96">
        <w:rPr>
          <w:sz w:val="24"/>
          <w:lang w:val="mt-MT"/>
        </w:rPr>
        <w:t xml:space="preserve">, </w:t>
      </w:r>
      <w:proofErr w:type="spellStart"/>
      <w:r w:rsidRPr="00291D96">
        <w:rPr>
          <w:sz w:val="24"/>
          <w:lang w:val="mt-MT"/>
        </w:rPr>
        <w:t>recruitment</w:t>
      </w:r>
      <w:proofErr w:type="spellEnd"/>
      <w:r w:rsidRPr="00291D96">
        <w:rPr>
          <w:sz w:val="24"/>
          <w:lang w:val="mt-MT"/>
        </w:rPr>
        <w:t xml:space="preserve"> </w:t>
      </w:r>
      <w:proofErr w:type="spellStart"/>
      <w:r w:rsidRPr="00291D96">
        <w:rPr>
          <w:sz w:val="24"/>
          <w:lang w:val="mt-MT"/>
        </w:rPr>
        <w:t>patterns</w:t>
      </w:r>
      <w:proofErr w:type="spellEnd"/>
      <w:r w:rsidRPr="00291D96">
        <w:rPr>
          <w:sz w:val="24"/>
          <w:lang w:val="mt-MT"/>
        </w:rPr>
        <w:t xml:space="preserve">, </w:t>
      </w:r>
      <w:proofErr w:type="spellStart"/>
      <w:r w:rsidRPr="00291D96">
        <w:rPr>
          <w:sz w:val="24"/>
          <w:lang w:val="mt-MT"/>
        </w:rPr>
        <w:t>and</w:t>
      </w:r>
      <w:proofErr w:type="spellEnd"/>
      <w:r w:rsidRPr="00291D96">
        <w:rPr>
          <w:sz w:val="24"/>
          <w:lang w:val="mt-MT"/>
        </w:rPr>
        <w:t xml:space="preserve"> </w:t>
      </w:r>
      <w:proofErr w:type="spellStart"/>
      <w:r w:rsidRPr="00291D96">
        <w:rPr>
          <w:sz w:val="24"/>
          <w:lang w:val="mt-MT"/>
        </w:rPr>
        <w:t>enforcement</w:t>
      </w:r>
      <w:proofErr w:type="spellEnd"/>
      <w:r w:rsidRPr="00291D96">
        <w:rPr>
          <w:sz w:val="24"/>
          <w:lang w:val="mt-MT"/>
        </w:rPr>
        <w:t xml:space="preserve"> </w:t>
      </w:r>
      <w:proofErr w:type="spellStart"/>
      <w:r w:rsidRPr="00291D96">
        <w:rPr>
          <w:sz w:val="24"/>
          <w:lang w:val="mt-MT"/>
        </w:rPr>
        <w:t>issues</w:t>
      </w:r>
      <w:proofErr w:type="spellEnd"/>
      <w:r w:rsidRPr="00291D96">
        <w:rPr>
          <w:sz w:val="24"/>
          <w:lang w:val="mt-MT"/>
        </w:rPr>
        <w:t xml:space="preserve"> (L-istazzjonar ta’ nazzjonali ta’ pajjiżi terzi: katini ta’ kuntrattar, xejriet ta’ reklutaġġ, u kwistjonijiet ta’ infurzar), 2025.</w:t>
      </w:r>
    </w:p>
  </w:footnote>
  <w:footnote w:id="23">
    <w:p w14:paraId="2245DA55" w14:textId="53293373" w:rsidR="001A17F0" w:rsidRPr="00291D96" w:rsidRDefault="001A17F0" w:rsidP="00291D96">
      <w:pPr>
        <w:pStyle w:val="FootnoteText"/>
        <w:ind w:left="567" w:hanging="567"/>
        <w:rPr>
          <w:sz w:val="24"/>
          <w:lang w:val="mt-MT"/>
        </w:rPr>
      </w:pPr>
      <w:r w:rsidRPr="00291D96">
        <w:rPr>
          <w:rStyle w:val="FootnoteReference"/>
          <w:sz w:val="24"/>
          <w:lang w:val="mt-MT"/>
        </w:rPr>
        <w:footnoteRef/>
      </w:r>
      <w:r w:rsidR="00291D96" w:rsidRPr="00291D96">
        <w:rPr>
          <w:sz w:val="24"/>
          <w:lang w:val="mt-MT"/>
        </w:rPr>
        <w:t xml:space="preserve"> </w:t>
      </w:r>
      <w:r w:rsidR="00291D96" w:rsidRPr="00291D96">
        <w:rPr>
          <w:sz w:val="24"/>
          <w:lang w:val="mt-MT"/>
        </w:rPr>
        <w:tab/>
      </w:r>
      <w:r w:rsidRPr="00291D96">
        <w:rPr>
          <w:sz w:val="24"/>
          <w:lang w:val="mt-MT"/>
        </w:rPr>
        <w:t xml:space="preserve">Il-Kummissjoni Ewropea: Id-Direttorat Ġenerali għall-Impjiegi, l-Affarijiet Soċjali u l-Inklużjoni, ECORYS, HIVA-KU Leuven, Spark </w:t>
      </w:r>
      <w:proofErr w:type="spellStart"/>
      <w:r w:rsidRPr="00291D96">
        <w:rPr>
          <w:sz w:val="24"/>
          <w:lang w:val="mt-MT"/>
        </w:rPr>
        <w:t>Legal</w:t>
      </w:r>
      <w:proofErr w:type="spellEnd"/>
      <w:r w:rsidRPr="00291D96">
        <w:rPr>
          <w:sz w:val="24"/>
          <w:lang w:val="mt-MT"/>
        </w:rPr>
        <w:t xml:space="preserve"> </w:t>
      </w:r>
      <w:proofErr w:type="spellStart"/>
      <w:r w:rsidRPr="00291D96">
        <w:rPr>
          <w:sz w:val="24"/>
          <w:lang w:val="mt-MT"/>
        </w:rPr>
        <w:t>and</w:t>
      </w:r>
      <w:proofErr w:type="spellEnd"/>
      <w:r w:rsidRPr="00291D96">
        <w:rPr>
          <w:sz w:val="24"/>
          <w:lang w:val="mt-MT"/>
        </w:rPr>
        <w:t xml:space="preserve"> </w:t>
      </w:r>
      <w:proofErr w:type="spellStart"/>
      <w:r w:rsidRPr="00291D96">
        <w:rPr>
          <w:sz w:val="24"/>
          <w:lang w:val="mt-MT"/>
        </w:rPr>
        <w:t>Policy</w:t>
      </w:r>
      <w:proofErr w:type="spellEnd"/>
      <w:r w:rsidRPr="00291D96">
        <w:rPr>
          <w:sz w:val="24"/>
          <w:lang w:val="mt-MT"/>
        </w:rPr>
        <w:t xml:space="preserve"> </w:t>
      </w:r>
      <w:proofErr w:type="spellStart"/>
      <w:r w:rsidRPr="00291D96">
        <w:rPr>
          <w:sz w:val="24"/>
          <w:lang w:val="mt-MT"/>
        </w:rPr>
        <w:t>Consulting</w:t>
      </w:r>
      <w:proofErr w:type="spellEnd"/>
      <w:r w:rsidRPr="00291D96">
        <w:rPr>
          <w:sz w:val="24"/>
          <w:lang w:val="mt-MT"/>
        </w:rPr>
        <w:t xml:space="preserve"> </w:t>
      </w:r>
      <w:proofErr w:type="spellStart"/>
      <w:r w:rsidRPr="00291D96">
        <w:rPr>
          <w:sz w:val="24"/>
          <w:lang w:val="mt-MT"/>
        </w:rPr>
        <w:t>and</w:t>
      </w:r>
      <w:proofErr w:type="spellEnd"/>
      <w:r w:rsidRPr="00291D96">
        <w:rPr>
          <w:sz w:val="24"/>
          <w:lang w:val="mt-MT"/>
        </w:rPr>
        <w:t xml:space="preserve"> </w:t>
      </w:r>
      <w:proofErr w:type="spellStart"/>
      <w:r w:rsidRPr="00291D96">
        <w:rPr>
          <w:sz w:val="24"/>
          <w:lang w:val="mt-MT"/>
        </w:rPr>
        <w:t>wmp</w:t>
      </w:r>
      <w:proofErr w:type="spellEnd"/>
      <w:r w:rsidRPr="00291D96">
        <w:rPr>
          <w:sz w:val="24"/>
          <w:lang w:val="mt-MT"/>
        </w:rPr>
        <w:t xml:space="preserve"> </w:t>
      </w:r>
      <w:proofErr w:type="spellStart"/>
      <w:r w:rsidRPr="00291D96">
        <w:rPr>
          <w:sz w:val="24"/>
          <w:lang w:val="mt-MT"/>
        </w:rPr>
        <w:t>consult</w:t>
      </w:r>
      <w:proofErr w:type="spellEnd"/>
      <w:r w:rsidRPr="00291D96">
        <w:rPr>
          <w:sz w:val="24"/>
          <w:lang w:val="mt-MT"/>
        </w:rPr>
        <w:t xml:space="preserve">, </w:t>
      </w:r>
      <w:hyperlink r:id="rId15" w:history="1">
        <w:proofErr w:type="spellStart"/>
        <w:r w:rsidRPr="00291D96">
          <w:rPr>
            <w:rStyle w:val="Hyperlink"/>
            <w:i/>
            <w:sz w:val="24"/>
            <w:lang w:val="mt-MT"/>
          </w:rPr>
          <w:t>Study</w:t>
        </w:r>
        <w:proofErr w:type="spellEnd"/>
        <w:r w:rsidRPr="00291D96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291D96">
          <w:rPr>
            <w:rStyle w:val="Hyperlink"/>
            <w:i/>
            <w:sz w:val="24"/>
            <w:lang w:val="mt-MT"/>
          </w:rPr>
          <w:t>supporting</w:t>
        </w:r>
        <w:proofErr w:type="spellEnd"/>
        <w:r w:rsidRPr="00291D96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291D96">
          <w:rPr>
            <w:rStyle w:val="Hyperlink"/>
            <w:i/>
            <w:sz w:val="24"/>
            <w:lang w:val="mt-MT"/>
          </w:rPr>
          <w:t>the</w:t>
        </w:r>
        <w:proofErr w:type="spellEnd"/>
        <w:r w:rsidRPr="00291D96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291D96">
          <w:rPr>
            <w:rStyle w:val="Hyperlink"/>
            <w:i/>
            <w:sz w:val="24"/>
            <w:lang w:val="mt-MT"/>
          </w:rPr>
          <w:t>Monitoring</w:t>
        </w:r>
        <w:proofErr w:type="spellEnd"/>
        <w:r w:rsidRPr="00291D96">
          <w:rPr>
            <w:rStyle w:val="Hyperlink"/>
            <w:i/>
            <w:sz w:val="24"/>
            <w:lang w:val="mt-MT"/>
          </w:rPr>
          <w:t xml:space="preserve"> of </w:t>
        </w:r>
        <w:proofErr w:type="spellStart"/>
        <w:r w:rsidRPr="00291D96">
          <w:rPr>
            <w:rStyle w:val="Hyperlink"/>
            <w:i/>
            <w:sz w:val="24"/>
            <w:lang w:val="mt-MT"/>
          </w:rPr>
          <w:t>the</w:t>
        </w:r>
        <w:proofErr w:type="spellEnd"/>
        <w:r w:rsidRPr="00291D96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291D96">
          <w:rPr>
            <w:rStyle w:val="Hyperlink"/>
            <w:i/>
            <w:sz w:val="24"/>
            <w:lang w:val="mt-MT"/>
          </w:rPr>
          <w:t>Posting</w:t>
        </w:r>
        <w:proofErr w:type="spellEnd"/>
        <w:r w:rsidRPr="00291D96">
          <w:rPr>
            <w:rStyle w:val="Hyperlink"/>
            <w:i/>
            <w:sz w:val="24"/>
            <w:lang w:val="mt-MT"/>
          </w:rPr>
          <w:t xml:space="preserve"> of Workers </w:t>
        </w:r>
        <w:proofErr w:type="spellStart"/>
        <w:r w:rsidRPr="00291D96">
          <w:rPr>
            <w:rStyle w:val="Hyperlink"/>
            <w:i/>
            <w:sz w:val="24"/>
            <w:lang w:val="mt-MT"/>
          </w:rPr>
          <w:t>Directive</w:t>
        </w:r>
        <w:proofErr w:type="spellEnd"/>
        <w:r w:rsidRPr="00291D96">
          <w:rPr>
            <w:rStyle w:val="Hyperlink"/>
            <w:i/>
            <w:sz w:val="24"/>
            <w:lang w:val="mt-MT"/>
          </w:rPr>
          <w:t xml:space="preserve"> 2018/957/EU </w:t>
        </w:r>
        <w:proofErr w:type="spellStart"/>
        <w:r w:rsidRPr="00291D96">
          <w:rPr>
            <w:rStyle w:val="Hyperlink"/>
            <w:i/>
            <w:sz w:val="24"/>
            <w:lang w:val="mt-MT"/>
          </w:rPr>
          <w:t>and</w:t>
        </w:r>
        <w:proofErr w:type="spellEnd"/>
        <w:r w:rsidRPr="00291D96">
          <w:rPr>
            <w:rStyle w:val="Hyperlink"/>
            <w:i/>
            <w:sz w:val="24"/>
            <w:lang w:val="mt-MT"/>
          </w:rPr>
          <w:t xml:space="preserve"> of </w:t>
        </w:r>
        <w:proofErr w:type="spellStart"/>
        <w:r w:rsidRPr="00291D96">
          <w:rPr>
            <w:rStyle w:val="Hyperlink"/>
            <w:i/>
            <w:sz w:val="24"/>
            <w:lang w:val="mt-MT"/>
          </w:rPr>
          <w:t>the</w:t>
        </w:r>
        <w:proofErr w:type="spellEnd"/>
        <w:r w:rsidRPr="00291D96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291D96">
          <w:rPr>
            <w:rStyle w:val="Hyperlink"/>
            <w:i/>
            <w:sz w:val="24"/>
            <w:lang w:val="mt-MT"/>
          </w:rPr>
          <w:t>Enforcement</w:t>
        </w:r>
        <w:proofErr w:type="spellEnd"/>
        <w:r w:rsidRPr="00291D96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291D96">
          <w:rPr>
            <w:rStyle w:val="Hyperlink"/>
            <w:i/>
            <w:sz w:val="24"/>
            <w:lang w:val="mt-MT"/>
          </w:rPr>
          <w:t>Directive</w:t>
        </w:r>
        <w:proofErr w:type="spellEnd"/>
        <w:r w:rsidRPr="00291D96">
          <w:rPr>
            <w:rStyle w:val="Hyperlink"/>
            <w:i/>
            <w:sz w:val="24"/>
            <w:lang w:val="mt-MT"/>
          </w:rPr>
          <w:t xml:space="preserve"> 2014/67/EU – </w:t>
        </w:r>
        <w:proofErr w:type="spellStart"/>
        <w:r w:rsidRPr="00291D96">
          <w:rPr>
            <w:rStyle w:val="Hyperlink"/>
            <w:i/>
            <w:sz w:val="24"/>
            <w:lang w:val="mt-MT"/>
          </w:rPr>
          <w:t>The</w:t>
        </w:r>
        <w:proofErr w:type="spellEnd"/>
        <w:r w:rsidRPr="00291D96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291D96">
          <w:rPr>
            <w:rStyle w:val="Hyperlink"/>
            <w:i/>
            <w:sz w:val="24"/>
            <w:lang w:val="mt-MT"/>
          </w:rPr>
          <w:t>situation</w:t>
        </w:r>
        <w:proofErr w:type="spellEnd"/>
        <w:r w:rsidRPr="00291D96">
          <w:rPr>
            <w:rStyle w:val="Hyperlink"/>
            <w:i/>
            <w:sz w:val="24"/>
            <w:lang w:val="mt-MT"/>
          </w:rPr>
          <w:t xml:space="preserve"> of </w:t>
        </w:r>
        <w:proofErr w:type="spellStart"/>
        <w:r w:rsidRPr="00291D96">
          <w:rPr>
            <w:rStyle w:val="Hyperlink"/>
            <w:i/>
            <w:sz w:val="24"/>
            <w:lang w:val="mt-MT"/>
          </w:rPr>
          <w:t>temporary</w:t>
        </w:r>
        <w:proofErr w:type="spellEnd"/>
        <w:r w:rsidRPr="00291D96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291D96">
          <w:rPr>
            <w:rStyle w:val="Hyperlink"/>
            <w:i/>
            <w:sz w:val="24"/>
            <w:lang w:val="mt-MT"/>
          </w:rPr>
          <w:t>cross-border</w:t>
        </w:r>
        <w:proofErr w:type="spellEnd"/>
        <w:r w:rsidRPr="00291D96">
          <w:rPr>
            <w:rStyle w:val="Hyperlink"/>
            <w:i/>
            <w:sz w:val="24"/>
            <w:lang w:val="mt-MT"/>
          </w:rPr>
          <w:t xml:space="preserve"> mobile workers </w:t>
        </w:r>
        <w:proofErr w:type="spellStart"/>
        <w:r w:rsidRPr="00291D96">
          <w:rPr>
            <w:rStyle w:val="Hyperlink"/>
            <w:i/>
            <w:sz w:val="24"/>
            <w:lang w:val="mt-MT"/>
          </w:rPr>
          <w:t>and</w:t>
        </w:r>
        <w:proofErr w:type="spellEnd"/>
        <w:r w:rsidRPr="00291D96">
          <w:rPr>
            <w:rStyle w:val="Hyperlink"/>
            <w:i/>
            <w:sz w:val="24"/>
            <w:lang w:val="mt-MT"/>
          </w:rPr>
          <w:t xml:space="preserve"> workers in </w:t>
        </w:r>
        <w:proofErr w:type="spellStart"/>
        <w:r w:rsidRPr="00291D96">
          <w:rPr>
            <w:rStyle w:val="Hyperlink"/>
            <w:i/>
            <w:sz w:val="24"/>
            <w:lang w:val="mt-MT"/>
          </w:rPr>
          <w:t>subcontracting</w:t>
        </w:r>
        <w:proofErr w:type="spellEnd"/>
        <w:r w:rsidRPr="00291D96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291D96">
          <w:rPr>
            <w:rStyle w:val="Hyperlink"/>
            <w:i/>
            <w:sz w:val="24"/>
            <w:lang w:val="mt-MT"/>
          </w:rPr>
          <w:t>chains</w:t>
        </w:r>
        <w:proofErr w:type="spellEnd"/>
      </w:hyperlink>
      <w:r w:rsidRPr="00291D96">
        <w:rPr>
          <w:sz w:val="24"/>
          <w:lang w:val="mt-MT"/>
        </w:rPr>
        <w:t xml:space="preserve"> (Studju li jappoġġja l-Monitoraġġ tad-Direttiva 2018/957/UE dwar l-Istazzjonar ta’ Ħaddiema u tad-Direttiva 2014/67/UE dwar l-Infurzar – Is-sitwazzjoni tal-ħaddiema mobbli transfruntiera temporanji u l-ħaddiema fil-katini tas-sottokuntrattar), l-Uffiċċju tal-Pubblikazzjonijiet tal-Unjoni Ewropea, 2024.</w:t>
      </w:r>
    </w:p>
  </w:footnote>
  <w:footnote w:id="24">
    <w:p w14:paraId="6CD5C006" w14:textId="27A41AA3" w:rsidR="001A17F0" w:rsidRPr="00291D96" w:rsidRDefault="001A17F0" w:rsidP="00291D96">
      <w:pPr>
        <w:pStyle w:val="FootnoteText"/>
        <w:ind w:left="567" w:hanging="567"/>
        <w:rPr>
          <w:sz w:val="24"/>
          <w:lang w:val="mt-MT"/>
        </w:rPr>
      </w:pPr>
      <w:r w:rsidRPr="00291D96">
        <w:rPr>
          <w:rStyle w:val="FootnoteReference"/>
          <w:sz w:val="24"/>
          <w:lang w:val="mt-MT"/>
        </w:rPr>
        <w:footnoteRef/>
      </w:r>
      <w:r w:rsidR="00291D96" w:rsidRPr="00291D96">
        <w:rPr>
          <w:sz w:val="24"/>
          <w:lang w:val="mt-MT"/>
        </w:rPr>
        <w:t xml:space="preserve"> </w:t>
      </w:r>
      <w:r w:rsidR="00291D96" w:rsidRPr="00291D96">
        <w:rPr>
          <w:sz w:val="24"/>
          <w:lang w:val="mt-MT"/>
        </w:rPr>
        <w:tab/>
      </w:r>
      <w:r w:rsidRPr="00291D96">
        <w:rPr>
          <w:sz w:val="24"/>
          <w:lang w:val="mt-MT"/>
        </w:rPr>
        <w:t>Ir-rapport tal-Kummissjoni dwar l-applikazzjoni u l-implimentazzjoni tad-Direttiva 2018/957</w:t>
      </w:r>
      <w:r w:rsidR="00844124">
        <w:rPr>
          <w:sz w:val="24"/>
          <w:lang w:val="mt-MT"/>
        </w:rPr>
        <w:t>/UE</w:t>
      </w:r>
      <w:r w:rsidRPr="00291D96">
        <w:rPr>
          <w:sz w:val="24"/>
          <w:lang w:val="mt-MT"/>
        </w:rPr>
        <w:t xml:space="preserve"> tal-Parlament Ewropew u tal-Kunsill tat-28 ta’ Ġunju 2018 li temenda d-Direttiva 96/71/KE dwar l-istazzjonar ta’ ħaddiema fil-qafas ta’ prestazzjoni ta’ servizzi (COM(2024)0320).</w:t>
      </w:r>
    </w:p>
  </w:footnote>
  <w:footnote w:id="25">
    <w:p w14:paraId="5F349B84" w14:textId="655E193F" w:rsidR="001A17F0" w:rsidRPr="00291D96" w:rsidRDefault="001A17F0" w:rsidP="00291D96">
      <w:pPr>
        <w:pStyle w:val="FootnoteText"/>
        <w:ind w:left="567" w:hanging="567"/>
        <w:rPr>
          <w:sz w:val="24"/>
          <w:lang w:val="mt-MT"/>
        </w:rPr>
      </w:pPr>
      <w:r w:rsidRPr="00291D96">
        <w:rPr>
          <w:rStyle w:val="FootnoteReference"/>
          <w:sz w:val="24"/>
          <w:lang w:val="mt-MT"/>
        </w:rPr>
        <w:footnoteRef/>
      </w:r>
      <w:r w:rsidR="00291D96" w:rsidRPr="00291D96">
        <w:rPr>
          <w:sz w:val="24"/>
          <w:lang w:val="mt-MT"/>
        </w:rPr>
        <w:t xml:space="preserve"> </w:t>
      </w:r>
      <w:r w:rsidR="00291D96" w:rsidRPr="00291D96">
        <w:rPr>
          <w:sz w:val="24"/>
          <w:lang w:val="mt-MT"/>
        </w:rPr>
        <w:tab/>
      </w:r>
      <w:r w:rsidRPr="00291D96">
        <w:rPr>
          <w:sz w:val="24"/>
          <w:lang w:val="mt-MT"/>
        </w:rPr>
        <w:t>Ir-rapport tal-Kummissjoni dwar l-applikazzjoni u l-implimentazzjoni tad-Direttiva (UE) 2018/957 tal-Parlament Ewropew u tal-Kunsill tat-28 ta’ Ġunju 2018 li temenda d-Direttiva 96/71/KE dwar l-istazzjonar ta’ ħaddiema fil-qafas ta’ prestazzjoni ta’ servizzi (COM(2024)0320).</w:t>
      </w:r>
    </w:p>
  </w:footnote>
  <w:footnote w:id="26">
    <w:p w14:paraId="003F022E" w14:textId="7A405576" w:rsidR="001A17F0" w:rsidRPr="00291D96" w:rsidRDefault="001A17F0" w:rsidP="00291D96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291D96">
        <w:rPr>
          <w:rStyle w:val="FootnoteReference"/>
          <w:sz w:val="24"/>
          <w:lang w:val="mt-MT"/>
        </w:rPr>
        <w:footnoteRef/>
      </w:r>
      <w:r w:rsidR="00291D96" w:rsidRPr="00291D96">
        <w:rPr>
          <w:sz w:val="24"/>
          <w:lang w:val="mt-MT"/>
        </w:rPr>
        <w:t xml:space="preserve"> </w:t>
      </w:r>
      <w:r w:rsidR="00291D96" w:rsidRPr="00291D96">
        <w:rPr>
          <w:sz w:val="24"/>
          <w:lang w:val="mt-MT"/>
        </w:rPr>
        <w:tab/>
      </w:r>
      <w:r w:rsidRPr="00291D96">
        <w:rPr>
          <w:sz w:val="24"/>
          <w:lang w:val="mt-MT"/>
        </w:rPr>
        <w:t xml:space="preserve">Pereżempju, l-Iżvezja (https://www.regeringen.se/contentassets/f6f461b310984b598ee4f7a2d83350d0/nationell-strategi-mot-arbetslivskriminalitet.pdf), il-Finlandja (https://julkaisut.valtioneuvosto.fi/bitstream/handle/10024/165395/TEM_2024_5.pdf), l-Italja, </w:t>
      </w:r>
    </w:p>
    <w:p w14:paraId="0C434F6B" w14:textId="111B79E5" w:rsidR="001A17F0" w:rsidRPr="00291D96" w:rsidRDefault="00291D96" w:rsidP="00291D96">
      <w:pPr>
        <w:pStyle w:val="FootnoteText"/>
        <w:ind w:left="567" w:hanging="567"/>
        <w:rPr>
          <w:sz w:val="24"/>
          <w:lang w:val="mt-MT"/>
        </w:rPr>
      </w:pPr>
      <w:r w:rsidRPr="00291D96">
        <w:rPr>
          <w:sz w:val="24"/>
          <w:lang w:val="mt-MT"/>
        </w:rPr>
        <w:t xml:space="preserve"> </w:t>
      </w:r>
      <w:r w:rsidRPr="00291D96">
        <w:rPr>
          <w:sz w:val="24"/>
          <w:lang w:val="mt-MT"/>
        </w:rPr>
        <w:tab/>
      </w:r>
      <w:r w:rsidR="001A17F0" w:rsidRPr="00291D96">
        <w:rPr>
          <w:sz w:val="24"/>
          <w:lang w:val="mt-MT"/>
        </w:rPr>
        <w:t>il-Ġermanja (</w:t>
      </w:r>
      <w:hyperlink r:id="rId16" w:history="1">
        <w:r w:rsidR="001A17F0" w:rsidRPr="00291D96">
          <w:rPr>
            <w:rStyle w:val="Hyperlink"/>
            <w:sz w:val="24"/>
            <w:lang w:val="mt-MT"/>
          </w:rPr>
          <w:t>https://www.bmas.de/DE/Service/Presse/Meldungen/2025/nationaler-aktionsplan-gegen-arbeitsausbeutung-und-zwangsarbeit-beschlossen.html</w:t>
        </w:r>
      </w:hyperlink>
      <w:r w:rsidR="001A17F0" w:rsidRPr="00291D96">
        <w:rPr>
          <w:sz w:val="24"/>
          <w:lang w:val="mt-MT"/>
        </w:rPr>
        <w:t>), Spanja u n-Norveġja (https://www.regjeringen.no/no/dokumenter/strategi-mot-arbeidslivskriminalitet-2021/id2831867/).</w:t>
      </w:r>
    </w:p>
  </w:footnote>
  <w:footnote w:id="27">
    <w:p w14:paraId="0D4A71E6" w14:textId="73DC653D" w:rsidR="001A17F0" w:rsidRPr="00291D96" w:rsidRDefault="001A17F0" w:rsidP="00291D96">
      <w:pPr>
        <w:pStyle w:val="FootnoteText"/>
        <w:ind w:left="567" w:hanging="567"/>
        <w:rPr>
          <w:sz w:val="24"/>
          <w:lang w:val="mt-MT"/>
        </w:rPr>
      </w:pPr>
      <w:r w:rsidRPr="00291D96">
        <w:rPr>
          <w:rStyle w:val="FootnoteReference"/>
          <w:sz w:val="24"/>
          <w:lang w:val="mt-MT"/>
        </w:rPr>
        <w:footnoteRef/>
      </w:r>
      <w:r w:rsidR="00291D96" w:rsidRPr="00291D96">
        <w:rPr>
          <w:sz w:val="24"/>
          <w:lang w:val="mt-MT"/>
        </w:rPr>
        <w:t xml:space="preserve"> </w:t>
      </w:r>
      <w:r w:rsidR="00291D96" w:rsidRPr="00291D96">
        <w:rPr>
          <w:sz w:val="24"/>
          <w:lang w:val="mt-MT"/>
        </w:rPr>
        <w:tab/>
      </w:r>
      <w:r w:rsidRPr="00291D96">
        <w:rPr>
          <w:sz w:val="24"/>
          <w:lang w:val="mt-MT"/>
        </w:rPr>
        <w:t>Ir-Regolament (KE) Nru 1008/2008 tal-Parlament Ewropew u tal-Kunsill tal-24 ta’ Settembru 2008 dwar regoli komuni għall-operat ta’ servizzi tal-ajru fil-Komunità (ĠU L 293, 31.10.2008, p. 3,</w:t>
      </w:r>
      <w:r w:rsidRPr="00291D96">
        <w:rPr>
          <w:sz w:val="24"/>
          <w:shd w:val="clear" w:color="auto" w:fill="FFFFFF"/>
          <w:lang w:val="mt-MT"/>
        </w:rPr>
        <w:t xml:space="preserve"> </w:t>
      </w:r>
      <w:r w:rsidRPr="00291D96">
        <w:rPr>
          <w:sz w:val="24"/>
          <w:lang w:val="mt-MT"/>
        </w:rPr>
        <w:t>ELI: </w:t>
      </w:r>
      <w:hyperlink r:id="rId17" w:tooltip="Jagħti aċċess għad-dokument permezz tal-URI tal-ELI tiegħu." w:history="1">
        <w:r w:rsidRPr="00291D96">
          <w:rPr>
            <w:rStyle w:val="Hyperlink"/>
            <w:sz w:val="24"/>
            <w:lang w:val="mt-MT"/>
          </w:rPr>
          <w:t>http://data.europa.eu/eli/reg/2008/1008/oj</w:t>
        </w:r>
      </w:hyperlink>
      <w:r w:rsidRPr="00291D96">
        <w:rPr>
          <w:sz w:val="24"/>
          <w:lang w:val="mt-MT"/>
        </w:rPr>
        <w:t>).</w:t>
      </w:r>
    </w:p>
  </w:footnote>
  <w:footnote w:id="28">
    <w:p w14:paraId="7C0044FB" w14:textId="435F7673" w:rsidR="001A17F0" w:rsidRPr="00291D96" w:rsidRDefault="001A17F0" w:rsidP="00291D96">
      <w:pPr>
        <w:pStyle w:val="FootnoteText"/>
        <w:ind w:left="567" w:hanging="567"/>
        <w:rPr>
          <w:sz w:val="24"/>
          <w:lang w:val="mt-MT"/>
        </w:rPr>
      </w:pPr>
      <w:r w:rsidRPr="00291D96">
        <w:rPr>
          <w:rStyle w:val="FootnoteReference"/>
          <w:sz w:val="24"/>
          <w:lang w:val="mt-MT"/>
        </w:rPr>
        <w:footnoteRef/>
      </w:r>
      <w:r w:rsidR="00291D96" w:rsidRPr="00291D96">
        <w:rPr>
          <w:sz w:val="24"/>
          <w:lang w:val="mt-MT"/>
        </w:rPr>
        <w:t xml:space="preserve"> </w:t>
      </w:r>
      <w:r w:rsidR="00291D96" w:rsidRPr="00291D96">
        <w:rPr>
          <w:sz w:val="24"/>
          <w:lang w:val="mt-MT"/>
        </w:rPr>
        <w:tab/>
      </w:r>
      <w:r w:rsidRPr="00291D96">
        <w:rPr>
          <w:sz w:val="24"/>
          <w:lang w:val="mt-MT"/>
        </w:rPr>
        <w:t xml:space="preserve">Il-Kummissjoni Ewropea: L-Aġenzija Eżekuttiva għall-Intrapriżi Żgħar u Medji, </w:t>
      </w:r>
      <w:hyperlink r:id="rId18" w:history="1">
        <w:proofErr w:type="spellStart"/>
        <w:r w:rsidRPr="00291D96">
          <w:rPr>
            <w:rStyle w:val="Hyperlink"/>
            <w:i/>
            <w:sz w:val="24"/>
            <w:lang w:val="mt-MT"/>
          </w:rPr>
          <w:t>Making</w:t>
        </w:r>
        <w:proofErr w:type="spellEnd"/>
        <w:r w:rsidRPr="00291D96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291D96">
          <w:rPr>
            <w:rStyle w:val="Hyperlink"/>
            <w:i/>
            <w:sz w:val="24"/>
            <w:lang w:val="mt-MT"/>
          </w:rPr>
          <w:t>socially</w:t>
        </w:r>
        <w:proofErr w:type="spellEnd"/>
        <w:r w:rsidRPr="00291D96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291D96">
          <w:rPr>
            <w:rStyle w:val="Hyperlink"/>
            <w:i/>
            <w:sz w:val="24"/>
            <w:lang w:val="mt-MT"/>
          </w:rPr>
          <w:t>responsible</w:t>
        </w:r>
        <w:proofErr w:type="spellEnd"/>
        <w:r w:rsidRPr="00291D96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291D96">
          <w:rPr>
            <w:rStyle w:val="Hyperlink"/>
            <w:i/>
            <w:sz w:val="24"/>
            <w:lang w:val="mt-MT"/>
          </w:rPr>
          <w:t>public</w:t>
        </w:r>
        <w:proofErr w:type="spellEnd"/>
        <w:r w:rsidRPr="00291D96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291D96">
          <w:rPr>
            <w:rStyle w:val="Hyperlink"/>
            <w:i/>
            <w:sz w:val="24"/>
            <w:lang w:val="mt-MT"/>
          </w:rPr>
          <w:t>procurement</w:t>
        </w:r>
        <w:proofErr w:type="spellEnd"/>
        <w:r w:rsidRPr="00291D96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291D96">
          <w:rPr>
            <w:rStyle w:val="Hyperlink"/>
            <w:i/>
            <w:sz w:val="24"/>
            <w:lang w:val="mt-MT"/>
          </w:rPr>
          <w:t>work</w:t>
        </w:r>
        <w:proofErr w:type="spellEnd"/>
        <w:r w:rsidRPr="00291D96">
          <w:rPr>
            <w:rStyle w:val="Hyperlink"/>
            <w:i/>
            <w:sz w:val="24"/>
            <w:lang w:val="mt-MT"/>
          </w:rPr>
          <w:t xml:space="preserve"> – 71 </w:t>
        </w:r>
        <w:proofErr w:type="spellStart"/>
        <w:r w:rsidRPr="00291D96">
          <w:rPr>
            <w:rStyle w:val="Hyperlink"/>
            <w:i/>
            <w:sz w:val="24"/>
            <w:lang w:val="mt-MT"/>
          </w:rPr>
          <w:t>good</w:t>
        </w:r>
        <w:proofErr w:type="spellEnd"/>
        <w:r w:rsidRPr="00291D96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291D96">
          <w:rPr>
            <w:rStyle w:val="Hyperlink"/>
            <w:i/>
            <w:sz w:val="24"/>
            <w:lang w:val="mt-MT"/>
          </w:rPr>
          <w:t>practice</w:t>
        </w:r>
        <w:proofErr w:type="spellEnd"/>
        <w:r w:rsidRPr="00291D96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291D96">
          <w:rPr>
            <w:rStyle w:val="Hyperlink"/>
            <w:i/>
            <w:sz w:val="24"/>
            <w:lang w:val="mt-MT"/>
          </w:rPr>
          <w:t>cases</w:t>
        </w:r>
        <w:proofErr w:type="spellEnd"/>
      </w:hyperlink>
      <w:r w:rsidRPr="00291D96">
        <w:rPr>
          <w:sz w:val="24"/>
          <w:lang w:val="mt-MT"/>
        </w:rPr>
        <w:t xml:space="preserve"> (Nagħmlu l-akkwist pubbliku soċjalment responsabbli jaħdem – 71 każ ta’ prattika tajba), l-Uffiċċju tal-Pubblikazzjonijiet, 2020.</w:t>
      </w:r>
    </w:p>
  </w:footnote>
  <w:footnote w:id="29">
    <w:p w14:paraId="31634A39" w14:textId="549B3915" w:rsidR="001A17F0" w:rsidRPr="00291D96" w:rsidRDefault="001A17F0" w:rsidP="00291D96">
      <w:pPr>
        <w:pStyle w:val="FootnoteText"/>
        <w:ind w:left="567" w:hanging="567"/>
        <w:rPr>
          <w:sz w:val="24"/>
          <w:lang w:val="mt-MT"/>
        </w:rPr>
      </w:pPr>
      <w:r w:rsidRPr="00291D96">
        <w:rPr>
          <w:rStyle w:val="FootnoteReference"/>
          <w:sz w:val="24"/>
          <w:lang w:val="mt-MT"/>
        </w:rPr>
        <w:footnoteRef/>
      </w:r>
      <w:r w:rsidR="00291D96" w:rsidRPr="00291D96">
        <w:rPr>
          <w:sz w:val="24"/>
          <w:lang w:val="mt-MT"/>
        </w:rPr>
        <w:t xml:space="preserve"> </w:t>
      </w:r>
      <w:r w:rsidR="00291D96" w:rsidRPr="00291D96">
        <w:rPr>
          <w:sz w:val="24"/>
          <w:lang w:val="mt-MT"/>
        </w:rPr>
        <w:tab/>
      </w:r>
      <w:r w:rsidRPr="00291D96">
        <w:rPr>
          <w:sz w:val="24"/>
          <w:lang w:val="mt-MT"/>
        </w:rPr>
        <w:t>Ir-riżoluzzjoni tal-Parlament Ewropew tad-9 ta’ Settembru 2025 dwar l-akkwist pubbliku.</w:t>
      </w:r>
    </w:p>
  </w:footnote>
  <w:footnote w:id="30">
    <w:p w14:paraId="49233503" w14:textId="5C785FE1" w:rsidR="001A17F0" w:rsidRPr="00291D96" w:rsidRDefault="001A17F0" w:rsidP="00291D96">
      <w:pPr>
        <w:pStyle w:val="FootnoteText"/>
        <w:ind w:left="567" w:hanging="567"/>
        <w:rPr>
          <w:sz w:val="24"/>
          <w:lang w:val="mt-MT"/>
        </w:rPr>
      </w:pPr>
      <w:r w:rsidRPr="00291D96">
        <w:rPr>
          <w:rStyle w:val="FootnoteReference"/>
          <w:sz w:val="24"/>
          <w:lang w:val="mt-MT"/>
        </w:rPr>
        <w:footnoteRef/>
      </w:r>
      <w:r w:rsidR="00291D96" w:rsidRPr="00291D96">
        <w:rPr>
          <w:sz w:val="24"/>
          <w:lang w:val="mt-MT"/>
        </w:rPr>
        <w:t xml:space="preserve"> </w:t>
      </w:r>
      <w:r w:rsidR="00291D96" w:rsidRPr="00291D96">
        <w:rPr>
          <w:sz w:val="24"/>
          <w:lang w:val="mt-MT"/>
        </w:rPr>
        <w:tab/>
      </w:r>
      <w:r w:rsidRPr="00291D96">
        <w:rPr>
          <w:sz w:val="24"/>
          <w:lang w:val="mt-MT"/>
        </w:rPr>
        <w:t>Ir-riżoluzzjoni tal-Parlament Ewropew tad-9 ta’ Settembru 2025 dwar l-akkwist pubbliku.</w:t>
      </w:r>
    </w:p>
  </w:footnote>
  <w:footnote w:id="31">
    <w:p w14:paraId="66B598CB" w14:textId="3EF41B08" w:rsidR="001A17F0" w:rsidRPr="00291D96" w:rsidRDefault="001A17F0" w:rsidP="00291D96">
      <w:pPr>
        <w:pStyle w:val="FootnoteText"/>
        <w:ind w:left="567" w:hanging="567"/>
        <w:rPr>
          <w:sz w:val="24"/>
          <w:lang w:val="mt-MT"/>
        </w:rPr>
      </w:pPr>
      <w:r w:rsidRPr="00291D96">
        <w:rPr>
          <w:rStyle w:val="FootnoteReference"/>
          <w:sz w:val="24"/>
          <w:lang w:val="mt-MT"/>
        </w:rPr>
        <w:footnoteRef/>
      </w:r>
      <w:r w:rsidR="00291D96" w:rsidRPr="00291D96">
        <w:rPr>
          <w:sz w:val="24"/>
          <w:lang w:val="mt-MT"/>
        </w:rPr>
        <w:t xml:space="preserve"> </w:t>
      </w:r>
      <w:r w:rsidR="00291D96" w:rsidRPr="00291D96">
        <w:rPr>
          <w:sz w:val="24"/>
          <w:lang w:val="mt-MT"/>
        </w:rPr>
        <w:tab/>
      </w:r>
      <w:r w:rsidRPr="00291D96">
        <w:rPr>
          <w:sz w:val="24"/>
          <w:lang w:val="mt-MT"/>
        </w:rPr>
        <w:t xml:space="preserve">Studju tal-Parlament Ewropew, 2016, </w:t>
      </w:r>
      <w:proofErr w:type="spellStart"/>
      <w:r w:rsidRPr="00291D96">
        <w:rPr>
          <w:i/>
          <w:iCs/>
          <w:sz w:val="24"/>
          <w:lang w:val="mt-MT"/>
        </w:rPr>
        <w:t>Precarious</w:t>
      </w:r>
      <w:proofErr w:type="spellEnd"/>
      <w:r w:rsidRPr="00291D96">
        <w:rPr>
          <w:i/>
          <w:iCs/>
          <w:sz w:val="24"/>
          <w:lang w:val="mt-MT"/>
        </w:rPr>
        <w:t xml:space="preserve"> </w:t>
      </w:r>
      <w:proofErr w:type="spellStart"/>
      <w:r w:rsidRPr="00291D96">
        <w:rPr>
          <w:i/>
          <w:iCs/>
          <w:sz w:val="24"/>
          <w:lang w:val="mt-MT"/>
        </w:rPr>
        <w:t>Employment</w:t>
      </w:r>
      <w:proofErr w:type="spellEnd"/>
      <w:r w:rsidRPr="00291D96">
        <w:rPr>
          <w:i/>
          <w:iCs/>
          <w:sz w:val="24"/>
          <w:lang w:val="mt-MT"/>
        </w:rPr>
        <w:t xml:space="preserve"> in Europe:</w:t>
      </w:r>
      <w:r w:rsidRPr="00291D96">
        <w:rPr>
          <w:i/>
          <w:sz w:val="24"/>
          <w:lang w:val="mt-MT"/>
        </w:rPr>
        <w:t xml:space="preserve"> </w:t>
      </w:r>
      <w:proofErr w:type="spellStart"/>
      <w:r w:rsidRPr="00291D96">
        <w:rPr>
          <w:i/>
          <w:sz w:val="24"/>
          <w:lang w:val="mt-MT"/>
        </w:rPr>
        <w:t>Volume</w:t>
      </w:r>
      <w:proofErr w:type="spellEnd"/>
      <w:r w:rsidRPr="00291D96">
        <w:rPr>
          <w:i/>
          <w:sz w:val="24"/>
          <w:lang w:val="mt-MT"/>
        </w:rPr>
        <w:t xml:space="preserve"> 1: </w:t>
      </w:r>
      <w:proofErr w:type="spellStart"/>
      <w:r w:rsidRPr="00291D96">
        <w:rPr>
          <w:i/>
          <w:sz w:val="24"/>
          <w:lang w:val="mt-MT"/>
        </w:rPr>
        <w:t>Patterns</w:t>
      </w:r>
      <w:proofErr w:type="spellEnd"/>
      <w:r w:rsidRPr="00291D96">
        <w:rPr>
          <w:i/>
          <w:sz w:val="24"/>
          <w:lang w:val="mt-MT"/>
        </w:rPr>
        <w:t xml:space="preserve">, </w:t>
      </w:r>
      <w:proofErr w:type="spellStart"/>
      <w:r w:rsidRPr="00291D96">
        <w:rPr>
          <w:i/>
          <w:sz w:val="24"/>
          <w:lang w:val="mt-MT"/>
        </w:rPr>
        <w:t>Trends</w:t>
      </w:r>
      <w:proofErr w:type="spellEnd"/>
      <w:r w:rsidRPr="00291D96">
        <w:rPr>
          <w:i/>
          <w:sz w:val="24"/>
          <w:lang w:val="mt-MT"/>
        </w:rPr>
        <w:t xml:space="preserve"> </w:t>
      </w:r>
      <w:proofErr w:type="spellStart"/>
      <w:r w:rsidRPr="00291D96">
        <w:rPr>
          <w:i/>
          <w:sz w:val="24"/>
          <w:lang w:val="mt-MT"/>
        </w:rPr>
        <w:t>and</w:t>
      </w:r>
      <w:proofErr w:type="spellEnd"/>
      <w:r w:rsidRPr="00291D96">
        <w:rPr>
          <w:i/>
          <w:sz w:val="24"/>
          <w:lang w:val="mt-MT"/>
        </w:rPr>
        <w:t xml:space="preserve"> </w:t>
      </w:r>
      <w:proofErr w:type="spellStart"/>
      <w:r w:rsidRPr="00291D96">
        <w:rPr>
          <w:i/>
          <w:sz w:val="24"/>
          <w:lang w:val="mt-MT"/>
        </w:rPr>
        <w:t>Policy</w:t>
      </w:r>
      <w:proofErr w:type="spellEnd"/>
      <w:r w:rsidRPr="00291D96">
        <w:rPr>
          <w:i/>
          <w:sz w:val="24"/>
          <w:lang w:val="mt-MT"/>
        </w:rPr>
        <w:t xml:space="preserve"> </w:t>
      </w:r>
      <w:proofErr w:type="spellStart"/>
      <w:r w:rsidRPr="00291D96">
        <w:rPr>
          <w:i/>
          <w:sz w:val="24"/>
          <w:lang w:val="mt-MT"/>
        </w:rPr>
        <w:t>Strategies</w:t>
      </w:r>
      <w:proofErr w:type="spellEnd"/>
      <w:r w:rsidRPr="00291D96">
        <w:rPr>
          <w:sz w:val="24"/>
          <w:lang w:val="mt-MT"/>
        </w:rPr>
        <w:t xml:space="preserve">; Eurofound, 2010, </w:t>
      </w:r>
      <w:proofErr w:type="spellStart"/>
      <w:r w:rsidRPr="00291D96">
        <w:rPr>
          <w:i/>
          <w:iCs/>
          <w:sz w:val="24"/>
          <w:lang w:val="mt-MT"/>
        </w:rPr>
        <w:t>Key</w:t>
      </w:r>
      <w:proofErr w:type="spellEnd"/>
      <w:r w:rsidRPr="00291D96">
        <w:rPr>
          <w:i/>
          <w:iCs/>
          <w:sz w:val="24"/>
          <w:lang w:val="mt-MT"/>
        </w:rPr>
        <w:t xml:space="preserve"> </w:t>
      </w:r>
      <w:proofErr w:type="spellStart"/>
      <w:r w:rsidRPr="00291D96">
        <w:rPr>
          <w:i/>
          <w:iCs/>
          <w:sz w:val="24"/>
          <w:lang w:val="mt-MT"/>
        </w:rPr>
        <w:t>elements</w:t>
      </w:r>
      <w:proofErr w:type="spellEnd"/>
      <w:r w:rsidRPr="00291D96">
        <w:rPr>
          <w:i/>
          <w:iCs/>
          <w:sz w:val="24"/>
          <w:lang w:val="mt-MT"/>
        </w:rPr>
        <w:t xml:space="preserve"> of </w:t>
      </w:r>
      <w:proofErr w:type="spellStart"/>
      <w:r w:rsidRPr="00291D96">
        <w:rPr>
          <w:i/>
          <w:iCs/>
          <w:sz w:val="24"/>
          <w:lang w:val="mt-MT"/>
        </w:rPr>
        <w:t>fair</w:t>
      </w:r>
      <w:proofErr w:type="spellEnd"/>
      <w:r w:rsidRPr="00291D96">
        <w:rPr>
          <w:i/>
          <w:iCs/>
          <w:sz w:val="24"/>
          <w:lang w:val="mt-MT"/>
        </w:rPr>
        <w:t xml:space="preserve"> </w:t>
      </w:r>
      <w:proofErr w:type="spellStart"/>
      <w:r w:rsidRPr="00291D96">
        <w:rPr>
          <w:i/>
          <w:iCs/>
          <w:sz w:val="24"/>
          <w:lang w:val="mt-MT"/>
        </w:rPr>
        <w:t>employment</w:t>
      </w:r>
      <w:proofErr w:type="spellEnd"/>
      <w:r w:rsidRPr="00291D96">
        <w:rPr>
          <w:i/>
          <w:iCs/>
          <w:sz w:val="24"/>
          <w:lang w:val="mt-MT"/>
        </w:rPr>
        <w:t xml:space="preserve"> </w:t>
      </w:r>
      <w:proofErr w:type="spellStart"/>
      <w:r w:rsidRPr="00291D96">
        <w:rPr>
          <w:i/>
          <w:iCs/>
          <w:sz w:val="24"/>
          <w:lang w:val="mt-MT"/>
        </w:rPr>
        <w:t>and</w:t>
      </w:r>
      <w:proofErr w:type="spellEnd"/>
      <w:r w:rsidRPr="00291D96">
        <w:rPr>
          <w:i/>
          <w:iCs/>
          <w:sz w:val="24"/>
          <w:lang w:val="mt-MT"/>
        </w:rPr>
        <w:t xml:space="preserve"> </w:t>
      </w:r>
      <w:proofErr w:type="spellStart"/>
      <w:r w:rsidRPr="00291D96">
        <w:rPr>
          <w:i/>
          <w:iCs/>
          <w:sz w:val="24"/>
          <w:lang w:val="mt-MT"/>
        </w:rPr>
        <w:t>decent</w:t>
      </w:r>
      <w:proofErr w:type="spellEnd"/>
      <w:r w:rsidRPr="00291D96">
        <w:rPr>
          <w:i/>
          <w:iCs/>
          <w:sz w:val="24"/>
          <w:lang w:val="mt-MT"/>
        </w:rPr>
        <w:t xml:space="preserve"> </w:t>
      </w:r>
      <w:proofErr w:type="spellStart"/>
      <w:r w:rsidRPr="00291D96">
        <w:rPr>
          <w:i/>
          <w:iCs/>
          <w:sz w:val="24"/>
          <w:lang w:val="mt-MT"/>
        </w:rPr>
        <w:t>work</w:t>
      </w:r>
      <w:proofErr w:type="spellEnd"/>
      <w:r w:rsidRPr="00291D96">
        <w:rPr>
          <w:i/>
          <w:iCs/>
          <w:sz w:val="24"/>
          <w:lang w:val="mt-MT"/>
        </w:rPr>
        <w:t xml:space="preserve"> </w:t>
      </w:r>
      <w:r w:rsidRPr="00291D96">
        <w:rPr>
          <w:sz w:val="24"/>
          <w:lang w:val="mt-MT"/>
        </w:rPr>
        <w:t xml:space="preserve">(Elementi ewlenin ta’ impjieg ġust u xogħol deċenti); Il-Kummissjoni Ewropea, iċ-Ċentru Konġunt tar-Riċerka, </w:t>
      </w:r>
      <w:hyperlink r:id="rId19" w:history="1">
        <w:proofErr w:type="spellStart"/>
        <w:r w:rsidRPr="00291D96">
          <w:rPr>
            <w:rStyle w:val="Hyperlink"/>
            <w:i/>
            <w:sz w:val="24"/>
            <w:lang w:val="mt-MT"/>
          </w:rPr>
          <w:t>Outsourcing</w:t>
        </w:r>
        <w:proofErr w:type="spellEnd"/>
        <w:r w:rsidRPr="00291D96">
          <w:rPr>
            <w:rStyle w:val="Hyperlink"/>
            <w:i/>
            <w:sz w:val="24"/>
            <w:lang w:val="mt-MT"/>
          </w:rPr>
          <w:t xml:space="preserve">, </w:t>
        </w:r>
        <w:proofErr w:type="spellStart"/>
        <w:r w:rsidRPr="00291D96">
          <w:rPr>
            <w:rStyle w:val="Hyperlink"/>
            <w:i/>
            <w:sz w:val="24"/>
            <w:lang w:val="mt-MT"/>
          </w:rPr>
          <w:t>working</w:t>
        </w:r>
        <w:proofErr w:type="spellEnd"/>
        <w:r w:rsidRPr="00291D96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291D96">
          <w:rPr>
            <w:rStyle w:val="Hyperlink"/>
            <w:i/>
            <w:sz w:val="24"/>
            <w:lang w:val="mt-MT"/>
          </w:rPr>
          <w:t>conditions</w:t>
        </w:r>
        <w:proofErr w:type="spellEnd"/>
        <w:r w:rsidRPr="00291D96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291D96">
          <w:rPr>
            <w:rStyle w:val="Hyperlink"/>
            <w:i/>
            <w:sz w:val="24"/>
            <w:lang w:val="mt-MT"/>
          </w:rPr>
          <w:t>and</w:t>
        </w:r>
        <w:proofErr w:type="spellEnd"/>
        <w:r w:rsidRPr="00291D96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291D96">
          <w:rPr>
            <w:rStyle w:val="Hyperlink"/>
            <w:i/>
            <w:sz w:val="24"/>
            <w:lang w:val="mt-MT"/>
          </w:rPr>
          <w:t>inequality</w:t>
        </w:r>
        <w:proofErr w:type="spellEnd"/>
      </w:hyperlink>
      <w:r w:rsidRPr="00291D96">
        <w:rPr>
          <w:sz w:val="24"/>
          <w:lang w:val="mt-MT"/>
        </w:rPr>
        <w:t xml:space="preserve"> (L-esternalizzazzjoni, il-kundizzjonijiet tax-xogħol u l-inugwaljanza), 2025.</w:t>
      </w:r>
    </w:p>
  </w:footnote>
  <w:footnote w:id="32">
    <w:p w14:paraId="5FB38261" w14:textId="2A2EB94B" w:rsidR="001A17F0" w:rsidRPr="00291D96" w:rsidRDefault="001A17F0" w:rsidP="00291D96">
      <w:pPr>
        <w:pStyle w:val="FootnoteText"/>
        <w:ind w:left="567" w:hanging="567"/>
        <w:rPr>
          <w:sz w:val="24"/>
          <w:lang w:val="mt-MT"/>
        </w:rPr>
      </w:pPr>
      <w:r w:rsidRPr="00291D96">
        <w:rPr>
          <w:rStyle w:val="FootnoteReference"/>
          <w:sz w:val="24"/>
          <w:lang w:val="mt-MT"/>
        </w:rPr>
        <w:footnoteRef/>
      </w:r>
      <w:r w:rsidR="00291D96" w:rsidRPr="00291D96">
        <w:rPr>
          <w:sz w:val="24"/>
          <w:lang w:val="mt-MT"/>
        </w:rPr>
        <w:t xml:space="preserve"> </w:t>
      </w:r>
      <w:r w:rsidR="00291D96" w:rsidRPr="00291D96">
        <w:rPr>
          <w:sz w:val="24"/>
          <w:lang w:val="mt-MT"/>
        </w:rPr>
        <w:tab/>
      </w:r>
      <w:r w:rsidRPr="00291D96">
        <w:rPr>
          <w:sz w:val="24"/>
          <w:lang w:val="mt-MT"/>
        </w:rPr>
        <w:t>Id-Direttiva 2002/14/KE tal-Parlament Ewropew u tal-Kunsill tal-11 ta’ Marzu 200</w:t>
      </w:r>
      <w:r w:rsidR="00844124">
        <w:rPr>
          <w:sz w:val="24"/>
          <w:lang w:val="mt-MT"/>
        </w:rPr>
        <w:t>2</w:t>
      </w:r>
      <w:r w:rsidRPr="00291D96">
        <w:rPr>
          <w:sz w:val="24"/>
          <w:lang w:val="mt-MT"/>
        </w:rPr>
        <w:t xml:space="preserve"> li tistabbilixxi qafas ġenerali dwar l-informazzjoni u l-konsultazzjoni tal-impjegati fil-Komunità Ewropea - Dikjarazzjoni konġunta mill-Parlament Ewropew, mill-Kunsill u mill-Kummissjoni dwar ir-rappreżentazzjoni tal-ħaddiema (ĠU L 80, 23.3.2002, p. 29, ELI: </w:t>
      </w:r>
      <w:hyperlink r:id="rId20" w:tooltip="Jagħti aċċess għad-dokument permezz tal-URI tal-ELI tiegħu." w:history="1">
        <w:r w:rsidRPr="00291D96">
          <w:rPr>
            <w:rStyle w:val="Hyperlink"/>
            <w:sz w:val="24"/>
            <w:lang w:val="mt-MT"/>
          </w:rPr>
          <w:t>http://data.europa.eu/eli/dir/2002/14/oj</w:t>
        </w:r>
      </w:hyperlink>
      <w:r w:rsidRPr="00291D96">
        <w:rPr>
          <w:sz w:val="24"/>
          <w:lang w:val="mt-MT"/>
        </w:rPr>
        <w:t>).</w:t>
      </w:r>
    </w:p>
  </w:footnote>
  <w:footnote w:id="33">
    <w:p w14:paraId="049DACE4" w14:textId="2C765683" w:rsidR="001A17F0" w:rsidRPr="00291D96" w:rsidRDefault="001A17F0" w:rsidP="00291D96">
      <w:pPr>
        <w:pStyle w:val="FootnoteText"/>
        <w:ind w:left="567" w:hanging="567"/>
        <w:rPr>
          <w:sz w:val="24"/>
          <w:lang w:val="mt-MT"/>
        </w:rPr>
      </w:pPr>
      <w:r w:rsidRPr="00291D96">
        <w:rPr>
          <w:rStyle w:val="FootnoteReference"/>
          <w:sz w:val="24"/>
          <w:lang w:val="mt-MT"/>
        </w:rPr>
        <w:footnoteRef/>
      </w:r>
      <w:r w:rsidR="00291D96" w:rsidRPr="00291D96">
        <w:rPr>
          <w:sz w:val="24"/>
          <w:lang w:val="mt-MT"/>
        </w:rPr>
        <w:t xml:space="preserve"> </w:t>
      </w:r>
      <w:r w:rsidR="00291D96" w:rsidRPr="00291D96">
        <w:rPr>
          <w:sz w:val="24"/>
          <w:lang w:val="mt-MT"/>
        </w:rPr>
        <w:tab/>
      </w:r>
      <w:r w:rsidRPr="00291D96">
        <w:rPr>
          <w:sz w:val="24"/>
          <w:lang w:val="mt-MT"/>
        </w:rPr>
        <w:t>Id-Direttiva 2008/104/KE tal-Parlament Ewropew u tal-Kunsill tad-19 ta’ Novembru 2008 dwar xogħol temporanju permezz ta’ aġenzija (ĠU L 327, 5.12.2008, p. 9, ELI: </w:t>
      </w:r>
      <w:hyperlink r:id="rId21" w:tooltip="Jagħti aċċess għad-dokument permezz tal-URI tal-ELI tiegħu." w:history="1">
        <w:r w:rsidRPr="00291D96">
          <w:rPr>
            <w:rStyle w:val="Hyperlink"/>
            <w:sz w:val="24"/>
            <w:lang w:val="mt-MT"/>
          </w:rPr>
          <w:t>http://data.europa.eu/eli/dir/2008/104/oj</w:t>
        </w:r>
      </w:hyperlink>
      <w:r w:rsidRPr="00291D96">
        <w:rPr>
          <w:sz w:val="24"/>
          <w:lang w:val="mt-MT"/>
        </w:rPr>
        <w:t>).</w:t>
      </w:r>
    </w:p>
  </w:footnote>
  <w:footnote w:id="34">
    <w:p w14:paraId="2FFE5EA7" w14:textId="370114BD" w:rsidR="001A17F0" w:rsidRPr="00291D96" w:rsidRDefault="001A17F0" w:rsidP="00291D96">
      <w:pPr>
        <w:pStyle w:val="FootnoteText"/>
        <w:ind w:left="567" w:hanging="567"/>
        <w:rPr>
          <w:sz w:val="24"/>
          <w:lang w:val="mt-MT"/>
        </w:rPr>
      </w:pPr>
      <w:r w:rsidRPr="00291D96">
        <w:rPr>
          <w:rStyle w:val="FootnoteReference"/>
          <w:sz w:val="24"/>
          <w:lang w:val="mt-MT"/>
        </w:rPr>
        <w:footnoteRef/>
      </w:r>
      <w:r w:rsidR="00291D96" w:rsidRPr="00291D96">
        <w:rPr>
          <w:sz w:val="24"/>
          <w:lang w:val="mt-MT"/>
        </w:rPr>
        <w:t xml:space="preserve"> </w:t>
      </w:r>
      <w:r w:rsidR="00291D96" w:rsidRPr="00291D96">
        <w:rPr>
          <w:sz w:val="24"/>
          <w:lang w:val="mt-MT"/>
        </w:rPr>
        <w:tab/>
      </w:r>
      <w:r w:rsidRPr="00291D96">
        <w:rPr>
          <w:sz w:val="24"/>
          <w:lang w:val="mt-MT"/>
        </w:rPr>
        <w:t>Ir-riżoluzzjoni tal-Parlament Ewropew tat-18 ta’ Jannar 2024 dwar ir-reviżjoni tal-mandat tal-Awtorità Ewropea tax-Xogħol.</w:t>
      </w:r>
    </w:p>
  </w:footnote>
  <w:footnote w:id="35">
    <w:p w14:paraId="4C81EC82" w14:textId="4A1BDBAB" w:rsidR="001A17F0" w:rsidRPr="00291D96" w:rsidRDefault="001A17F0" w:rsidP="00291D96">
      <w:pPr>
        <w:pStyle w:val="FootnoteText"/>
        <w:ind w:left="567" w:hanging="567"/>
        <w:rPr>
          <w:sz w:val="24"/>
          <w:lang w:val="mt-MT"/>
        </w:rPr>
      </w:pPr>
      <w:r w:rsidRPr="00291D96">
        <w:rPr>
          <w:rStyle w:val="FootnoteReference"/>
          <w:sz w:val="24"/>
          <w:lang w:val="mt-MT"/>
        </w:rPr>
        <w:footnoteRef/>
      </w:r>
      <w:r w:rsidR="00291D96" w:rsidRPr="00291D96">
        <w:rPr>
          <w:sz w:val="24"/>
          <w:lang w:val="mt-MT"/>
        </w:rPr>
        <w:t xml:space="preserve"> </w:t>
      </w:r>
      <w:r w:rsidR="00291D96" w:rsidRPr="00291D96">
        <w:rPr>
          <w:sz w:val="24"/>
          <w:lang w:val="mt-MT"/>
        </w:rPr>
        <w:tab/>
      </w:r>
      <w:r w:rsidRPr="00291D96">
        <w:rPr>
          <w:sz w:val="24"/>
          <w:lang w:val="mt-MT"/>
        </w:rPr>
        <w:t>Id-Direttiva 2006/22/KE tal-Parlament Ewropew u tal-Kunsill tal-15 ta’ Marzu 2006 dwar il-kondizzjonijiet minimi għall-implimentazzjoni tar-Regolamenti tal-Kunsill (KEE) Nr</w:t>
      </w:r>
      <w:r w:rsidR="00844124">
        <w:rPr>
          <w:sz w:val="24"/>
          <w:lang w:val="mt-MT"/>
        </w:rPr>
        <w:t>u</w:t>
      </w:r>
      <w:r w:rsidRPr="00291D96">
        <w:rPr>
          <w:sz w:val="24"/>
          <w:lang w:val="mt-MT"/>
        </w:rPr>
        <w:t xml:space="preserve"> 3820/85 u </w:t>
      </w:r>
      <w:r w:rsidR="00844124" w:rsidRPr="00291D96">
        <w:rPr>
          <w:sz w:val="24"/>
          <w:lang w:val="mt-MT"/>
        </w:rPr>
        <w:t>(KEE) Nr</w:t>
      </w:r>
      <w:r w:rsidR="00844124">
        <w:rPr>
          <w:sz w:val="24"/>
          <w:lang w:val="mt-MT"/>
        </w:rPr>
        <w:t>u</w:t>
      </w:r>
      <w:r w:rsidR="00844124" w:rsidRPr="00291D96">
        <w:rPr>
          <w:sz w:val="24"/>
          <w:lang w:val="mt-MT"/>
        </w:rPr>
        <w:t xml:space="preserve"> </w:t>
      </w:r>
      <w:r w:rsidRPr="00291D96">
        <w:rPr>
          <w:sz w:val="24"/>
          <w:lang w:val="mt-MT"/>
        </w:rPr>
        <w:t xml:space="preserve">3821/85 dwar il-leġiżlazzjoni soċjali li għandha x’taqsam ma’ attivitajiet tat-trasport bit-triq u li tħassar id-Direttiva tal-Kunsill 88/599/KEE (ĠU L 102, 11.4.2006, p. 35, ELI: </w:t>
      </w:r>
      <w:hyperlink r:id="rId22" w:history="1">
        <w:r w:rsidRPr="00291D96">
          <w:rPr>
            <w:rStyle w:val="Hyperlink"/>
            <w:sz w:val="24"/>
            <w:lang w:val="mt-MT"/>
          </w:rPr>
          <w:t>http://data.europa.eu/eli/dir/2006/22/oj</w:t>
        </w:r>
      </w:hyperlink>
      <w:r w:rsidRPr="00291D96">
        <w:rPr>
          <w:sz w:val="24"/>
          <w:lang w:val="mt-MT"/>
        </w:rPr>
        <w:t>).</w:t>
      </w:r>
    </w:p>
  </w:footnote>
  <w:footnote w:id="36">
    <w:p w14:paraId="2F5B07C7" w14:textId="3B58D104" w:rsidR="001A17F0" w:rsidRPr="00291D96" w:rsidRDefault="001A17F0" w:rsidP="00291D96">
      <w:pPr>
        <w:pStyle w:val="FootnoteText"/>
        <w:ind w:left="567" w:hanging="567"/>
        <w:rPr>
          <w:sz w:val="24"/>
          <w:lang w:val="mt-MT"/>
        </w:rPr>
      </w:pPr>
      <w:r w:rsidRPr="00291D96">
        <w:rPr>
          <w:rStyle w:val="FootnoteReference"/>
          <w:sz w:val="24"/>
          <w:lang w:val="mt-MT"/>
        </w:rPr>
        <w:footnoteRef/>
      </w:r>
      <w:r w:rsidR="00291D96" w:rsidRPr="00291D96">
        <w:rPr>
          <w:sz w:val="24"/>
          <w:lang w:val="mt-MT"/>
        </w:rPr>
        <w:t xml:space="preserve"> </w:t>
      </w:r>
      <w:r w:rsidR="00291D96" w:rsidRPr="00291D96">
        <w:rPr>
          <w:sz w:val="24"/>
          <w:lang w:val="mt-MT"/>
        </w:rPr>
        <w:tab/>
      </w:r>
      <w:r w:rsidRPr="00291D96">
        <w:rPr>
          <w:sz w:val="24"/>
          <w:lang w:val="mt-MT"/>
        </w:rPr>
        <w:t>Ir-riżoluzzjoni tal-Parlament Ewropew tal-25 ta’ Novembru 2021 dwar l-introduzzjoni ta’ pass Ewropew tas-sigurtà soċjali għat-titjib tal-infurzar diġitali tad-drittijiet ta’ sigurtà soċjali u ta’ mobilità ekwa.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7B2EB" w14:textId="77777777" w:rsidR="00064002" w:rsidRPr="00291D9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B57B8" w14:textId="77777777" w:rsidR="00064002" w:rsidRPr="00291D9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FADCC" w14:textId="77777777" w:rsidR="00064002" w:rsidRPr="00291D9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47595173">
    <w:abstractNumId w:val="9"/>
  </w:num>
  <w:num w:numId="2" w16cid:durableId="1120416108">
    <w:abstractNumId w:val="9"/>
  </w:num>
  <w:num w:numId="3" w16cid:durableId="615328559">
    <w:abstractNumId w:val="7"/>
  </w:num>
  <w:num w:numId="4" w16cid:durableId="1922716983">
    <w:abstractNumId w:val="7"/>
  </w:num>
  <w:num w:numId="5" w16cid:durableId="944731281">
    <w:abstractNumId w:val="6"/>
  </w:num>
  <w:num w:numId="6" w16cid:durableId="1896352525">
    <w:abstractNumId w:val="6"/>
  </w:num>
  <w:num w:numId="7" w16cid:durableId="232351164">
    <w:abstractNumId w:val="5"/>
  </w:num>
  <w:num w:numId="8" w16cid:durableId="1942298679">
    <w:abstractNumId w:val="5"/>
  </w:num>
  <w:num w:numId="9" w16cid:durableId="1678732082">
    <w:abstractNumId w:val="4"/>
  </w:num>
  <w:num w:numId="10" w16cid:durableId="1027219028">
    <w:abstractNumId w:val="4"/>
  </w:num>
  <w:num w:numId="11" w16cid:durableId="1117139756">
    <w:abstractNumId w:val="8"/>
  </w:num>
  <w:num w:numId="12" w16cid:durableId="680475570">
    <w:abstractNumId w:val="8"/>
  </w:num>
  <w:num w:numId="13" w16cid:durableId="804389842">
    <w:abstractNumId w:val="3"/>
  </w:num>
  <w:num w:numId="14" w16cid:durableId="566843623">
    <w:abstractNumId w:val="3"/>
  </w:num>
  <w:num w:numId="15" w16cid:durableId="1833912091">
    <w:abstractNumId w:val="2"/>
  </w:num>
  <w:num w:numId="16" w16cid:durableId="575088310">
    <w:abstractNumId w:val="2"/>
  </w:num>
  <w:num w:numId="17" w16cid:durableId="343820254">
    <w:abstractNumId w:val="1"/>
  </w:num>
  <w:num w:numId="18" w16cid:durableId="1692412227">
    <w:abstractNumId w:val="1"/>
  </w:num>
  <w:num w:numId="19" w16cid:durableId="363601145">
    <w:abstractNumId w:val="0"/>
  </w:num>
  <w:num w:numId="20" w16cid:durableId="1890341146">
    <w:abstractNumId w:val="0"/>
  </w:num>
  <w:num w:numId="21" w16cid:durableId="1202286688">
    <w:abstractNumId w:val="9"/>
  </w:num>
  <w:num w:numId="22" w16cid:durableId="1336835194">
    <w:abstractNumId w:val="7"/>
  </w:num>
  <w:num w:numId="23" w16cid:durableId="1948200280">
    <w:abstractNumId w:val="6"/>
  </w:num>
  <w:num w:numId="24" w16cid:durableId="878130316">
    <w:abstractNumId w:val="5"/>
  </w:num>
  <w:num w:numId="25" w16cid:durableId="989944342">
    <w:abstractNumId w:val="4"/>
  </w:num>
  <w:num w:numId="26" w16cid:durableId="192622521">
    <w:abstractNumId w:val="8"/>
  </w:num>
  <w:num w:numId="27" w16cid:durableId="2042776768">
    <w:abstractNumId w:val="3"/>
  </w:num>
  <w:num w:numId="28" w16cid:durableId="801843999">
    <w:abstractNumId w:val="2"/>
  </w:num>
  <w:num w:numId="29" w16cid:durableId="533080819">
    <w:abstractNumId w:val="1"/>
  </w:num>
  <w:num w:numId="30" w16cid:durableId="1607300290">
    <w:abstractNumId w:val="0"/>
  </w:num>
  <w:num w:numId="31" w16cid:durableId="1307391747">
    <w:abstractNumId w:val="9"/>
  </w:num>
  <w:num w:numId="32" w16cid:durableId="1318728213">
    <w:abstractNumId w:val="7"/>
  </w:num>
  <w:num w:numId="33" w16cid:durableId="1398089031">
    <w:abstractNumId w:val="6"/>
  </w:num>
  <w:num w:numId="34" w16cid:durableId="1502575175">
    <w:abstractNumId w:val="5"/>
  </w:num>
  <w:num w:numId="35" w16cid:durableId="986058909">
    <w:abstractNumId w:val="4"/>
  </w:num>
  <w:num w:numId="36" w16cid:durableId="1052459575">
    <w:abstractNumId w:val="8"/>
  </w:num>
  <w:num w:numId="37" w16cid:durableId="926158664">
    <w:abstractNumId w:val="3"/>
  </w:num>
  <w:num w:numId="38" w16cid:durableId="1059478951">
    <w:abstractNumId w:val="2"/>
  </w:num>
  <w:num w:numId="39" w16cid:durableId="1169171346">
    <w:abstractNumId w:val="1"/>
  </w:num>
  <w:num w:numId="40" w16cid:durableId="679740210">
    <w:abstractNumId w:val="0"/>
  </w:num>
  <w:num w:numId="41" w16cid:durableId="1464230581">
    <w:abstractNumId w:val="10"/>
  </w:num>
  <w:num w:numId="42" w16cid:durableId="20015308">
    <w:abstractNumId w:val="10"/>
  </w:num>
  <w:num w:numId="43" w16cid:durableId="1622298792">
    <w:abstractNumId w:val="10"/>
  </w:num>
  <w:num w:numId="44" w16cid:durableId="14665873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56/2025"/>
    <w:docVar w:name="dvlangue" w:val="MT"/>
    <w:docVar w:name="dvnumam" w:val="41"/>
    <w:docVar w:name="dvpe" w:val="775.631"/>
    <w:docVar w:name="dvrapporteur" w:val="Rapporteur: "/>
    <w:docVar w:name="dvtitre" w:val="Riżoluzzjoni tal-Parlament Ewropew xx xx xxxx 2026 dwar l-indirizzar tal-ktajjen tas-sottokuntrattar u r-rwol tal-intermedjarji sabiex jiġu protetti d-drittijiet tal-ħaddiema(2025/2133(INI))"/>
  </w:docVars>
  <w:rsids>
    <w:rsidRoot w:val="00C85FA9"/>
    <w:rsid w:val="00002272"/>
    <w:rsid w:val="00064002"/>
    <w:rsid w:val="000677B9"/>
    <w:rsid w:val="000831BA"/>
    <w:rsid w:val="000A1018"/>
    <w:rsid w:val="000A42CC"/>
    <w:rsid w:val="000E7DD9"/>
    <w:rsid w:val="0010095E"/>
    <w:rsid w:val="00125B37"/>
    <w:rsid w:val="00187494"/>
    <w:rsid w:val="001A17F0"/>
    <w:rsid w:val="001E5744"/>
    <w:rsid w:val="001F32AE"/>
    <w:rsid w:val="002767FF"/>
    <w:rsid w:val="00291D96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5E8C"/>
    <w:rsid w:val="005C2568"/>
    <w:rsid w:val="005F1B17"/>
    <w:rsid w:val="006037C0"/>
    <w:rsid w:val="00645373"/>
    <w:rsid w:val="006631B6"/>
    <w:rsid w:val="00680577"/>
    <w:rsid w:val="006D61DA"/>
    <w:rsid w:val="006F74FA"/>
    <w:rsid w:val="00731ADD"/>
    <w:rsid w:val="00734777"/>
    <w:rsid w:val="00747932"/>
    <w:rsid w:val="00751A4A"/>
    <w:rsid w:val="00756632"/>
    <w:rsid w:val="00762C74"/>
    <w:rsid w:val="00786EC0"/>
    <w:rsid w:val="007C43E8"/>
    <w:rsid w:val="007D1690"/>
    <w:rsid w:val="007E22AD"/>
    <w:rsid w:val="00817416"/>
    <w:rsid w:val="00842779"/>
    <w:rsid w:val="00844124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09D9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0892"/>
    <w:rsid w:val="00C61C0C"/>
    <w:rsid w:val="00C85FA9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02A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B3EBA9"/>
  <w15:chartTrackingRefBased/>
  <w15:docId w15:val="{B69905D0-5A5C-4636-B111-7680C12E8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1A17F0"/>
    <w:pPr>
      <w:spacing w:after="240"/>
      <w:ind w:left="567" w:hanging="567"/>
    </w:pPr>
  </w:style>
  <w:style w:type="paragraph" w:customStyle="1" w:styleId="EPComma">
    <w:name w:val="EPComma"/>
    <w:basedOn w:val="Normal"/>
    <w:rsid w:val="001A17F0"/>
    <w:pPr>
      <w:spacing w:before="480" w:after="240"/>
    </w:pPr>
  </w:style>
  <w:style w:type="character" w:styleId="Hyperlink">
    <w:name w:val="Hyperlink"/>
    <w:basedOn w:val="DefaultParagraphFont"/>
    <w:rsid w:val="001A17F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1E5744"/>
    <w:rPr>
      <w:sz w:val="24"/>
      <w:lang w:val="mt-MT"/>
    </w:rPr>
  </w:style>
  <w:style w:type="character" w:styleId="CommentReference">
    <w:name w:val="annotation reference"/>
    <w:basedOn w:val="DefaultParagraphFont"/>
    <w:rsid w:val="001E5744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574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E5744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1E57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E5744"/>
    <w:rPr>
      <w:b/>
      <w:bCs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a.europa.eu/sites/default/files/2025-03/ELA-posting-third-country-nationals-report.pdf" TargetMode="External"/><Relationship Id="rId13" Type="http://schemas.openxmlformats.org/officeDocument/2006/relationships/hyperlink" Target="http://data.europa.eu/eli/C/2024/5741/oj" TargetMode="External"/><Relationship Id="rId18" Type="http://schemas.openxmlformats.org/officeDocument/2006/relationships/hyperlink" Target="https://data.europa.eu/doi/10.2826/844552" TargetMode="External"/><Relationship Id="rId3" Type="http://schemas.openxmlformats.org/officeDocument/2006/relationships/hyperlink" Target="http://data.europa.eu/eli/dir/2011/36/oj" TargetMode="External"/><Relationship Id="rId21" Type="http://schemas.openxmlformats.org/officeDocument/2006/relationships/hyperlink" Target="http://data.europa.eu/eli/dir/2008/104/oj" TargetMode="External"/><Relationship Id="rId7" Type="http://schemas.openxmlformats.org/officeDocument/2006/relationships/hyperlink" Target="https://data.europa.eu/doi/10.2826/844552" TargetMode="External"/><Relationship Id="rId12" Type="http://schemas.openxmlformats.org/officeDocument/2006/relationships/hyperlink" Target="http://data.europa.eu/eli/C/2025/3156/oj" TargetMode="External"/><Relationship Id="rId17" Type="http://schemas.openxmlformats.org/officeDocument/2006/relationships/hyperlink" Target="http://data.europa.eu/eli/reg/2008/1008/oj" TargetMode="External"/><Relationship Id="rId2" Type="http://schemas.openxmlformats.org/officeDocument/2006/relationships/hyperlink" Target="http://data.europa.eu/eli/dir/2014/67/oj" TargetMode="External"/><Relationship Id="rId16" Type="http://schemas.openxmlformats.org/officeDocument/2006/relationships/hyperlink" Target="https://www.bmas.de/DE/Service/Presse/Meldungen/2025/nationaler-aktionsplan-gegen-arbeitsausbeutung-und-zwangsarbeit-beschlossen.html" TargetMode="External"/><Relationship Id="rId20" Type="http://schemas.openxmlformats.org/officeDocument/2006/relationships/hyperlink" Target="http://data.europa.eu/eli/dir/2002/14/oj" TargetMode="External"/><Relationship Id="rId1" Type="http://schemas.openxmlformats.org/officeDocument/2006/relationships/hyperlink" Target="http://data.europa.eu/eli/dir/1996/71/oj" TargetMode="External"/><Relationship Id="rId6" Type="http://schemas.openxmlformats.org/officeDocument/2006/relationships/hyperlink" Target="http://data.europa.eu/eli/dir/2024/1760/oj" TargetMode="External"/><Relationship Id="rId11" Type="http://schemas.openxmlformats.org/officeDocument/2006/relationships/hyperlink" Target="http://data.europa.eu/eli/C/2025/3156/oj" TargetMode="External"/><Relationship Id="rId5" Type="http://schemas.openxmlformats.org/officeDocument/2006/relationships/hyperlink" Target="http://data.europa.eu/eli/dir/2014/24/oj" TargetMode="External"/><Relationship Id="rId15" Type="http://schemas.openxmlformats.org/officeDocument/2006/relationships/hyperlink" Target="https://op.europa.eu/en/publication-detail/-/publication/d06f8af4-02bd-11ef-a251-01aa75ed71a1/language-en" TargetMode="External"/><Relationship Id="rId10" Type="http://schemas.openxmlformats.org/officeDocument/2006/relationships/hyperlink" Target="https://www.ela.europa.eu/en/publications/construction-sector-issues-information-provision-enforcement-labour-mobility-law" TargetMode="External"/><Relationship Id="rId19" Type="http://schemas.openxmlformats.org/officeDocument/2006/relationships/hyperlink" Target="https://joint-research-centre.ec.europa.eu/projects-and-activities/employment/outsourcing-working-conditions-and-inequality_en" TargetMode="External"/><Relationship Id="rId4" Type="http://schemas.openxmlformats.org/officeDocument/2006/relationships/hyperlink" Target="http://data.europa.eu/eli/dir/2009/52/oj" TargetMode="External"/><Relationship Id="rId9" Type="http://schemas.openxmlformats.org/officeDocument/2006/relationships/hyperlink" Target="https://www.ela.europa.eu/sites/default/files/2023-04/ela-report-posting-third-country-nationals.pdf" TargetMode="External"/><Relationship Id="rId14" Type="http://schemas.openxmlformats.org/officeDocument/2006/relationships/hyperlink" Target="https://op.europa.eu/en/publication-detail/-/publication/384d8554-4e1c-11ef-acbc-01aa75ed71a1/language-en" TargetMode="External"/><Relationship Id="rId22" Type="http://schemas.openxmlformats.org/officeDocument/2006/relationships/hyperlink" Target="http://data.europa.eu/eli/dir/2006/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4981</Words>
  <Characters>38403</Characters>
  <Application>Microsoft Office Word</Application>
  <DocSecurity>0</DocSecurity>
  <Lines>320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2026-03-17T10:36:00Z</dcterms:created>
  <dcterms:modified xsi:type="dcterms:W3CDTF">2026-03-17T10:36:00Z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A10-0256/2025</vt:lpwstr>
  </property>
  <property fmtid="{D5CDD505-2E9C-101B-9397-08002B2CF9AE}" pid="4" name="&lt;Type&gt;">
    <vt:lpwstr>RR</vt:lpwstr>
  </property>
</Properties>
</file>