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23B1" w14:paraId="1C31F7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1E064F" w14:textId="77777777" w:rsidR="00751A4A" w:rsidRPr="00E023B1" w:rsidRDefault="003C7E26" w:rsidP="0010095E">
            <w:pPr>
              <w:pStyle w:val="EPName"/>
            </w:pPr>
            <w:r w:rsidRPr="00E023B1">
              <w:t>Parlament Europejski</w:t>
            </w:r>
          </w:p>
          <w:p w14:paraId="66E4C895" w14:textId="77777777" w:rsidR="00751A4A" w:rsidRPr="00E023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23B1">
              <w:t>2024</w:t>
            </w:r>
            <w:r w:rsidR="00817416" w:rsidRPr="00E023B1">
              <w:t>-202</w:t>
            </w:r>
            <w:r w:rsidRPr="00E023B1">
              <w:t>9</w:t>
            </w:r>
          </w:p>
        </w:tc>
        <w:tc>
          <w:tcPr>
            <w:tcW w:w="2268" w:type="dxa"/>
            <w:shd w:val="clear" w:color="auto" w:fill="auto"/>
          </w:tcPr>
          <w:p w14:paraId="71EFEBB2" w14:textId="77777777" w:rsidR="00751A4A" w:rsidRPr="00E023B1" w:rsidRDefault="00187494" w:rsidP="0010095E">
            <w:pPr>
              <w:pStyle w:val="EPLogo"/>
            </w:pPr>
            <w:r w:rsidRPr="00E023B1">
              <w:rPr>
                <w:noProof/>
                <w:lang w:eastAsia="ja-JP"/>
              </w:rPr>
              <w:drawing>
                <wp:inline distT="0" distB="0" distL="0" distR="0" wp14:anchorId="61CC62AD" wp14:editId="78F277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E798E3" w14:textId="77777777" w:rsidR="00D058B8" w:rsidRPr="00E023B1" w:rsidRDefault="00D058B8" w:rsidP="004C5D52">
      <w:pPr>
        <w:pStyle w:val="LineTop"/>
      </w:pPr>
    </w:p>
    <w:p w14:paraId="26E1043F" w14:textId="77777777" w:rsidR="00680577" w:rsidRPr="00E023B1" w:rsidRDefault="003C7E26" w:rsidP="00680577">
      <w:pPr>
        <w:pStyle w:val="EPBodyTA1"/>
      </w:pPr>
      <w:r w:rsidRPr="00E023B1">
        <w:t>TEKSTY PRZYJĘTE</w:t>
      </w:r>
    </w:p>
    <w:p w14:paraId="216CBF2D" w14:textId="77777777" w:rsidR="00D058B8" w:rsidRPr="00E023B1" w:rsidRDefault="00D058B8" w:rsidP="00D058B8">
      <w:pPr>
        <w:pStyle w:val="LineBottom"/>
      </w:pPr>
    </w:p>
    <w:p w14:paraId="63EEF677" w14:textId="36A92C05" w:rsidR="003C7E26" w:rsidRPr="00E023B1" w:rsidRDefault="003C7E26" w:rsidP="003C7E26">
      <w:pPr>
        <w:pStyle w:val="ATHeading1"/>
      </w:pPr>
      <w:bookmarkStart w:id="0" w:name="TANumber"/>
      <w:r w:rsidRPr="00E023B1">
        <w:t>P10_TA(2026)00</w:t>
      </w:r>
      <w:bookmarkEnd w:id="0"/>
      <w:r w:rsidR="001C26B1">
        <w:t>50</w:t>
      </w:r>
    </w:p>
    <w:p w14:paraId="71662672" w14:textId="17C43887" w:rsidR="003C7E26" w:rsidRPr="00E023B1" w:rsidRDefault="003C7E26" w:rsidP="003C7E26">
      <w:pPr>
        <w:pStyle w:val="ATHeading2"/>
      </w:pPr>
      <w:bookmarkStart w:id="1" w:name="title"/>
      <w:r w:rsidRPr="00E023B1">
        <w:t>Rozwiązanie problemu łańcuchów podwykonawców i roli pośredników w celu ochrony praw</w:t>
      </w:r>
      <w:r w:rsidR="008121F2">
        <w:t xml:space="preserve"> </w:t>
      </w:r>
      <w:r w:rsidRPr="00E023B1">
        <w:t>pracowniczych</w:t>
      </w:r>
      <w:bookmarkEnd w:id="1"/>
    </w:p>
    <w:p w14:paraId="76DDE6C3" w14:textId="77777777" w:rsidR="003C7E26" w:rsidRPr="00E023B1" w:rsidRDefault="003C7E26" w:rsidP="003C7E26">
      <w:pPr>
        <w:rPr>
          <w:i/>
          <w:vanish/>
        </w:rPr>
      </w:pPr>
      <w:r w:rsidRPr="00E023B1">
        <w:rPr>
          <w:i/>
        </w:rPr>
        <w:fldChar w:fldCharType="begin"/>
      </w:r>
      <w:r w:rsidRPr="00E023B1">
        <w:rPr>
          <w:i/>
        </w:rPr>
        <w:instrText xml:space="preserve"> TC"(</w:instrText>
      </w:r>
      <w:bookmarkStart w:id="2" w:name="DocNumber"/>
      <w:r w:rsidRPr="00E023B1">
        <w:rPr>
          <w:i/>
        </w:rPr>
        <w:instrText>A10-0256/2025</w:instrText>
      </w:r>
      <w:bookmarkEnd w:id="2"/>
      <w:r w:rsidRPr="00E023B1">
        <w:rPr>
          <w:i/>
        </w:rPr>
        <w:instrText xml:space="preserve"> - Sprawozdawca: </w:instrText>
      </w:r>
      <w:proofErr w:type="spellStart"/>
      <w:r w:rsidRPr="00E023B1">
        <w:rPr>
          <w:i/>
        </w:rPr>
        <w:instrText>Johan</w:instrText>
      </w:r>
      <w:proofErr w:type="spellEnd"/>
      <w:r w:rsidRPr="00E023B1">
        <w:rPr>
          <w:i/>
        </w:rPr>
        <w:instrText xml:space="preserve"> </w:instrText>
      </w:r>
      <w:proofErr w:type="spellStart"/>
      <w:r w:rsidRPr="00E023B1">
        <w:rPr>
          <w:i/>
        </w:rPr>
        <w:instrText>Danielsson</w:instrText>
      </w:r>
      <w:proofErr w:type="spellEnd"/>
      <w:r w:rsidRPr="00E023B1">
        <w:rPr>
          <w:i/>
        </w:rPr>
        <w:instrText xml:space="preserve">)"\l3 \n&gt; \* MERGEFORMAT </w:instrText>
      </w:r>
      <w:r w:rsidRPr="00E023B1">
        <w:rPr>
          <w:i/>
        </w:rPr>
        <w:fldChar w:fldCharType="end"/>
      </w:r>
    </w:p>
    <w:p w14:paraId="39EAB0B7" w14:textId="77777777" w:rsidR="003C7E26" w:rsidRPr="00E023B1" w:rsidRDefault="003C7E26" w:rsidP="003C7E26">
      <w:pPr>
        <w:rPr>
          <w:vanish/>
        </w:rPr>
      </w:pPr>
      <w:bookmarkStart w:id="3" w:name="Commission"/>
      <w:r w:rsidRPr="00E023B1">
        <w:rPr>
          <w:vanish/>
        </w:rPr>
        <w:t>Komisja Zatrudnienia i Spraw Socjalnych</w:t>
      </w:r>
      <w:bookmarkEnd w:id="3"/>
    </w:p>
    <w:p w14:paraId="7B8A2947" w14:textId="77777777" w:rsidR="003C7E26" w:rsidRPr="00E023B1" w:rsidRDefault="003C7E26" w:rsidP="003C7E26">
      <w:pPr>
        <w:rPr>
          <w:vanish/>
        </w:rPr>
      </w:pPr>
      <w:bookmarkStart w:id="4" w:name="PE"/>
      <w:r w:rsidRPr="00E023B1">
        <w:rPr>
          <w:vanish/>
        </w:rPr>
        <w:t>PE775.631</w:t>
      </w:r>
      <w:bookmarkEnd w:id="4"/>
    </w:p>
    <w:p w14:paraId="7E5E8FF6" w14:textId="7D39A5D5" w:rsidR="003C7E26" w:rsidRPr="00E023B1" w:rsidRDefault="003C7E26" w:rsidP="003C7E26">
      <w:pPr>
        <w:pStyle w:val="ATHeading3"/>
      </w:pPr>
      <w:bookmarkStart w:id="5" w:name="Sujet"/>
      <w:r w:rsidRPr="00E023B1">
        <w:t xml:space="preserve">Rezolucja Parlamentu Europejskiego z dnia </w:t>
      </w:r>
      <w:r w:rsidR="008121F2">
        <w:t>12 lutego</w:t>
      </w:r>
      <w:r w:rsidRPr="00E023B1">
        <w:t xml:space="preserve"> 2026 r. w sprawie rozwiązania problemu łańcuchów podwykonawców i roli pośredników w celu ochrony praw pracowniczych</w:t>
      </w:r>
      <w:bookmarkEnd w:id="5"/>
      <w:r w:rsidRPr="00E023B1">
        <w:t xml:space="preserve"> </w:t>
      </w:r>
      <w:bookmarkStart w:id="6" w:name="References"/>
      <w:r w:rsidRPr="00E023B1">
        <w:t>(2025/2133(INI))</w:t>
      </w:r>
      <w:bookmarkEnd w:id="6"/>
    </w:p>
    <w:p w14:paraId="3CBA5B57" w14:textId="77777777" w:rsidR="006E7371" w:rsidRPr="00E023B1" w:rsidRDefault="006E7371" w:rsidP="006E7371">
      <w:pPr>
        <w:pStyle w:val="EPComma"/>
      </w:pPr>
      <w:r w:rsidRPr="00E023B1">
        <w:rPr>
          <w:i/>
        </w:rPr>
        <w:t>Parlament Europejski</w:t>
      </w:r>
      <w:r w:rsidRPr="00E023B1">
        <w:t>,</w:t>
      </w:r>
    </w:p>
    <w:p w14:paraId="544EDE23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art. 16 i 31 Karty praw podstawowych Unii Europejskiej,</w:t>
      </w:r>
    </w:p>
    <w:p w14:paraId="70ACD421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Europejski filar praw socjalnych,</w:t>
      </w:r>
    </w:p>
    <w:p w14:paraId="3152FA03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dyrektywę 96/71/WE Parlamentu Europejskiego i Rady z dnia 16 grudnia 1996 r. dotyczącą delegowania pracowników w ramach świadczenia usług</w:t>
      </w:r>
      <w:r w:rsidRPr="00E023B1">
        <w:rPr>
          <w:rStyle w:val="FootnoteReference"/>
        </w:rPr>
        <w:footnoteReference w:id="1"/>
      </w:r>
      <w:r w:rsidRPr="00E023B1">
        <w:t xml:space="preserve"> zmienioną dyrektywą (UE) 2018/957,</w:t>
      </w:r>
    </w:p>
    <w:p w14:paraId="574E2107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dyrektywę Parlamentu Europejskiego i Rady 2014/67/UE z dnia 15 maja 2014 r. w sprawie egzekwowania dyrektywy 96/71/WE dotyczącej delegowania pracowników w ramach świadczenia usług, zmieniającą rozporządzenie (UE) nr 1024/2012 w sprawie współpracy administracyjnej za pośrednictwem systemu wymiany informacji na rynku wewnętrznym („rozporządzenie w sprawie IMI”)</w:t>
      </w:r>
      <w:r w:rsidRPr="00E023B1">
        <w:rPr>
          <w:rStyle w:val="FootnoteReference"/>
        </w:rPr>
        <w:footnoteReference w:id="2"/>
      </w:r>
      <w:r w:rsidRPr="00E023B1">
        <w:t>,</w:t>
      </w:r>
    </w:p>
    <w:p w14:paraId="6B55DE82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dyrektywę Parlamentu Europejskiego i Rady 2011/36/UE z dnia 5 kwietnia 2011 r. w sprawie zapobiegania handlowi ludźmi i zwalczania tego procederu oraz ochrony ofiar, zastępującą decyzję ramową Rady 2002/629/</w:t>
      </w:r>
      <w:proofErr w:type="spellStart"/>
      <w:r w:rsidRPr="00E023B1">
        <w:t>WSiSW</w:t>
      </w:r>
      <w:proofErr w:type="spellEnd"/>
      <w:r w:rsidRPr="00E023B1">
        <w:t>, zmienioną dyrektywą (UE) 2024/1712</w:t>
      </w:r>
      <w:r w:rsidRPr="00E023B1">
        <w:rPr>
          <w:rStyle w:val="FootnoteReference"/>
        </w:rPr>
        <w:footnoteReference w:id="3"/>
      </w:r>
      <w:r w:rsidRPr="00E023B1">
        <w:t>,</w:t>
      </w:r>
    </w:p>
    <w:p w14:paraId="584620AE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dyrektywę Parlamentu Europejskiego i Rady 2009/52/WE z dnia 18 czerwca 2009 r. przewidującą minimalne normy w odniesieniu do kar i środków stosowanych wobec pracodawców zatrudniających nielegalnie przebywających </w:t>
      </w:r>
      <w:r w:rsidRPr="00E023B1">
        <w:lastRenderedPageBreak/>
        <w:t>obywateli krajów trzecich</w:t>
      </w:r>
      <w:r w:rsidRPr="00E023B1">
        <w:rPr>
          <w:rStyle w:val="FootnoteReference"/>
        </w:rPr>
        <w:footnoteReference w:id="4"/>
      </w:r>
      <w:r w:rsidRPr="00E023B1">
        <w:t xml:space="preserve"> („dyrektywa w sprawie kar wobec pracodawców”),</w:t>
      </w:r>
    </w:p>
    <w:p w14:paraId="15608C01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dyrektywę Parlamentu Europejskiego i Rady 2014/24/UE z dnia 26 lutego 2014 r. w sprawie zamówień publicznych, uchylającą dyrektywę 2004/18/WE</w:t>
      </w:r>
      <w:r w:rsidRPr="00E023B1">
        <w:rPr>
          <w:rStyle w:val="FootnoteReference"/>
        </w:rPr>
        <w:footnoteReference w:id="5"/>
      </w:r>
      <w:r w:rsidRPr="00E023B1">
        <w:t>,</w:t>
      </w:r>
    </w:p>
    <w:p w14:paraId="33E7BF35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dyrektywę Parlamentu Europejskiego i Rady (UE) 2024/1760 z 13 czerwca 2024 r. w sprawie należytej staranności przedsiębiorstw w zakresie zrównoważonego rozwoju oraz zmieniającą dyrektywę (UE) 2019/1937 i rozporządzenie (UE) 2023/2859</w:t>
      </w:r>
      <w:r w:rsidRPr="00E023B1">
        <w:rPr>
          <w:rStyle w:val="FootnoteReference"/>
        </w:rPr>
        <w:footnoteReference w:id="6"/>
      </w:r>
      <w:r w:rsidRPr="00E023B1">
        <w:t>,</w:t>
      </w:r>
    </w:p>
    <w:p w14:paraId="5C9F1A9C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sprawozdanie Komisji z 30 kwietnia 2024 r. dotyczące stosowania i wykonywania dyrektywy Parlamentu Europejskiego i Rady (UE) 2018/957 z 28 czerwca 2018 r. zmieniającej dyrektywę 96/71/WE dotyczącą delegowania pracowników w ramach świadczenia usług (</w:t>
      </w:r>
      <w:hyperlink r:id="rId9" w:history="1">
        <w:r w:rsidRPr="00E023B1">
          <w:rPr>
            <w:rStyle w:val="Hyperlink"/>
          </w:rPr>
          <w:t>COM(2024)0320</w:t>
        </w:r>
      </w:hyperlink>
      <w:r w:rsidRPr="00E023B1">
        <w:t>),</w:t>
      </w:r>
    </w:p>
    <w:p w14:paraId="5ECCC204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sprawozdanie Komisji z 26 maja 2025 r. pt. „Ocena Europejskiego Urzędu ds. Pracy” (</w:t>
      </w:r>
      <w:hyperlink r:id="rId10" w:history="1">
        <w:r w:rsidRPr="00E023B1">
          <w:rPr>
            <w:rStyle w:val="Hyperlink"/>
          </w:rPr>
          <w:t>COM(2025)0256</w:t>
        </w:r>
      </w:hyperlink>
      <w:r w:rsidRPr="00E023B1">
        <w:t>),</w:t>
      </w:r>
    </w:p>
    <w:p w14:paraId="703BEA24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komunikat Komisji z 3 grudnia 2020 r. pt. „Strategiczne ramy UE dotyczące bezpieczeństwa i higieny pracy na lata 2021–2027 – Bezpieczeństwo i higiena pracy w zmieniającym się świecie pracy” (</w:t>
      </w:r>
      <w:hyperlink r:id="rId11" w:history="1">
        <w:r w:rsidRPr="00E023B1">
          <w:rPr>
            <w:rStyle w:val="Hyperlink"/>
          </w:rPr>
          <w:t>COM(2021)0323</w:t>
        </w:r>
      </w:hyperlink>
      <w:r w:rsidRPr="00E023B1">
        <w:t>), w tym podejście oparte na strategii „Wizji zero”, dążącej do wyeliminowania zgonów związanych z pracą w UE,</w:t>
      </w:r>
    </w:p>
    <w:p w14:paraId="45926D59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publikację Komisji z </w:t>
      </w:r>
      <w:proofErr w:type="gramStart"/>
      <w:r w:rsidRPr="00E023B1">
        <w:t>maja</w:t>
      </w:r>
      <w:proofErr w:type="gramEnd"/>
      <w:r w:rsidRPr="00E023B1">
        <w:t xml:space="preserve"> 2020 r. pt. „</w:t>
      </w:r>
      <w:proofErr w:type="spellStart"/>
      <w:r w:rsidRPr="00E023B1">
        <w:t>Making</w:t>
      </w:r>
      <w:proofErr w:type="spellEnd"/>
      <w:r w:rsidRPr="00E023B1">
        <w:t xml:space="preserve"> </w:t>
      </w:r>
      <w:proofErr w:type="spellStart"/>
      <w:r w:rsidRPr="00E023B1">
        <w:t>Socially</w:t>
      </w:r>
      <w:proofErr w:type="spellEnd"/>
      <w:r w:rsidRPr="00E023B1">
        <w:t xml:space="preserve"> </w:t>
      </w:r>
      <w:proofErr w:type="spellStart"/>
      <w:r w:rsidRPr="00E023B1">
        <w:t>Responsible</w:t>
      </w:r>
      <w:proofErr w:type="spellEnd"/>
      <w:r w:rsidRPr="00E023B1">
        <w:t xml:space="preserve"> Public </w:t>
      </w:r>
      <w:proofErr w:type="spellStart"/>
      <w:r w:rsidRPr="00E023B1">
        <w:t>Procurement</w:t>
      </w:r>
      <w:proofErr w:type="spellEnd"/>
      <w:r w:rsidRPr="00E023B1">
        <w:t xml:space="preserve"> </w:t>
      </w:r>
      <w:proofErr w:type="spellStart"/>
      <w:r w:rsidRPr="00E023B1">
        <w:t>Work</w:t>
      </w:r>
      <w:proofErr w:type="spellEnd"/>
      <w:r w:rsidRPr="00E023B1">
        <w:t xml:space="preserve"> – 71 Good </w:t>
      </w:r>
      <w:proofErr w:type="spellStart"/>
      <w:r w:rsidRPr="00E023B1">
        <w:t>Practice</w:t>
      </w:r>
      <w:proofErr w:type="spellEnd"/>
      <w:r w:rsidRPr="00E023B1">
        <w:t xml:space="preserve"> </w:t>
      </w:r>
      <w:proofErr w:type="spellStart"/>
      <w:r w:rsidRPr="00E023B1">
        <w:t>cases</w:t>
      </w:r>
      <w:proofErr w:type="spellEnd"/>
      <w:r w:rsidRPr="00E023B1">
        <w:t>” [Skuteczne funkcjonowanie społecznie odpowiedzialnych zamówień publicznych – 71 przykładów dobrych praktyk]</w:t>
      </w:r>
      <w:r w:rsidRPr="00E023B1">
        <w:rPr>
          <w:rStyle w:val="FootnoteReference"/>
        </w:rPr>
        <w:footnoteReference w:id="7"/>
      </w:r>
      <w:r w:rsidRPr="00E023B1">
        <w:t>,</w:t>
      </w:r>
    </w:p>
    <w:p w14:paraId="1D79DC5B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sprawozdanie Europejskiego Urzędu ds. Pracy z 2025 r. pt. „</w:t>
      </w:r>
      <w:proofErr w:type="spellStart"/>
      <w:r w:rsidRPr="00E023B1">
        <w:t>Posting</w:t>
      </w:r>
      <w:proofErr w:type="spellEnd"/>
      <w:r w:rsidRPr="00E023B1">
        <w:t xml:space="preserve"> of third‑country </w:t>
      </w:r>
      <w:proofErr w:type="spellStart"/>
      <w:r w:rsidRPr="00E023B1">
        <w:t>nationals</w:t>
      </w:r>
      <w:proofErr w:type="spellEnd"/>
      <w:r w:rsidRPr="00E023B1">
        <w:t xml:space="preserve">: </w:t>
      </w:r>
      <w:proofErr w:type="spellStart"/>
      <w:r w:rsidRPr="00E023B1">
        <w:t>Contracting</w:t>
      </w:r>
      <w:proofErr w:type="spellEnd"/>
      <w:r w:rsidRPr="00E023B1">
        <w:t xml:space="preserve"> </w:t>
      </w:r>
      <w:proofErr w:type="spellStart"/>
      <w:r w:rsidRPr="00E023B1">
        <w:t>chains</w:t>
      </w:r>
      <w:proofErr w:type="spellEnd"/>
      <w:r w:rsidRPr="00E023B1">
        <w:t xml:space="preserve">, </w:t>
      </w:r>
      <w:proofErr w:type="spellStart"/>
      <w:r w:rsidRPr="00E023B1">
        <w:t>recruitment</w:t>
      </w:r>
      <w:proofErr w:type="spellEnd"/>
      <w:r w:rsidRPr="00E023B1">
        <w:t xml:space="preserve"> </w:t>
      </w:r>
      <w:proofErr w:type="spellStart"/>
      <w:r w:rsidRPr="00E023B1">
        <w:t>patterns</w:t>
      </w:r>
      <w:proofErr w:type="spellEnd"/>
      <w:r w:rsidRPr="00E023B1">
        <w:t xml:space="preserve">, and </w:t>
      </w:r>
      <w:proofErr w:type="spellStart"/>
      <w:r w:rsidRPr="00E023B1">
        <w:t>enforcement</w:t>
      </w:r>
      <w:proofErr w:type="spellEnd"/>
      <w:r w:rsidRPr="00E023B1">
        <w:t xml:space="preserve"> </w:t>
      </w:r>
      <w:proofErr w:type="spellStart"/>
      <w:r w:rsidRPr="00E023B1">
        <w:t>issues</w:t>
      </w:r>
      <w:proofErr w:type="spellEnd"/>
      <w:r w:rsidRPr="00E023B1">
        <w:t>” [Delegowanie obywateli państw trzecich: łańcuchy wykonawstwa, modele rekrutacji i problemy z egzekwowaniem przepisów]</w:t>
      </w:r>
      <w:r w:rsidRPr="00E023B1">
        <w:rPr>
          <w:rStyle w:val="FootnoteReference"/>
        </w:rPr>
        <w:footnoteReference w:id="8"/>
      </w:r>
      <w:r w:rsidRPr="00E023B1">
        <w:t>,</w:t>
      </w:r>
    </w:p>
    <w:p w14:paraId="67074D8C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sprawozdanie Europejskiego Urzędu ds. Pracy z lutego 2023 r. pt. „</w:t>
      </w:r>
      <w:proofErr w:type="spellStart"/>
      <w:r w:rsidRPr="00E023B1">
        <w:t>Cooperation</w:t>
      </w:r>
      <w:proofErr w:type="spellEnd"/>
      <w:r w:rsidRPr="00E023B1">
        <w:t xml:space="preserve"> </w:t>
      </w:r>
      <w:proofErr w:type="spellStart"/>
      <w:r w:rsidRPr="00E023B1">
        <w:t>practices</w:t>
      </w:r>
      <w:proofErr w:type="spellEnd"/>
      <w:r w:rsidRPr="00E023B1">
        <w:t xml:space="preserve">, </w:t>
      </w:r>
      <w:proofErr w:type="spellStart"/>
      <w:r w:rsidRPr="00E023B1">
        <w:t>possibilities</w:t>
      </w:r>
      <w:proofErr w:type="spellEnd"/>
      <w:r w:rsidRPr="00E023B1">
        <w:t xml:space="preserve"> and </w:t>
      </w:r>
      <w:proofErr w:type="spellStart"/>
      <w:r w:rsidRPr="00E023B1">
        <w:t>challenges</w:t>
      </w:r>
      <w:proofErr w:type="spellEnd"/>
      <w:r w:rsidRPr="00E023B1">
        <w:t xml:space="preserve"> </w:t>
      </w:r>
      <w:proofErr w:type="spellStart"/>
      <w:r w:rsidRPr="00E023B1">
        <w:t>between</w:t>
      </w:r>
      <w:proofErr w:type="spellEnd"/>
      <w:r w:rsidRPr="00E023B1">
        <w:t xml:space="preserve"> </w:t>
      </w:r>
      <w:proofErr w:type="spellStart"/>
      <w:r w:rsidRPr="00E023B1">
        <w:t>Member</w:t>
      </w:r>
      <w:proofErr w:type="spellEnd"/>
      <w:r w:rsidRPr="00E023B1">
        <w:t xml:space="preserve"> </w:t>
      </w:r>
      <w:proofErr w:type="spellStart"/>
      <w:r w:rsidRPr="00E023B1">
        <w:t>States</w:t>
      </w:r>
      <w:proofErr w:type="spellEnd"/>
      <w:r w:rsidRPr="00E023B1">
        <w:t xml:space="preserve"> – </w:t>
      </w:r>
      <w:proofErr w:type="spellStart"/>
      <w:r w:rsidRPr="00E023B1">
        <w:t>specifically</w:t>
      </w:r>
      <w:proofErr w:type="spellEnd"/>
      <w:r w:rsidRPr="00E023B1">
        <w:t xml:space="preserve"> in </w:t>
      </w:r>
      <w:proofErr w:type="spellStart"/>
      <w:r w:rsidRPr="00E023B1">
        <w:t>relation</w:t>
      </w:r>
      <w:proofErr w:type="spellEnd"/>
      <w:r w:rsidRPr="00E023B1">
        <w:t xml:space="preserve"> to the </w:t>
      </w:r>
      <w:proofErr w:type="spellStart"/>
      <w:r w:rsidRPr="00E023B1">
        <w:t>posting</w:t>
      </w:r>
      <w:proofErr w:type="spellEnd"/>
      <w:r w:rsidRPr="00E023B1">
        <w:t xml:space="preserve"> of third‑country </w:t>
      </w:r>
      <w:proofErr w:type="spellStart"/>
      <w:r w:rsidRPr="00E023B1">
        <w:t>nationals</w:t>
      </w:r>
      <w:proofErr w:type="spellEnd"/>
      <w:r w:rsidRPr="00E023B1">
        <w:t>” [Praktyki, możliwości i wyzwania związane ze współpracą między państwami członkowskimi – w szczególności w odniesieniu do delegowania obywateli państw trzecich]</w:t>
      </w:r>
      <w:r w:rsidRPr="00E023B1">
        <w:rPr>
          <w:rStyle w:val="FootnoteReference"/>
        </w:rPr>
        <w:footnoteReference w:id="9"/>
      </w:r>
      <w:r w:rsidRPr="00E023B1">
        <w:t>,</w:t>
      </w:r>
    </w:p>
    <w:p w14:paraId="1E36E06F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sprawozdanie Europejskiego Urzędu ds. Pracy z 20 września 2023 r. pt. „Construction </w:t>
      </w:r>
      <w:proofErr w:type="spellStart"/>
      <w:r w:rsidRPr="00E023B1">
        <w:t>sector</w:t>
      </w:r>
      <w:proofErr w:type="spellEnd"/>
      <w:r w:rsidRPr="00E023B1">
        <w:t xml:space="preserve">: </w:t>
      </w:r>
      <w:proofErr w:type="spellStart"/>
      <w:r w:rsidRPr="00E023B1">
        <w:t>Issues</w:t>
      </w:r>
      <w:proofErr w:type="spellEnd"/>
      <w:r w:rsidRPr="00E023B1">
        <w:t xml:space="preserve"> in </w:t>
      </w:r>
      <w:proofErr w:type="spellStart"/>
      <w:r w:rsidRPr="00E023B1">
        <w:t>information</w:t>
      </w:r>
      <w:proofErr w:type="spellEnd"/>
      <w:r w:rsidRPr="00E023B1">
        <w:t xml:space="preserve"> </w:t>
      </w:r>
      <w:proofErr w:type="spellStart"/>
      <w:r w:rsidRPr="00E023B1">
        <w:t>provision</w:t>
      </w:r>
      <w:proofErr w:type="spellEnd"/>
      <w:r w:rsidRPr="00E023B1">
        <w:t xml:space="preserve">, </w:t>
      </w:r>
      <w:proofErr w:type="spellStart"/>
      <w:r w:rsidRPr="00E023B1">
        <w:t>enforcement</w:t>
      </w:r>
      <w:proofErr w:type="spellEnd"/>
      <w:r w:rsidRPr="00E023B1">
        <w:t xml:space="preserve"> of </w:t>
      </w:r>
      <w:proofErr w:type="spellStart"/>
      <w:r w:rsidRPr="00E023B1">
        <w:t>labour</w:t>
      </w:r>
      <w:proofErr w:type="spellEnd"/>
      <w:r w:rsidRPr="00E023B1">
        <w:t xml:space="preserve"> </w:t>
      </w:r>
      <w:proofErr w:type="spellStart"/>
      <w:r w:rsidRPr="00E023B1">
        <w:t>mobility</w:t>
      </w:r>
      <w:proofErr w:type="spellEnd"/>
      <w:r w:rsidRPr="00E023B1">
        <w:t xml:space="preserve"> law, </w:t>
      </w:r>
      <w:proofErr w:type="spellStart"/>
      <w:r w:rsidRPr="00E023B1">
        <w:t>social</w:t>
      </w:r>
      <w:proofErr w:type="spellEnd"/>
      <w:r w:rsidRPr="00E023B1">
        <w:t xml:space="preserve"> </w:t>
      </w:r>
      <w:proofErr w:type="spellStart"/>
      <w:r w:rsidRPr="00E023B1">
        <w:t>security</w:t>
      </w:r>
      <w:proofErr w:type="spellEnd"/>
      <w:r w:rsidRPr="00E023B1">
        <w:t xml:space="preserve"> </w:t>
      </w:r>
      <w:proofErr w:type="spellStart"/>
      <w:r w:rsidRPr="00E023B1">
        <w:t>coordination</w:t>
      </w:r>
      <w:proofErr w:type="spellEnd"/>
      <w:r w:rsidRPr="00E023B1">
        <w:t xml:space="preserve"> </w:t>
      </w:r>
      <w:proofErr w:type="spellStart"/>
      <w:r w:rsidRPr="00E023B1">
        <w:t>regulations</w:t>
      </w:r>
      <w:proofErr w:type="spellEnd"/>
      <w:r w:rsidRPr="00E023B1">
        <w:t xml:space="preserve">, and </w:t>
      </w:r>
      <w:proofErr w:type="spellStart"/>
      <w:r w:rsidRPr="00E023B1">
        <w:t>cooperation</w:t>
      </w:r>
      <w:proofErr w:type="spellEnd"/>
      <w:r w:rsidRPr="00E023B1">
        <w:t xml:space="preserve"> </w:t>
      </w:r>
      <w:proofErr w:type="spellStart"/>
      <w:r w:rsidRPr="00E023B1">
        <w:t>between</w:t>
      </w:r>
      <w:proofErr w:type="spellEnd"/>
      <w:r w:rsidRPr="00E023B1">
        <w:t xml:space="preserve"> </w:t>
      </w:r>
      <w:proofErr w:type="spellStart"/>
      <w:r w:rsidRPr="00E023B1">
        <w:lastRenderedPageBreak/>
        <w:t>Member</w:t>
      </w:r>
      <w:proofErr w:type="spellEnd"/>
      <w:r w:rsidRPr="00E023B1">
        <w:t xml:space="preserve"> </w:t>
      </w:r>
      <w:proofErr w:type="spellStart"/>
      <w:r w:rsidRPr="00E023B1">
        <w:t>States</w:t>
      </w:r>
      <w:proofErr w:type="spellEnd"/>
      <w:r w:rsidRPr="00E023B1">
        <w:t>” [Sektor budowlany: problemy z dostarczaniem informacji, egzekwowaniem przepisów dotyczących mobilności pracowników, przepisów dotyczących koordynacji zabezpieczenia społecznego oraz ze współpracą między państwami członkowskimi]</w:t>
      </w:r>
      <w:r w:rsidRPr="00E023B1">
        <w:rPr>
          <w:rStyle w:val="FootnoteReference"/>
        </w:rPr>
        <w:footnoteReference w:id="10"/>
      </w:r>
      <w:r w:rsidRPr="00E023B1">
        <w:t>,</w:t>
      </w:r>
    </w:p>
    <w:p w14:paraId="3A4CBD5E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sprawozdanie Europolu z grudnia 2024 r. pt. „</w:t>
      </w:r>
      <w:proofErr w:type="spellStart"/>
      <w:r w:rsidRPr="00E023B1">
        <w:t>Leveraging</w:t>
      </w:r>
      <w:proofErr w:type="spellEnd"/>
      <w:r w:rsidRPr="00E023B1">
        <w:t xml:space="preserve"> </w:t>
      </w:r>
      <w:proofErr w:type="spellStart"/>
      <w:r w:rsidRPr="00E023B1">
        <w:t>legitimacy</w:t>
      </w:r>
      <w:proofErr w:type="spellEnd"/>
      <w:r w:rsidRPr="00E023B1">
        <w:t xml:space="preserve">: How the </w:t>
      </w:r>
      <w:proofErr w:type="spellStart"/>
      <w:r w:rsidRPr="00E023B1">
        <w:t>EU’s</w:t>
      </w:r>
      <w:proofErr w:type="spellEnd"/>
      <w:r w:rsidRPr="00E023B1">
        <w:t xml:space="preserve"> most </w:t>
      </w:r>
      <w:proofErr w:type="spellStart"/>
      <w:r w:rsidRPr="00E023B1">
        <w:t>threatening</w:t>
      </w:r>
      <w:proofErr w:type="spellEnd"/>
      <w:r w:rsidRPr="00E023B1">
        <w:t xml:space="preserve"> </w:t>
      </w:r>
      <w:proofErr w:type="spellStart"/>
      <w:r w:rsidRPr="00E023B1">
        <w:t>criminal</w:t>
      </w:r>
      <w:proofErr w:type="spellEnd"/>
      <w:r w:rsidRPr="00E023B1">
        <w:t xml:space="preserve"> networks </w:t>
      </w:r>
      <w:proofErr w:type="spellStart"/>
      <w:r w:rsidRPr="00E023B1">
        <w:t>abuse</w:t>
      </w:r>
      <w:proofErr w:type="spellEnd"/>
      <w:r w:rsidRPr="00E023B1">
        <w:t xml:space="preserve"> </w:t>
      </w:r>
      <w:proofErr w:type="spellStart"/>
      <w:r w:rsidRPr="00E023B1">
        <w:t>legal</w:t>
      </w:r>
      <w:proofErr w:type="spellEnd"/>
      <w:r w:rsidRPr="00E023B1">
        <w:t xml:space="preserve"> business </w:t>
      </w:r>
      <w:proofErr w:type="spellStart"/>
      <w:r w:rsidRPr="00E023B1">
        <w:t>structures</w:t>
      </w:r>
      <w:proofErr w:type="spellEnd"/>
      <w:r w:rsidRPr="00E023B1">
        <w:t>” [Wykorzystywanie legalności: Jak najgroźniejsze siatki przestępcze w UE wykorzystują legalne struktury biznesowe],</w:t>
      </w:r>
    </w:p>
    <w:p w14:paraId="2D099E16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art. 10 wytycznych Międzynarodowej Organizacji Pracy (MOP) w sprawie ogólnych zasad inspekcji pracy,</w:t>
      </w:r>
    </w:p>
    <w:p w14:paraId="65026AC9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konwencję MOP dotyczącą prywatnych biur pośrednictwa pracy (konwencja nr 181 z 1997 r.),</w:t>
      </w:r>
    </w:p>
    <w:p w14:paraId="28C79516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Konwencję MOP dotyczącą bezpieczeństwa i zdrowia w budownictwie (konwencja nr 167 z 1988 r.),</w:t>
      </w:r>
    </w:p>
    <w:p w14:paraId="0BAF2E55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swoją rezolucję z dnia 25 listopada 2021 r. w sprawie wprowadzenia europejskiego dowodu zabezpieczenia społecznego w celu poprawy cyfrowego egzekwowania praw w zakresie zabezpieczenia społecznego i sprawiedliwej mobilności</w:t>
      </w:r>
      <w:r w:rsidRPr="00E023B1">
        <w:rPr>
          <w:rStyle w:val="FootnoteReference"/>
        </w:rPr>
        <w:footnoteReference w:id="11"/>
      </w:r>
      <w:r w:rsidRPr="00E023B1">
        <w:t>,</w:t>
      </w:r>
    </w:p>
    <w:p w14:paraId="5A913557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swoją rezolucję z dnia 13 marca 2025 r. w sprawie aspektów socjalnych i pracowniczych procesów restrukturyzacji: konieczność ochrony miejsc pracy i praw pracowniczych</w:t>
      </w:r>
      <w:r w:rsidRPr="00E023B1">
        <w:rPr>
          <w:rStyle w:val="FootnoteReference"/>
        </w:rPr>
        <w:footnoteReference w:id="12"/>
      </w:r>
      <w:r w:rsidRPr="00E023B1">
        <w:t>,</w:t>
      </w:r>
    </w:p>
    <w:p w14:paraId="0FB828DE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swoją rezolucję z dnia 18 stycznia 2024 r. w sprawie przeglądu mandatu Europejskiego Urzędu ds. Pracy</w:t>
      </w:r>
      <w:r w:rsidRPr="00E023B1">
        <w:rPr>
          <w:rStyle w:val="FootnoteReference"/>
        </w:rPr>
        <w:footnoteReference w:id="13"/>
      </w:r>
      <w:r w:rsidRPr="00E023B1">
        <w:t>,</w:t>
      </w:r>
    </w:p>
    <w:p w14:paraId="27049375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swoją rezolucję z dnia 9 września 2025 r. w sprawie zamówień publicznych</w:t>
      </w:r>
      <w:r w:rsidRPr="00E023B1">
        <w:rPr>
          <w:rStyle w:val="FootnoteReference"/>
        </w:rPr>
        <w:footnoteReference w:id="14"/>
      </w:r>
      <w:r w:rsidRPr="00E023B1">
        <w:t>,</w:t>
      </w:r>
    </w:p>
    <w:p w14:paraId="7599BBEE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deklarację z La </w:t>
      </w:r>
      <w:proofErr w:type="spellStart"/>
      <w:r w:rsidRPr="00E023B1">
        <w:t>Hulpe</w:t>
      </w:r>
      <w:proofErr w:type="spellEnd"/>
      <w:r w:rsidRPr="00E023B1">
        <w:t xml:space="preserve"> w sprawie przyszłości Europejskiego filaru praw socjalnych z 16 kwietnia 2024 r.,</w:t>
      </w:r>
    </w:p>
    <w:p w14:paraId="25CB7DCB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Trójstronną deklarację na rzecz prężnego europejskiego dialogu społecznego przyjętą podczas Szczytu Partnerów Społecznych w Val </w:t>
      </w:r>
      <w:proofErr w:type="spellStart"/>
      <w:r w:rsidRPr="00E023B1">
        <w:t>Duchesse</w:t>
      </w:r>
      <w:proofErr w:type="spellEnd"/>
      <w:r w:rsidRPr="00E023B1">
        <w:t xml:space="preserve"> 31 stycznia 2024 r.;</w:t>
      </w:r>
    </w:p>
    <w:p w14:paraId="0AA5909E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zieloną księgę Komisji z 31 stycznia 2013 r. w sprawie nieuczciwych praktyk handlowych w łańcuchu dostaw produktów spożywczych i niespożywczych między przedsiębiorstwami (COM(2013)0037),</w:t>
      </w:r>
    </w:p>
    <w:p w14:paraId="0CA9B5E6" w14:textId="77777777" w:rsidR="006E7371" w:rsidRPr="00E023B1" w:rsidRDefault="006E7371" w:rsidP="006E7371">
      <w:pPr>
        <w:pStyle w:val="NormalHanging12a"/>
      </w:pPr>
      <w:r w:rsidRPr="00E023B1">
        <w:lastRenderedPageBreak/>
        <w:t>–</w:t>
      </w:r>
      <w:r w:rsidRPr="00E023B1">
        <w:tab/>
        <w:t>uwzględniając komunikat Komisji z 29 stycznia 2025 r. pt. „Kompas konkurencyjności dla UE” (COM(2025)0030),</w:t>
      </w:r>
    </w:p>
    <w:p w14:paraId="65B3EA61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szóste europejskie badanie warunków pracy </w:t>
      </w:r>
      <w:proofErr w:type="spellStart"/>
      <w:r w:rsidRPr="00E023B1">
        <w:t>Eurofoundu</w:t>
      </w:r>
      <w:proofErr w:type="spellEnd"/>
      <w:r w:rsidRPr="00E023B1">
        <w:t>,</w:t>
      </w:r>
    </w:p>
    <w:p w14:paraId="4233836C" w14:textId="77777777" w:rsidR="006E7371" w:rsidRPr="00E023B1" w:rsidRDefault="006E7371" w:rsidP="006E7371">
      <w:pPr>
        <w:pStyle w:val="NormalHanging12a"/>
      </w:pPr>
      <w:r w:rsidRPr="00E023B1">
        <w:t xml:space="preserve"> –</w:t>
      </w:r>
      <w:r w:rsidRPr="00E023B1">
        <w:tab/>
        <w:t xml:space="preserve">uwzględniając raport Maria </w:t>
      </w:r>
      <w:proofErr w:type="spellStart"/>
      <w:r w:rsidRPr="00E023B1">
        <w:t>Draghiego</w:t>
      </w:r>
      <w:proofErr w:type="spellEnd"/>
      <w:r w:rsidRPr="00E023B1">
        <w:t xml:space="preserve"> z 9 września 2024 r. na temat przyszłości europejskiej konkurencyjności (raport </w:t>
      </w:r>
      <w:proofErr w:type="spellStart"/>
      <w:r w:rsidRPr="00E023B1">
        <w:t>Draghiego</w:t>
      </w:r>
      <w:proofErr w:type="spellEnd"/>
      <w:r w:rsidRPr="00E023B1">
        <w:t>),</w:t>
      </w:r>
    </w:p>
    <w:p w14:paraId="4D45AD8F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raport Enrica </w:t>
      </w:r>
      <w:proofErr w:type="spellStart"/>
      <w:r w:rsidRPr="00E023B1">
        <w:t>Letty</w:t>
      </w:r>
      <w:proofErr w:type="spellEnd"/>
      <w:r w:rsidRPr="00E023B1">
        <w:t xml:space="preserve"> z 17 kwietnia 2024 r. pt. </w:t>
      </w:r>
      <w:r w:rsidRPr="008121F2">
        <w:rPr>
          <w:lang w:val="en-GB"/>
        </w:rPr>
        <w:t>„Much more than a market – speed, security, solidarity: empowering the Single Market to deliver a sustainable future and prosperity for all EU Citizens” [</w:t>
      </w:r>
      <w:proofErr w:type="spellStart"/>
      <w:r w:rsidRPr="008121F2">
        <w:rPr>
          <w:lang w:val="en-GB"/>
        </w:rPr>
        <w:t>Znacznie</w:t>
      </w:r>
      <w:proofErr w:type="spellEnd"/>
      <w:r w:rsidRPr="008121F2">
        <w:rPr>
          <w:lang w:val="en-GB"/>
        </w:rPr>
        <w:t xml:space="preserve"> </w:t>
      </w:r>
      <w:proofErr w:type="spellStart"/>
      <w:r w:rsidRPr="008121F2">
        <w:rPr>
          <w:lang w:val="en-GB"/>
        </w:rPr>
        <w:t>więcej</w:t>
      </w:r>
      <w:proofErr w:type="spellEnd"/>
      <w:r w:rsidRPr="008121F2">
        <w:rPr>
          <w:lang w:val="en-GB"/>
        </w:rPr>
        <w:t xml:space="preserve"> </w:t>
      </w:r>
      <w:proofErr w:type="spellStart"/>
      <w:r w:rsidRPr="008121F2">
        <w:rPr>
          <w:lang w:val="en-GB"/>
        </w:rPr>
        <w:t>niż</w:t>
      </w:r>
      <w:proofErr w:type="spellEnd"/>
      <w:r w:rsidRPr="008121F2">
        <w:rPr>
          <w:lang w:val="en-GB"/>
        </w:rPr>
        <w:t xml:space="preserve"> </w:t>
      </w:r>
      <w:proofErr w:type="spellStart"/>
      <w:r w:rsidRPr="008121F2">
        <w:rPr>
          <w:lang w:val="en-GB"/>
        </w:rPr>
        <w:t>rynek</w:t>
      </w:r>
      <w:proofErr w:type="spellEnd"/>
      <w:r w:rsidRPr="008121F2">
        <w:rPr>
          <w:lang w:val="en-GB"/>
        </w:rPr>
        <w:t xml:space="preserve">. </w:t>
      </w:r>
      <w:r w:rsidRPr="00E023B1">
        <w:t xml:space="preserve">Wzmocnienie jednolitego rynku w celu zapewnienia zrównoważonej przyszłości i dobrobytu wszystkim obywatelom UE] (raport </w:t>
      </w:r>
      <w:proofErr w:type="spellStart"/>
      <w:r w:rsidRPr="00E023B1">
        <w:t>Letty</w:t>
      </w:r>
      <w:proofErr w:type="spellEnd"/>
      <w:r w:rsidRPr="00E023B1">
        <w:t>),</w:t>
      </w:r>
    </w:p>
    <w:p w14:paraId="0520334D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stanowisko Niderlandów, Belgii, Danii, Niemiec, Włoch, Łotwy i Luksemburga z 14 lutego 2025 r. w sprawie priorytetów politycznych UE na lata 2024–2029 i sprawiedliwego delegowania obywateli państw trzecich,</w:t>
      </w:r>
    </w:p>
    <w:p w14:paraId="3F5CB71D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 xml:space="preserve">uwzględniając wyrok Trybunału Sprawiedliwości z 5 kwietnia 2017 r. w sprawie C-298/15, UAB „Borta” przeciwko VĮ </w:t>
      </w:r>
      <w:proofErr w:type="spellStart"/>
      <w:r w:rsidRPr="00E023B1">
        <w:t>Klaipėdos</w:t>
      </w:r>
      <w:proofErr w:type="spellEnd"/>
      <w:r w:rsidRPr="00E023B1">
        <w:t xml:space="preserve"> </w:t>
      </w:r>
      <w:proofErr w:type="spellStart"/>
      <w:r w:rsidRPr="00E023B1">
        <w:t>valstybinio</w:t>
      </w:r>
      <w:proofErr w:type="spellEnd"/>
      <w:r w:rsidRPr="00E023B1">
        <w:t xml:space="preserve"> </w:t>
      </w:r>
      <w:proofErr w:type="spellStart"/>
      <w:r w:rsidRPr="00E023B1">
        <w:t>jūrų</w:t>
      </w:r>
      <w:proofErr w:type="spellEnd"/>
      <w:r w:rsidRPr="00E023B1">
        <w:t xml:space="preserve"> </w:t>
      </w:r>
      <w:proofErr w:type="spellStart"/>
      <w:r w:rsidRPr="00E023B1">
        <w:t>uosto</w:t>
      </w:r>
      <w:proofErr w:type="spellEnd"/>
      <w:r w:rsidRPr="00E023B1">
        <w:t xml:space="preserve"> </w:t>
      </w:r>
      <w:proofErr w:type="spellStart"/>
      <w:r w:rsidRPr="00E023B1">
        <w:t>direkcija</w:t>
      </w:r>
      <w:proofErr w:type="spellEnd"/>
      <w:r w:rsidRPr="00E023B1">
        <w:rPr>
          <w:rStyle w:val="FootnoteReference"/>
          <w:i/>
          <w:iCs/>
        </w:rPr>
        <w:footnoteReference w:id="15"/>
      </w:r>
      <w:r w:rsidRPr="00E023B1">
        <w:t>, dotyczący zamówień publicznych,</w:t>
      </w:r>
    </w:p>
    <w:p w14:paraId="62E99878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krajowe strategie zwalczania wyzysku pracowników, pracy przymusowej i pracy nierejestrowanej</w:t>
      </w:r>
      <w:r w:rsidRPr="00E023B1">
        <w:rPr>
          <w:rStyle w:val="FootnoteReference"/>
        </w:rPr>
        <w:footnoteReference w:id="16"/>
      </w:r>
      <w:r w:rsidRPr="00E023B1">
        <w:t>,</w:t>
      </w:r>
    </w:p>
    <w:p w14:paraId="368B11A1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art. 55 Regulaminu,</w:t>
      </w:r>
    </w:p>
    <w:p w14:paraId="103025C2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opinię przedstawioną przez Komisję Rynku Wewnętrznego i Ochrony Konsumentów,</w:t>
      </w:r>
    </w:p>
    <w:p w14:paraId="222535E8" w14:textId="77777777" w:rsidR="006E7371" w:rsidRPr="00E023B1" w:rsidRDefault="006E7371" w:rsidP="006E7371">
      <w:pPr>
        <w:pStyle w:val="NormalHanging12a"/>
      </w:pPr>
      <w:r w:rsidRPr="00E023B1">
        <w:t>–</w:t>
      </w:r>
      <w:r w:rsidRPr="00E023B1">
        <w:tab/>
        <w:t>uwzględniając sprawozdanie Komisji Zatrudnienia i Spraw Socjalnych (A10-0256/2025),</w:t>
      </w:r>
    </w:p>
    <w:p w14:paraId="0891C220" w14:textId="77777777" w:rsidR="006E7371" w:rsidRPr="00E023B1" w:rsidRDefault="006E7371" w:rsidP="006E7371">
      <w:pPr>
        <w:pStyle w:val="NormalHanging12a"/>
      </w:pPr>
      <w:r w:rsidRPr="00E023B1">
        <w:t>A.</w:t>
      </w:r>
      <w:r w:rsidRPr="00E023B1">
        <w:tab/>
        <w:t>mając na uwadze, że zasada 5 Europejskiego filaru praw socjalnych przypomina, że niezależnie od rodzaju i czasu trwania stosunku pracy pracownicy mają prawo do sprawiedliwego i równego traktowania pod względem warunków pracy, dostępu do ochrony socjalnej i szkoleń; mając na uwadze, że przypomina ona również, że należy zapobiegać stosunkom pracy prowadzącym do niepewnych form zatrudnienia;</w:t>
      </w:r>
    </w:p>
    <w:p w14:paraId="5AD10BFB" w14:textId="77777777" w:rsidR="006E7371" w:rsidRPr="00E023B1" w:rsidRDefault="006E7371" w:rsidP="006E7371">
      <w:pPr>
        <w:pStyle w:val="NormalHanging12a"/>
      </w:pPr>
      <w:r w:rsidRPr="00E023B1">
        <w:t>B.</w:t>
      </w:r>
      <w:r w:rsidRPr="00E023B1">
        <w:tab/>
        <w:t xml:space="preserve">mając na uwadze, że swoboda świadczenia usług transgranicznych jest jedną z czterech podstawowych zasad jednolitego rynku oraz że podwykonawstwo jest elementem swobody świadczenia usług i swobody przedsiębiorczości; mając na uwadze, że UE </w:t>
      </w:r>
      <w:r w:rsidRPr="00E023B1">
        <w:lastRenderedPageBreak/>
        <w:t>musi zachować i zwiększyć swoją konkurencyjność, aby przedsiębiorstwa mogły się rozwijać, oraz że szczególną uwagę należy zwrócić na małe i średnie przedsiębiorstwa (MŚP); mając na uwadze, że należy również opracować jasne i proporcjonalne zasady, które nie nakładają zbędnych obciążeń, a także wzmocnić egzekwowanie przepisów;</w:t>
      </w:r>
    </w:p>
    <w:p w14:paraId="20C58B87" w14:textId="77777777" w:rsidR="006E7371" w:rsidRPr="00E023B1" w:rsidRDefault="006E7371" w:rsidP="006E7371">
      <w:pPr>
        <w:pStyle w:val="NormalHanging12a"/>
      </w:pPr>
      <w:r w:rsidRPr="00E023B1">
        <w:t>C.</w:t>
      </w:r>
      <w:r w:rsidRPr="00E023B1">
        <w:tab/>
        <w:t>mając na uwadze, że wyzysk pracowników i nadużycia wobec nich na unijnym rynku pracy – które przyjmują różne formy, takie jak np. przestępczość związana z pracą, praca nierejestrowana, praca nielegalna, szara strefa gospodarki, dumping socjalny, wyzysk pracowników i współczesne niewolnictwo – stanowią poważny problem w sektorach wysokiego ryzyka;</w:t>
      </w:r>
    </w:p>
    <w:p w14:paraId="558690BC" w14:textId="77777777" w:rsidR="006E7371" w:rsidRPr="00E023B1" w:rsidRDefault="006E7371" w:rsidP="006E7371">
      <w:pPr>
        <w:pStyle w:val="NormalHanging12a"/>
      </w:pPr>
      <w:r w:rsidRPr="00E023B1">
        <w:t>D.</w:t>
      </w:r>
      <w:r w:rsidRPr="00E023B1">
        <w:tab/>
        <w:t>mając na uwadze, że niektóre sektory charakteryzują się wyższym ryzykiem wyzysku pracowników i nadużyć wobec nich, na przykład budownictwo, rolnictwo, hotelarstwo, praca w gospodarstwie domowym, transport i logistyka, przetwórstwo mięsa i żywności, usługi sprzątania i praca opiekuńcza</w:t>
      </w:r>
      <w:r w:rsidRPr="00E023B1">
        <w:rPr>
          <w:rStyle w:val="FootnoteReference"/>
        </w:rPr>
        <w:footnoteReference w:id="17"/>
      </w:r>
      <w:r w:rsidRPr="00E023B1">
        <w:t>; mając na uwadze, że kobiety są nieproporcjonalnie reprezentowane w pracy świadczonej w ramach podwykonawstwa i pośrednictwa w sektorach opieki, usług sprzątających i hotelarsko-gastronomicznym;</w:t>
      </w:r>
    </w:p>
    <w:p w14:paraId="266B5C35" w14:textId="77777777" w:rsidR="006E7371" w:rsidRPr="00E023B1" w:rsidRDefault="006E7371" w:rsidP="006E7371">
      <w:pPr>
        <w:pStyle w:val="NormalHanging12a"/>
      </w:pPr>
      <w:r w:rsidRPr="00E023B1">
        <w:t>E.</w:t>
      </w:r>
      <w:r w:rsidRPr="00E023B1">
        <w:tab/>
        <w:t>mając na uwadze, że konsekwencje wyzysku pracowników i nadużyć wobec nich wykraczają poza krąg pracowników, którzy pracują na nieuczciwych zasadach i w niebezpiecznych warunkach, otrzymują nieadekwatne wynagrodzenia, mieszkają w fatalnych warunkach i mają niepewne zatrudnienie, ponieważ mają one również wpływ na przedsiębiorstwa, zwłaszcza MŚP, które są narażone na nieuczciwą konkurencję i zakłócenia jednolitego rynku;</w:t>
      </w:r>
    </w:p>
    <w:p w14:paraId="7FBD23E8" w14:textId="77777777" w:rsidR="006E7371" w:rsidRPr="00E023B1" w:rsidRDefault="006E7371" w:rsidP="006E7371">
      <w:pPr>
        <w:pStyle w:val="NormalHanging12a"/>
      </w:pPr>
      <w:r w:rsidRPr="00E023B1">
        <w:t>F.</w:t>
      </w:r>
      <w:r w:rsidRPr="00E023B1">
        <w:tab/>
        <w:t>mając na uwadze, że według Europolu 86 % najbardziej szkodliwych siatek przestępczych wykorzystuje w swojej działalności legalne struktury biznesowe, co stanowi poważne zagrożenie dla uczciwej konkurencji na jednolitym rynku; mając na uwadze, że w analizach Komisji i Europejskiego Urzędu ds. Pracy zwrócono uwagę, że długie i złożone łańcuchy podwykonawstwa oraz nieuczciwe formy pośrednictwa pracy wiążą się ze zwiększonym ryzykiem wyzysku pracowników i nadużyć wobec nich</w:t>
      </w:r>
      <w:r w:rsidRPr="00E023B1">
        <w:rPr>
          <w:rStyle w:val="FootnoteReference"/>
        </w:rPr>
        <w:footnoteReference w:id="18"/>
      </w:r>
      <w:r w:rsidRPr="00E023B1">
        <w:t>;</w:t>
      </w:r>
    </w:p>
    <w:p w14:paraId="16178680" w14:textId="77777777" w:rsidR="006E7371" w:rsidRPr="00E023B1" w:rsidRDefault="006E7371" w:rsidP="006E7371">
      <w:pPr>
        <w:pStyle w:val="NormalHanging12a"/>
      </w:pPr>
      <w:r w:rsidRPr="00E023B1">
        <w:t>G.</w:t>
      </w:r>
      <w:r w:rsidRPr="00E023B1">
        <w:tab/>
        <w:t xml:space="preserve">mając na uwadze, że wspólną cechą większości sektorów o wysokim ryzyku wyzysku pracowników jest wysoka intensywność pracy w połączeniu z długimi i złożonymi </w:t>
      </w:r>
      <w:r w:rsidRPr="00E023B1">
        <w:lastRenderedPageBreak/>
        <w:t>łańcuchami podwykonawców w ujęciu wertykalnym i horyzontalnym</w:t>
      </w:r>
      <w:r w:rsidRPr="00E023B1">
        <w:rPr>
          <w:rStyle w:val="FootnoteReference"/>
        </w:rPr>
        <w:footnoteReference w:id="19"/>
      </w:r>
      <w:r w:rsidRPr="00E023B1">
        <w:t>, co osłabia przejrzystość, rolę partnerów społecznych, obowiązujące układy zbiorowe i demokrację w miejscu pracy; mając na uwadze, że sektory wysokiego ryzyka często wiążą się również z dużą zależnością od pośredników na rynku pracy, pracowników delegowanych, pracowników mobilnych z UE i obywateli państw trzecich; mając na uwadze, że niektóre niestandardowe formy zatrudnienia i złożone uzgodnienia transgraniczne mogą rozmywać odpowiedzialność, utrudniać podnoszenie świadomości i komplikować egzekwowanie obowiązującego prawa pracy i układów zbiorowych, a także kontrolę zezwoleń na pracę, składek na ubezpieczenie społeczne, płatności podatków i tożsamości pracowników;</w:t>
      </w:r>
    </w:p>
    <w:p w14:paraId="1F8FA2DC" w14:textId="77777777" w:rsidR="006E7371" w:rsidRPr="00E023B1" w:rsidRDefault="006E7371" w:rsidP="006E7371">
      <w:pPr>
        <w:pStyle w:val="NormalHanging12a"/>
      </w:pPr>
      <w:r w:rsidRPr="00E023B1">
        <w:t>H.</w:t>
      </w:r>
      <w:r w:rsidRPr="00E023B1">
        <w:tab/>
        <w:t>mając na uwadze, że nieprzestrzeganie przepisów dotyczących bezpieczeństwa i higieny pracy stanowi element wyzysku pracowników, a jednocześnie utrudnia realizację strategii „Wizji Zero”, dążącej do wyeliminowania zgonów związanych z pracą, jak określono w przedstawionych przez Komisję strategicznych ramach UE dotyczących bezpieczeństwa i higieny pracy na lata 2021–2027; mając na uwadze, że konwencja MOP nr 167 nakłada na głównych wykonawców obowiązek koordynacji środków bezpieczeństwa i higieny pracy;</w:t>
      </w:r>
    </w:p>
    <w:p w14:paraId="64679AE6" w14:textId="77777777" w:rsidR="006E7371" w:rsidRPr="00E023B1" w:rsidRDefault="006E7371" w:rsidP="006E7371">
      <w:pPr>
        <w:pStyle w:val="NormalHanging12a"/>
      </w:pPr>
      <w:r w:rsidRPr="00E023B1">
        <w:t>I.</w:t>
      </w:r>
      <w:r w:rsidRPr="00E023B1">
        <w:tab/>
        <w:t>mając na uwadze, że obecność oszustów i przestępców w europejskich miejscach pracy stanowi również zagrożenie dla bezpieczeństwa, zwłaszcza w sektorach o krytycznym znaczeniu, takich jak transport i logistyka, budownictwo, energetyka czy opieka zdrowotna, lub w przypadku działalności związanej z dostępem do miejsc pracy, w których należy zachować szczególne środki bezpieczeństwa, w szczególności usług sprzątania i konserwacji;</w:t>
      </w:r>
    </w:p>
    <w:p w14:paraId="75AE669B" w14:textId="77777777" w:rsidR="006E7371" w:rsidRPr="00E023B1" w:rsidRDefault="006E7371" w:rsidP="006E7371">
      <w:pPr>
        <w:pStyle w:val="NormalHanging12a"/>
      </w:pPr>
      <w:r w:rsidRPr="00E023B1">
        <w:t>J.</w:t>
      </w:r>
      <w:r w:rsidRPr="00E023B1">
        <w:tab/>
        <w:t>mając na uwadze, że według Komisji</w:t>
      </w:r>
      <w:r w:rsidRPr="00E023B1">
        <w:rPr>
          <w:rStyle w:val="FootnoteReference"/>
        </w:rPr>
        <w:footnoteReference w:id="20"/>
      </w:r>
      <w:r w:rsidRPr="00E023B1">
        <w:t xml:space="preserve"> i sprawozdania Europejskiego Urzędu ds. Pracy</w:t>
      </w:r>
      <w:r w:rsidRPr="00E023B1">
        <w:rPr>
          <w:rStyle w:val="FootnoteReference"/>
        </w:rPr>
        <w:footnoteReference w:id="21"/>
      </w:r>
      <w:r w:rsidRPr="00E023B1">
        <w:t xml:space="preserve"> liczba delegowanych pracowników z państw trzecich rośnie – obecnie już co czwarty pracownik delegowany jest obywatelem państwa trzeciego; mając na uwadze, że pracownicy mobilni i migrujący, w tym pracownicy z państw trzecich, są szczególnie narażeni na wyzysk i przestępstwa związane z pracą oraz często popadają w spiralę zależności w związku z wizami, nadmiernymi opłatami za rekrutację, organizacją podróży i zakwaterowaniem; mając na uwadze, że obywatele państw trzecich są zazwyczaj mniej skłonni do tworzenia związków zawodowych i przystępowania do nich oraz trudniej jest im także uzyskać dostęp do wymiaru sprawiedliwości i bronić swoich praw;</w:t>
      </w:r>
    </w:p>
    <w:p w14:paraId="3EA34E95" w14:textId="77777777" w:rsidR="006E7371" w:rsidRPr="00E023B1" w:rsidRDefault="006E7371" w:rsidP="006E7371">
      <w:pPr>
        <w:pStyle w:val="NormalHanging12a"/>
      </w:pPr>
      <w:r w:rsidRPr="00E023B1">
        <w:t>K.</w:t>
      </w:r>
      <w:r w:rsidRPr="00E023B1">
        <w:tab/>
        <w:t xml:space="preserve">mając na uwadze, że coraz częściej obserwuje się nieuczciwą praktykę „zatrudniania w </w:t>
      </w:r>
      <w:r w:rsidRPr="00E023B1">
        <w:lastRenderedPageBreak/>
        <w:t>celu delegowania”, polegającą na zatrudnianiu obywateli państw trzecich nie po to, by wykonywali pracę w państwie członkowskim zatrudnienia, ale wyłącznie w celu oddelegowania ich do innego państwa członkowskiego; mając na uwadze, że Europejski Urząd ds. Pracy uznał, że jest to coraz poważniejsze wyzwanie w zakresie egzekwowania prawa</w:t>
      </w:r>
      <w:r w:rsidRPr="00E023B1">
        <w:rPr>
          <w:rStyle w:val="FootnoteReference"/>
        </w:rPr>
        <w:footnoteReference w:id="22"/>
      </w:r>
      <w:r w:rsidRPr="00E023B1">
        <w:t>;</w:t>
      </w:r>
    </w:p>
    <w:p w14:paraId="1A0A70CA" w14:textId="77777777" w:rsidR="006E7371" w:rsidRPr="00E023B1" w:rsidRDefault="006E7371" w:rsidP="006E7371">
      <w:pPr>
        <w:pStyle w:val="NormalHanging12a"/>
      </w:pPr>
      <w:r w:rsidRPr="00E023B1">
        <w:t>L.</w:t>
      </w:r>
      <w:r w:rsidRPr="00E023B1">
        <w:tab/>
        <w:t>mając na uwadze, że podwykonawstwo horyzontalne i wertykalne stanowi podstawową praktykę w wielu sektorach, w szczególności w przypadku projektów na dużą skalę, ponieważ ułatwia elastyczny dostęp do specjalistycznej wiedzy fachowej i pozwala zaspokoić konkretne potrzeby w opłacalny sposób; mając na uwadze, że podwykonawstwo jest ważnym elementem rynku pracy, zwłaszcza dla MŚP i mikroprzedsiębiorstw; mając na uwadze, że podwykonawstwo może generować wartość dodaną dla instytucji zamawiających oraz zwiększać wydajność i innowacyjność, zwłaszcza w sektorach narażonych na globalną konkurencję; mając na uwadze, że podwykonawstwo nie jest samo w sobie problematyczne, zwłaszcza gdy istnieje zapotrzebowanie na konkretne kompetencje; mając na uwadze, że dobrze funkcjonujące podwykonawstwo jest ważne dla uczciwej konkurencji w UE, a przy tym przynosi korzyści zwłaszcza MŚP; mając na uwadze, że zakres podwykonawstwa różni się znacznie w poszczególnych sektorach i przedsiębiorstwach;</w:t>
      </w:r>
    </w:p>
    <w:p w14:paraId="1D95B3E0" w14:textId="77777777" w:rsidR="006E7371" w:rsidRPr="00E023B1" w:rsidRDefault="006E7371" w:rsidP="006E7371">
      <w:pPr>
        <w:pStyle w:val="NormalHanging12a"/>
      </w:pPr>
      <w:r w:rsidRPr="00E023B1">
        <w:t>M.</w:t>
      </w:r>
      <w:r w:rsidRPr="00E023B1">
        <w:tab/>
        <w:t>mając na uwadze, że długie i złożone łańcuchy podwykonawców mogą jednak zakłócać uczciwą konkurencję, rozmywać odpowiedzialność, naruszać prawa pracowników i zwiększać ryzyko związane z oszustwami, wyzyskiem pracowników, przenikaniem grup przestępczych oraz bezpieczeństwem i higieną pracy pracowników, zwłaszcza w sektorach o wysokim ryzyku i w sytuacjach transgranicznych; mając na uwadze, że w niektórych przypadkach brak przejrzystości i nadzoru w rozszerzonych umowach podwykonawstwa może utrudniać instytucjom zamawiającym zapewnienie zgodności z obowiązującym prawem unijnym i krajowym;</w:t>
      </w:r>
    </w:p>
    <w:p w14:paraId="382B75B4" w14:textId="77C96069" w:rsidR="006E7371" w:rsidRPr="00E023B1" w:rsidRDefault="001C26B1" w:rsidP="006E7371">
      <w:pPr>
        <w:pStyle w:val="NormalHanging12a"/>
      </w:pPr>
      <w:r>
        <w:t>N</w:t>
      </w:r>
      <w:r w:rsidR="006E7371" w:rsidRPr="00E023B1">
        <w:t>.</w:t>
      </w:r>
      <w:r w:rsidR="006E7371" w:rsidRPr="00E023B1">
        <w:tab/>
        <w:t>mając na uwadze, że przepisy ograniczające podwykonawstwo mogą mieć wpływ na łańcuchy wartości przedsiębiorstw, zwłaszcza w sektorach narażonych na globalną konkurencję; mając na uwadze, że takie środki należy zrównoważyć potrzebą ochrony MŚP działających w sektorach, w których ryzyko nadużywania podwykonawstwa jest niskie i w których, w przeciwieństwie do sektorów wysokiego ryzyka, nie ma potrzeby ograniczania łańcuchów podwykonawców; mając na uwadze, że odpowiedzialność solidarna w łańcuchach podwykonawczych pozwala osiągnąć dwa cele: zapewnia pracownikom, którzy doświadczyli wyzysku, możliwość dochodzenia roszczeń oraz zachęca wykonawców w całym łańcuchu do dobrowolnego ograniczania długości i złożoności podwykonawstwa;</w:t>
      </w:r>
    </w:p>
    <w:p w14:paraId="764F598C" w14:textId="0384A724" w:rsidR="006E7371" w:rsidRPr="00E023B1" w:rsidRDefault="001C26B1" w:rsidP="006E7371">
      <w:pPr>
        <w:pStyle w:val="NormalHanging12a"/>
      </w:pPr>
      <w:r>
        <w:t>O</w:t>
      </w:r>
      <w:r w:rsidR="006E7371" w:rsidRPr="00E023B1">
        <w:t>.</w:t>
      </w:r>
      <w:r w:rsidR="006E7371" w:rsidRPr="00E023B1">
        <w:tab/>
        <w:t xml:space="preserve">mając na uwadze, że niektóre państwa członkowskie przyjęły przepisy ograniczające długość łańcuchów podwykonawców lub całkowicie zakazujące podwykonawstwa w </w:t>
      </w:r>
      <w:r w:rsidR="006E7371" w:rsidRPr="00E023B1">
        <w:lastRenderedPageBreak/>
        <w:t>niektórych sektorach</w:t>
      </w:r>
      <w:r w:rsidR="006E7371" w:rsidRPr="00E023B1">
        <w:rPr>
          <w:rStyle w:val="FootnoteReference"/>
        </w:rPr>
        <w:footnoteReference w:id="23"/>
      </w:r>
      <w:r w:rsidR="006E7371" w:rsidRPr="00E023B1">
        <w:t>, co spowodowało wzrost liczby pracowników zatrudnionych bezpośrednio; mając na uwadze, że Komisja uważa, iż ograniczenie liczby poziomów w łańcuchach podwykonawców lub rozszerzenie odpowiedzialności za podwykonawstwo na cały łańcuch mogłoby pomóc państwom członkowskim, jako głównym podmiotom odpowiedzialnym za egzekwowanie przepisów dotyczących delegowania pracowników, oraz, w stosownych przypadkach, partnerom społecznym, w zwiększeniu przejrzystości i odpowiedzialności w łańcuchach podwykonawców w sposób proporcjonalny i niedyskryminujący</w:t>
      </w:r>
      <w:r w:rsidR="006E7371" w:rsidRPr="00E023B1">
        <w:rPr>
          <w:rStyle w:val="FootnoteReference"/>
        </w:rPr>
        <w:footnoteReference w:id="24"/>
      </w:r>
      <w:r w:rsidR="006E7371" w:rsidRPr="00E023B1">
        <w:t>; mając na uwadze, że niektóre przedsiębiorstwa dobrowolnie ograniczyły długość swoich łańcuchów podwykonawców;</w:t>
      </w:r>
    </w:p>
    <w:p w14:paraId="5D2B43EC" w14:textId="130CC175" w:rsidR="006E7371" w:rsidRPr="00E023B1" w:rsidRDefault="001C26B1" w:rsidP="006E7371">
      <w:pPr>
        <w:pStyle w:val="NormalHanging12a"/>
      </w:pPr>
      <w:r>
        <w:t>P</w:t>
      </w:r>
      <w:r w:rsidR="006E7371" w:rsidRPr="00E023B1">
        <w:t>.</w:t>
      </w:r>
      <w:r w:rsidR="006E7371" w:rsidRPr="00E023B1">
        <w:tab/>
        <w:t>mając na uwadze, że praktyka pośrednictwa pracy nie jest zdefiniowana w prawie UE, z wyjątkiem pracy tymczasowej</w:t>
      </w:r>
      <w:r w:rsidR="006E7371" w:rsidRPr="00E023B1">
        <w:rPr>
          <w:rStyle w:val="FootnoteReference"/>
        </w:rPr>
        <w:footnoteReference w:id="25"/>
      </w:r>
      <w:r w:rsidR="006E7371" w:rsidRPr="00E023B1">
        <w:t xml:space="preserve">; mając na uwadze, że pośrednictwo pracy może przybierać różne formy – od przedsiębiorstw o ugruntowanej pozycji, po indywidualnych </w:t>
      </w:r>
      <w:proofErr w:type="spellStart"/>
      <w:r w:rsidR="006E7371" w:rsidRPr="00E023B1">
        <w:t>rekruterów</w:t>
      </w:r>
      <w:proofErr w:type="spellEnd"/>
      <w:r w:rsidR="006E7371" w:rsidRPr="00E023B1">
        <w:t xml:space="preserve">; mając na uwadze, że nawet nieformalni pośrednicy i tzw. </w:t>
      </w:r>
      <w:proofErr w:type="spellStart"/>
      <w:r w:rsidR="006E7371" w:rsidRPr="00E023B1">
        <w:t>gangmasterzy</w:t>
      </w:r>
      <w:proofErr w:type="spellEnd"/>
      <w:r w:rsidR="006E7371" w:rsidRPr="00E023B1">
        <w:t xml:space="preserve"> mogą podszywać się pod pośredników pracy;</w:t>
      </w:r>
    </w:p>
    <w:p w14:paraId="5FD99C82" w14:textId="6B6673E0" w:rsidR="006E7371" w:rsidRPr="00E023B1" w:rsidRDefault="001C26B1" w:rsidP="006E7371">
      <w:pPr>
        <w:pStyle w:val="NormalHanging12a"/>
      </w:pPr>
      <w:r>
        <w:t>Q</w:t>
      </w:r>
      <w:r w:rsidR="006E7371" w:rsidRPr="00E023B1">
        <w:t>.</w:t>
      </w:r>
      <w:r w:rsidR="006E7371" w:rsidRPr="00E023B1">
        <w:tab/>
        <w:t>mając na uwadze, że nieuczciwe praktyki handlowe, w tym zakupy poniżej kosztów zrównoważonej produkcji, narzucanie krótkich terminów realizacji i opóźnienia w płatnościach, uznano za kluczowe czynniki napędzające nadużycia w zakresie podwykonawstwa; mając na uwadze, że MŚP uczestniczące w zamówieniach publicznych poprzez podwykonawstwo często ponoszą straty w wyniku opóźnień w płatnościach ze strony głównych wykonawców;</w:t>
      </w:r>
    </w:p>
    <w:p w14:paraId="3A561705" w14:textId="5478586D" w:rsidR="006E7371" w:rsidRPr="00E023B1" w:rsidRDefault="001C26B1" w:rsidP="006E7371">
      <w:pPr>
        <w:pStyle w:val="NormalHanging12a"/>
      </w:pPr>
      <w:r>
        <w:t>R</w:t>
      </w:r>
      <w:r w:rsidR="006E7371" w:rsidRPr="00E023B1">
        <w:t>.</w:t>
      </w:r>
      <w:r w:rsidR="006E7371" w:rsidRPr="00E023B1">
        <w:tab/>
        <w:t>mając na uwadze, że w sektorach charakteryzujących się częstym podwykonawstwem gwarancje, że pracownicy zachowają prawa i warunki pracy w przypadku przeniesienia z powodu zmiany wykonawcy, stanowią niezbędny środek służący ochronie stabilności zatrudnienia, zapewnieniu standardów bezpieczeństwa i higieny pracy oraz zapobieganiu dumpingowi socjalnemu;</w:t>
      </w:r>
    </w:p>
    <w:p w14:paraId="13BDF4F5" w14:textId="27E537C6" w:rsidR="006E7371" w:rsidRPr="00E023B1" w:rsidRDefault="001C26B1" w:rsidP="006E7371">
      <w:pPr>
        <w:pStyle w:val="NormalHanging12a"/>
      </w:pPr>
      <w:r>
        <w:t>S</w:t>
      </w:r>
      <w:r w:rsidR="006E7371" w:rsidRPr="00E023B1">
        <w:t>.</w:t>
      </w:r>
      <w:r w:rsidR="006E7371" w:rsidRPr="00E023B1">
        <w:tab/>
        <w:t xml:space="preserve">mając na uwadze, że w niektórych przypadkach nieuregulowani lub ukryci pośrednicy na rynku pracy są wykorzystywani do ukrywania i obchodzenia przepisów prawa pracy i obowiązków pracodawców, w szczególności w sektorach wysokiego ryzyka; mając na uwadze, że nieuczciwe praktyki rekrutacyjne i pośrednictwa pracy często wiążą się z fałszowaniem lub zatajaniem informacji, niezawieraniem pisemnych umów, </w:t>
      </w:r>
      <w:r w:rsidR="006E7371" w:rsidRPr="00E023B1">
        <w:lastRenderedPageBreak/>
        <w:t>nakładaniem nielegalnych opłat rekrutacyjnych, potrącaniem nadmiernych kosztów zakwaterowania z wynagrodzenia, obciążaniem pracowników kosztami transportu, szkoleń, wyposażenia lub pozwoleń na pracę, konfiskatą paszportów, stosowaniem pracy przymusowej lub zwalczaniem związków zawodowych; mając na uwadze, że lepsze i ukierunkowane inspekcje pracy mogą pomóc w zwalczaniu takich naruszeń;</w:t>
      </w:r>
    </w:p>
    <w:p w14:paraId="796B222F" w14:textId="1F99692B" w:rsidR="006E7371" w:rsidRPr="00E023B1" w:rsidRDefault="001C26B1" w:rsidP="006E7371">
      <w:pPr>
        <w:pStyle w:val="NormalHanging12a"/>
      </w:pPr>
      <w:r>
        <w:t>T</w:t>
      </w:r>
      <w:r w:rsidR="006E7371" w:rsidRPr="00E023B1">
        <w:t>.</w:t>
      </w:r>
      <w:r w:rsidR="006E7371" w:rsidRPr="00E023B1">
        <w:tab/>
        <w:t>mając na uwadze, że w odpowiedzi na te wyzwania kilka krajów UE przyjęło krajowe plany działania i polityki mające na celu zwalczanie wyzysku pracowników, w tym przez działania mające na celu przeciwdziałanie nadużyciom w łańcuchach podwykonawstwa i ze strony pośredników na rynku pracy</w:t>
      </w:r>
      <w:r w:rsidR="006E7371" w:rsidRPr="00E023B1">
        <w:rPr>
          <w:rStyle w:val="FootnoteReference"/>
        </w:rPr>
        <w:footnoteReference w:id="26"/>
      </w:r>
      <w:r w:rsidR="006E7371" w:rsidRPr="00E023B1">
        <w:t>;</w:t>
      </w:r>
    </w:p>
    <w:p w14:paraId="1E0B5458" w14:textId="5B645FF9" w:rsidR="006E7371" w:rsidRPr="00E023B1" w:rsidRDefault="001C26B1" w:rsidP="006E7371">
      <w:pPr>
        <w:pStyle w:val="NormalHanging12a"/>
      </w:pPr>
      <w:r>
        <w:t>U</w:t>
      </w:r>
      <w:r w:rsidR="006E7371" w:rsidRPr="00E023B1">
        <w:t>.</w:t>
      </w:r>
      <w:r w:rsidR="006E7371" w:rsidRPr="00E023B1">
        <w:tab/>
        <w:t>mając na uwadze, że w odpowiedzi na te wyzwania partnerzy społeczni na szczeblu unijnym, krajowym i lokalnym, a także sektorowym i międzysektorowym podjęli działania, by rozwiązać problemy związane z nadużyciami w zakresie podwykonawstwa i pośrednictwa pracy, w tym przez rokowania zbiorowe, a także wspólne inicjatywy służące ochronie poważnych przedsiębiorstw i praw pracowników;</w:t>
      </w:r>
    </w:p>
    <w:p w14:paraId="33AF83C5" w14:textId="34C2CCFE" w:rsidR="006E7371" w:rsidRPr="00E023B1" w:rsidRDefault="001C26B1" w:rsidP="006E7371">
      <w:pPr>
        <w:pStyle w:val="NormalHanging12a"/>
      </w:pPr>
      <w:r>
        <w:t>V</w:t>
      </w:r>
      <w:r w:rsidR="006E7371" w:rsidRPr="00E023B1">
        <w:t>.</w:t>
      </w:r>
      <w:r w:rsidR="006E7371" w:rsidRPr="00E023B1">
        <w:tab/>
        <w:t>mając na uwadze, że istnieją już szczegółowe przepisy regulujące podwykonawstwo w lotnictwie cywilnym, w tym leasing samolotów, załóg, konserwacji i ubezpieczeń, znany również jako „leasing z załogą”; mając na uwadze, że leasing z załogą jest coraz częściej wykorzystywany, także do celów innych niż wypełnianie wolnych miejsc w okresach szczytowego ruchu; mając na uwadze, że Komisja powinna zająć się problemami związanymi z leasingiem z załogą w ramach zbliżającej się zmiany rozporządzenia w sprawie przewozów lotniczych</w:t>
      </w:r>
      <w:r w:rsidR="006E7371" w:rsidRPr="00E023B1">
        <w:rPr>
          <w:rStyle w:val="FootnoteReference"/>
        </w:rPr>
        <w:footnoteReference w:id="27"/>
      </w:r>
      <w:r w:rsidR="006E7371" w:rsidRPr="00E023B1">
        <w:t>;</w:t>
      </w:r>
    </w:p>
    <w:p w14:paraId="6F5EE133" w14:textId="303EF794" w:rsidR="006E7371" w:rsidRPr="00E023B1" w:rsidRDefault="001C26B1" w:rsidP="006E7371">
      <w:pPr>
        <w:pStyle w:val="NormalHanging12a"/>
      </w:pPr>
      <w:r>
        <w:t>W</w:t>
      </w:r>
      <w:r w:rsidR="006E7371" w:rsidRPr="00E023B1">
        <w:t>.</w:t>
      </w:r>
      <w:r w:rsidR="006E7371" w:rsidRPr="00E023B1">
        <w:tab/>
        <w:t>mając na uwadze, że Komisja zwraca uwagę na norweski „</w:t>
      </w:r>
      <w:proofErr w:type="spellStart"/>
      <w:r w:rsidR="006E7371" w:rsidRPr="00E023B1">
        <w:t>Skien</w:t>
      </w:r>
      <w:proofErr w:type="spellEnd"/>
      <w:r w:rsidR="006E7371" w:rsidRPr="00E023B1">
        <w:t xml:space="preserve"> model”</w:t>
      </w:r>
      <w:r w:rsidR="006E7371" w:rsidRPr="00E023B1">
        <w:rPr>
          <w:rStyle w:val="FootnoteReference"/>
        </w:rPr>
        <w:footnoteReference w:id="28"/>
      </w:r>
      <w:r w:rsidR="006E7371" w:rsidRPr="00E023B1">
        <w:t xml:space="preserve">, program opracowany wspólnie przez gminę </w:t>
      </w:r>
      <w:proofErr w:type="spellStart"/>
      <w:r w:rsidR="006E7371" w:rsidRPr="00E023B1">
        <w:t>Skien</w:t>
      </w:r>
      <w:proofErr w:type="spellEnd"/>
      <w:r w:rsidR="006E7371" w:rsidRPr="00E023B1">
        <w:t>, związki zawodowe i organizacje pracodawców, który obejmuje ścisłe ograniczenia długich łańcuchów podwykonawstwa oraz uprzednie zatwierdzanie pracy tymczasowej, co ma zapewnić rozliczalność i godziwe warunki pracy w sektorach wysokiego ryzyka;</w:t>
      </w:r>
    </w:p>
    <w:p w14:paraId="25F24A0E" w14:textId="7AACB14B" w:rsidR="006E7371" w:rsidRPr="00E023B1" w:rsidRDefault="001C26B1" w:rsidP="006E7371">
      <w:pPr>
        <w:pStyle w:val="NormalHanging12a"/>
      </w:pPr>
      <w:r>
        <w:t>X</w:t>
      </w:r>
      <w:r w:rsidR="006E7371" w:rsidRPr="00E023B1">
        <w:t>.</w:t>
      </w:r>
      <w:r w:rsidR="006E7371" w:rsidRPr="00E023B1">
        <w:tab/>
        <w:t xml:space="preserve">mając na uwadze, że państwa członkowskie, Komisja i partnerzy społeczni w deklaracji z La </w:t>
      </w:r>
      <w:proofErr w:type="spellStart"/>
      <w:r w:rsidR="006E7371" w:rsidRPr="00E023B1">
        <w:t>Hulpe</w:t>
      </w:r>
      <w:proofErr w:type="spellEnd"/>
      <w:r w:rsidR="006E7371" w:rsidRPr="00E023B1">
        <w:t xml:space="preserve"> zobowiązali się do zwrócenia szczególnej uwagi na środki w obszarach podwykonawstwa i pracy tymczasowej, a także zwrócili uwagę na wspólne wyzwania, </w:t>
      </w:r>
      <w:r w:rsidR="006E7371" w:rsidRPr="00E023B1">
        <w:lastRenderedPageBreak/>
        <w:t xml:space="preserve">jakie te dwa zjawiska stanowią dla europejskich rynków pracy; mając na uwadze, że w raporcie </w:t>
      </w:r>
      <w:proofErr w:type="spellStart"/>
      <w:r w:rsidR="006E7371" w:rsidRPr="00E023B1">
        <w:t>Letty</w:t>
      </w:r>
      <w:proofErr w:type="spellEnd"/>
      <w:r w:rsidR="006E7371" w:rsidRPr="00E023B1">
        <w:t xml:space="preserve"> podkreślono, że należy pilnie uregulować praktyki podwykonawstwa, aby zapobiec wyzyskowi i nadużyciom; mając na uwadze, że w raporcie tym przestrzega się, iż niekontrolowane łańcuchy podwykonawstwa mogą prowadzić do obniżenia standardów pracy, dumpingu socjalnego i osłabienia uczciwej konkurencji, a także do naruszeń obowiązków w zakresie bezpieczeństwa i higieny pracy;</w:t>
      </w:r>
    </w:p>
    <w:p w14:paraId="5B0FBD8C" w14:textId="4E1A83DB" w:rsidR="006E7371" w:rsidRPr="00E023B1" w:rsidRDefault="001C26B1" w:rsidP="006E7371">
      <w:pPr>
        <w:pStyle w:val="NormalHanging12a"/>
      </w:pPr>
      <w:r>
        <w:t>Y</w:t>
      </w:r>
      <w:r w:rsidR="006E7371" w:rsidRPr="00E023B1">
        <w:t>.</w:t>
      </w:r>
      <w:r w:rsidR="006E7371" w:rsidRPr="00E023B1">
        <w:tab/>
        <w:t>mając na uwadze, że art. 12 ust. 2 dyrektywy 2014/67/UE nakłada na państwa członkowskie obowiązek wprowadzenia odpowiedzialności za podwykonawstwo w odniesieniu do delegowania pracowników w sektorze budowlanym, a art. 12 ust. 1 daje państwom członkowskim możliwość rozszerzenia tego obowiązku na inne sektory oraz wprowadzenia bardziej rygorystycznych przepisów dotyczących odpowiedzialności;</w:t>
      </w:r>
    </w:p>
    <w:p w14:paraId="05E7821F" w14:textId="6A413AE7" w:rsidR="006E7371" w:rsidRPr="00E023B1" w:rsidRDefault="001C26B1" w:rsidP="006E7371">
      <w:pPr>
        <w:pStyle w:val="NormalHanging12a"/>
      </w:pPr>
      <w:r>
        <w:t>Z</w:t>
      </w:r>
      <w:r w:rsidR="006E7371" w:rsidRPr="00E023B1">
        <w:t>.</w:t>
      </w:r>
      <w:r w:rsidR="006E7371" w:rsidRPr="00E023B1">
        <w:tab/>
        <w:t>mając na uwadze, że większość państw członkowskich posiada przepisy dotyczące łańcuchów podwykonawstwa i pośrednictwa pracy, w których uwzględnia się specyfikę danego kraju; mając na uwadze, że poziom regulacji różni się jednak znacznie w poszczególnych państwach członkowskich, co powoduje fragmentację jednolitego rynku; mając na uwadze, że nadal istnieją wyzwania wynikające z różnych interpretacji stosowania zasad rynku wewnętrznego dotyczących regulacji łańcuchów podwykonawstwa i pośredników na rynku pracy; mając na uwadze, że w dyrektywie 2014/24/UE nie zapewniono instytucjom zamawiającym wystarczających narzędzi do skutecznego przeciwdziałania niewykonywaniu zamówień publicznych, a w niektórych przypadkach nawet uniemożliwia ona podjęcie proaktywnych działań przez te instytucje;</w:t>
      </w:r>
    </w:p>
    <w:p w14:paraId="1D77A612" w14:textId="637DA1A8" w:rsidR="006E7371" w:rsidRPr="00E023B1" w:rsidRDefault="001C26B1" w:rsidP="006E7371">
      <w:pPr>
        <w:pStyle w:val="NormalHanging12a"/>
      </w:pPr>
      <w:r>
        <w:t>AA</w:t>
      </w:r>
      <w:r w:rsidR="006E7371" w:rsidRPr="00E023B1">
        <w:t>.</w:t>
      </w:r>
      <w:r w:rsidR="006E7371" w:rsidRPr="00E023B1">
        <w:tab/>
        <w:t>mając na uwadze, że zwalczanie pracy nierejestrowanej, handlu ludźmi i wyzysku pracowników wymaga rygorystycznych inspekcji pracy, kontroli transgranicznych oraz skutecznego systemu licencjonowania lub rejestracji pośredników na rynku pracy; mając na uwadze, że egzekwowanie obowiązujących przepisów i lepsza współpraca między państwami członkowskimi mogą pomóc w rozwiązaniu problemów związanych z nadużyciami w zakresie podwykonawstwa i pośrednictwa pracy;</w:t>
      </w:r>
    </w:p>
    <w:p w14:paraId="122ACCF8" w14:textId="77777777" w:rsidR="006E7371" w:rsidRPr="00E023B1" w:rsidRDefault="006E7371" w:rsidP="006E7371">
      <w:pPr>
        <w:pStyle w:val="NormalHanging12a"/>
        <w:rPr>
          <w:b/>
          <w:i/>
          <w:iCs/>
        </w:rPr>
      </w:pPr>
      <w:r w:rsidRPr="00E023B1">
        <w:rPr>
          <w:b/>
          <w:i/>
        </w:rPr>
        <w:t>Przeciwdziałanie wyzyskowi pracowników</w:t>
      </w:r>
    </w:p>
    <w:p w14:paraId="0F060410" w14:textId="77777777" w:rsidR="006E7371" w:rsidRPr="00E023B1" w:rsidRDefault="006E7371" w:rsidP="006E7371">
      <w:pPr>
        <w:pStyle w:val="NormalHanging12a"/>
      </w:pPr>
      <w:r w:rsidRPr="00E023B1">
        <w:t>1.</w:t>
      </w:r>
      <w:r w:rsidRPr="00E023B1">
        <w:tab/>
        <w:t>podkreśla potrzebę kompleksowego podejścia UE do przeciwdziałania wyzyskowi pracowników, w tym nielegalnej pracy i związanej z nią przestępczości zorganizowanej, a także nieuczciwym praktykom biznesowym, w szczególności nieuczciwemu podwykonawstwu i pośrednictwu pracy; w związku z tym wzywa do opracowania unijnej strategii zwalczania tych problemów, których skutki mogą być różne w poszczególnych państwach członkowskich i sektorach; podkreśla, że wyzysk pracowników stanowi nie tylko naruszenie praw pracowniczych i praw człowieka, ale także podważa zasady uczciwej konkurencji między przedsiębiorstwami; w tym kontekście z zadowoleniem przyjmuje zobowiązanie Komisji do przedstawienia w 2026 r. pakietu na rzecz sprawiedliwej mobilności; przypomina, że realizacja celów ogólnych, takich jak wzmocnienie konkurencyjności europejskich przedsiębiorstw, uproszczenie i zmniejszenie zbędnych obciążeń administracyjnych, nie może prowadzić do obniżenia poziomu ochrony pracowników; podkreśla potrzebę bardziej rygorystycznego egzekwowania obecnych przepisów prawa pracy w celu zapewnienia skutecznej ochrony praw pracowniczych i równych warunków działania na jednolitym rynku;</w:t>
      </w:r>
    </w:p>
    <w:p w14:paraId="74D6959A" w14:textId="77777777" w:rsidR="006E7371" w:rsidRPr="00E023B1" w:rsidRDefault="006E7371" w:rsidP="006E7371">
      <w:pPr>
        <w:pStyle w:val="NormalHanging12a"/>
      </w:pPr>
      <w:r w:rsidRPr="00E023B1">
        <w:lastRenderedPageBreak/>
        <w:t>2.</w:t>
      </w:r>
      <w:r w:rsidRPr="00E023B1">
        <w:tab/>
        <w:t>przypomina, że aby uregulować podwykonawstwo na szczeblu krajowym, na przykład poprzez ograniczenie długości łańcuchów podwykonawców, solidarną odpowiedzialność i wymogi dotyczące bezpośredniego zatrudnienia, niektóre państwa członkowskie muszą zmierzyć się z wyzwaniami wynikającymi z różnych interpretacji przepisów dotyczących jednolitego rynku; wzywa Komisję do wyjaśnienia możliwości przyjęcia przez państwa członkowskie przepisów proporcjonalnych do zagrożeń i problemów wynikających z długich i złożonych łańcuchów podwykonawców; wzywa Komisję do zwiększenia wysiłków na rzecz zwalczania wyzysku pracowników;</w:t>
      </w:r>
    </w:p>
    <w:p w14:paraId="255707EA" w14:textId="67EB32CA" w:rsidR="006E7371" w:rsidRPr="00E023B1" w:rsidRDefault="001C26B1" w:rsidP="006E7371">
      <w:pPr>
        <w:pStyle w:val="NormalHanging12a"/>
      </w:pPr>
      <w:r>
        <w:t>3</w:t>
      </w:r>
      <w:r w:rsidR="006E7371" w:rsidRPr="00E023B1">
        <w:t>.</w:t>
      </w:r>
      <w:r w:rsidR="006E7371" w:rsidRPr="00E023B1">
        <w:tab/>
        <w:t xml:space="preserve">ponownie wzywa Komisję, aby położyła kres nadużyciom w zakresie podwykonawstwa i chroniła prawa pracowników, a także wzmocniła przejrzystość i rozliczalność w całym łańcuchu dostaw </w:t>
      </w:r>
      <w:r w:rsidR="006E7371" w:rsidRPr="00E023B1">
        <w:rPr>
          <w:rStyle w:val="FootnoteReference"/>
        </w:rPr>
        <w:footnoteReference w:id="29"/>
      </w:r>
      <w:r w:rsidR="006E7371" w:rsidRPr="00E023B1">
        <w:t>;</w:t>
      </w:r>
    </w:p>
    <w:p w14:paraId="16D7746D" w14:textId="450854C3" w:rsidR="006E7371" w:rsidRPr="00E023B1" w:rsidRDefault="001C26B1" w:rsidP="006E7371">
      <w:pPr>
        <w:pStyle w:val="NormalHanging12a"/>
      </w:pPr>
      <w:r>
        <w:t>4</w:t>
      </w:r>
      <w:r w:rsidR="006E7371" w:rsidRPr="00E023B1">
        <w:t>.</w:t>
      </w:r>
      <w:r w:rsidR="006E7371" w:rsidRPr="00E023B1">
        <w:tab/>
        <w:t>podkreśla, że wszelkie inicjatywy na szczeblu UE mające na celu zwalczanie wyzysku pracowników i złożonych łańcuchów podwykonawców powinny uwzględniać najlepsze praktyki państw członkowskich, być opracowywane w ścisłej współpracy z partnerami społecznymi, w tym z europejskimi komitetami sektorowego dialogu społecznego, oraz dostosowane do konkretnych realiów sektorowych; przypomina, że wszelkie środki i inicjatywy sektorowe, w tym odpowiedzialność solidarna w sektorach wysokiego ryzyka, muszą być zgodne z prawem UE i nie mogą tworzyć niepotrzebnych barier dla transgranicznej działalności gospodarczej; podkreśla, że środki i inicjatywy sektorowe mogą również przewidywać niższe wymogi regulacyjne dla przedsiębiorstw w sektorach niskiego ryzyka;</w:t>
      </w:r>
    </w:p>
    <w:p w14:paraId="629A39F6" w14:textId="6BA88D76" w:rsidR="006E7371" w:rsidRPr="00E023B1" w:rsidRDefault="001C26B1" w:rsidP="006E7371">
      <w:pPr>
        <w:pStyle w:val="NormalHanging12a"/>
      </w:pPr>
      <w:r>
        <w:t>5</w:t>
      </w:r>
      <w:r w:rsidR="006E7371" w:rsidRPr="00E023B1">
        <w:t>.</w:t>
      </w:r>
      <w:r w:rsidR="006E7371" w:rsidRPr="00E023B1">
        <w:tab/>
        <w:t>zwraca uwagę, że zasada odpowiedzialności solidarnej jest jednym ze sposobów zagwarantowania, że główny wykonawca będzie ponosić ogólną odpowiedzialność za usługi świadczone w całym łańcuchu podwykonawców; uważa, że dzięki tej zasadzie jakość, wydajność i zgodność z normami pracy, standardami społecznymi i normami bezpieczeństwa będą zagwarantowane umownie na każdym poziomie łańcucha podwykonawców; zwraca uwagę, że kilka państw członkowskich zdecydowało się przyjąć bardziej rygorystyczne zasady odpowiedzialności w łańcuchach podwykonawców niż minimalne zasady określone w art. 12 dyrektywy 2014/67/UE;</w:t>
      </w:r>
    </w:p>
    <w:p w14:paraId="51AE6D54" w14:textId="3C47D2CA" w:rsidR="006E7371" w:rsidRPr="00E023B1" w:rsidRDefault="001C26B1" w:rsidP="006E7371">
      <w:pPr>
        <w:pStyle w:val="NormalHanging12a"/>
      </w:pPr>
      <w:r>
        <w:t>6</w:t>
      </w:r>
      <w:r w:rsidR="006E7371" w:rsidRPr="00E023B1">
        <w:t>.</w:t>
      </w:r>
      <w:r w:rsidR="006E7371" w:rsidRPr="00E023B1">
        <w:tab/>
        <w:t>wzywa Komisję i państwa członkowskie, aby przeciwdziałały praktyce „podwykonawstwa finansowego”, polegającej na tym, że główny wykonawca zleca podwykonawstwo wszystkich prac, sam nie wykonując żadnych; podkreśla, że główni wykonawcy powinni sami wykonywać określoną część umowy; w tym kontekście ponownie wzywa Komisję do oceny wpływu zamówień publicznych realizowanych głównie przez bezpośrednich pracowników zwycięskiego oferenta i zaleca, aby przepisy dotyczące zamówień publicznych zachęcały przedsiębiorstwa do posiadania wystarczającej liczby pracowników wewnętrznych do realizacji projektów, na które udzielono zamówienia publicznego</w:t>
      </w:r>
      <w:r w:rsidR="006E7371" w:rsidRPr="00E023B1">
        <w:rPr>
          <w:rStyle w:val="FootnoteReference"/>
        </w:rPr>
        <w:footnoteReference w:id="30"/>
      </w:r>
      <w:r w:rsidR="006E7371" w:rsidRPr="00E023B1">
        <w:t>;</w:t>
      </w:r>
    </w:p>
    <w:p w14:paraId="2BA51CFD" w14:textId="69F273ED" w:rsidR="006E7371" w:rsidRPr="00E023B1" w:rsidRDefault="001C26B1" w:rsidP="006E7371">
      <w:pPr>
        <w:pStyle w:val="NormalHanging12a"/>
      </w:pPr>
      <w:r>
        <w:t>7</w:t>
      </w:r>
      <w:r w:rsidR="006E7371" w:rsidRPr="00E023B1">
        <w:t>.</w:t>
      </w:r>
      <w:r w:rsidR="006E7371" w:rsidRPr="00E023B1">
        <w:tab/>
        <w:t xml:space="preserve">wzywa Komisję i państwa członkowskie do przeciwdziałania nielegalnym praktykom w łańcuchach podwykonawców, aby zapewnić konkurencyjność przedsiębiorstw oraz sprawiedliwe i bezpieczne warunki pracy; zachęca w tym kontekście do nawiązywania </w:t>
      </w:r>
      <w:r w:rsidR="006E7371" w:rsidRPr="00E023B1">
        <w:lastRenderedPageBreak/>
        <w:t xml:space="preserve">bezpośrednich stosunków pracy w sektorach wysokiego ryzyka, jeżeli jest to wykonalne, uzasadnione, proporcjonalne i oparte na nadrzędnych względach interesu publicznego, takich jak ochrona pracowników i ich praw; </w:t>
      </w:r>
    </w:p>
    <w:p w14:paraId="7855D7D8" w14:textId="15564442" w:rsidR="006E7371" w:rsidRPr="00E023B1" w:rsidRDefault="001C26B1" w:rsidP="006E7371">
      <w:pPr>
        <w:pStyle w:val="NormalHanging12a"/>
      </w:pPr>
      <w:r>
        <w:t>8</w:t>
      </w:r>
      <w:r w:rsidR="006E7371" w:rsidRPr="00E023B1">
        <w:t>.</w:t>
      </w:r>
      <w:r w:rsidR="006E7371" w:rsidRPr="00E023B1">
        <w:tab/>
        <w:t>wzywa Komisję i państwa członkowskie, aby zachęcały do włączania zapisów dotyczących korzyści dla społeczności do zamówień publicznych i projektów finansowanych przez UE, np. wymogu, aby wykonawcy i podwykonawcy przyczyniali się do rozwoju umiejętności na szczeblu lokalnym lub do inicjatyw na rzecz włączenia społecznego, a tym samym tworzyli pozytywne efekty dodatkowe inwestycji publicznych;</w:t>
      </w:r>
    </w:p>
    <w:p w14:paraId="104673AE" w14:textId="298566CE" w:rsidR="006E7371" w:rsidRPr="00E023B1" w:rsidRDefault="001C26B1" w:rsidP="006E7371">
      <w:pPr>
        <w:pStyle w:val="NormalHanging12a"/>
      </w:pPr>
      <w:r>
        <w:t>9</w:t>
      </w:r>
      <w:r w:rsidR="006E7371" w:rsidRPr="00E023B1">
        <w:t>.</w:t>
      </w:r>
      <w:r w:rsidR="006E7371" w:rsidRPr="00E023B1">
        <w:tab/>
        <w:t>podkreśla, że inicjatywy krajowe i regionalne mające na celu ograniczenie liczby poziomów podwykonawstwa były często podejmowane wspólnie przez partnerów społecznych, w tym przedstawicieli MŚP; podkreśla, że takie inicjatywy powinny być respektowane, a ograniczenia podwykonawstwa muszą być proporcjonalne;</w:t>
      </w:r>
    </w:p>
    <w:p w14:paraId="79D09793" w14:textId="2222690C" w:rsidR="006E7371" w:rsidRPr="00E023B1" w:rsidRDefault="001C26B1" w:rsidP="006E7371">
      <w:pPr>
        <w:pStyle w:val="NormalHanging12a"/>
      </w:pPr>
      <w:r>
        <w:t>10</w:t>
      </w:r>
      <w:r w:rsidR="006E7371" w:rsidRPr="00E023B1">
        <w:t>.</w:t>
      </w:r>
      <w:r w:rsidR="006E7371" w:rsidRPr="00E023B1">
        <w:tab/>
        <w:t xml:space="preserve">zauważa, że długość i złożoność łańcuchów podwykonawstwa stanowi poważne wyzwanie dla inspektoratów pracy, jeżeli chodzi o ustalenie odpowiedzialności prawnej w przypadku naruszeń przepisów prawa pracy, czemu należy zaradzić; </w:t>
      </w:r>
    </w:p>
    <w:p w14:paraId="5253D98A" w14:textId="1D24AF07" w:rsidR="006E7371" w:rsidRPr="00E023B1" w:rsidRDefault="001C26B1" w:rsidP="006E7371">
      <w:pPr>
        <w:pStyle w:val="NormalHanging12a"/>
      </w:pPr>
      <w:r>
        <w:t>11</w:t>
      </w:r>
      <w:r w:rsidR="006E7371" w:rsidRPr="00E023B1">
        <w:t>.</w:t>
      </w:r>
      <w:r w:rsidR="006E7371" w:rsidRPr="00E023B1">
        <w:tab/>
        <w:t>podkreśla znaczenie włączenia przepisów uwzględniających aspekt płci do wszelkich nowych ram;</w:t>
      </w:r>
    </w:p>
    <w:p w14:paraId="75CD55C7" w14:textId="235B65D4" w:rsidR="006E7371" w:rsidRPr="00E023B1" w:rsidRDefault="001C26B1" w:rsidP="006E7371">
      <w:pPr>
        <w:pStyle w:val="NormalHanging12a"/>
      </w:pPr>
      <w:r>
        <w:t>12</w:t>
      </w:r>
      <w:r w:rsidR="006E7371" w:rsidRPr="00E023B1">
        <w:t>.</w:t>
      </w:r>
      <w:r w:rsidR="006E7371" w:rsidRPr="00E023B1">
        <w:tab/>
        <w:t>podkreśla, że aby ograniczyć rozdrobnienie jednolitego rynku, Komisja powinna zdefiniować sektory wysokiego ryzyka w ścisłej współpracy z państwami członkowskimi i partnerami społecznymi, w tym z europejskimi komitetami sektorowego dialogu społecznego; podkreśla, że państwa członkowskie mogą zwrócić się do Komisji o umożliwienie im, w razie potrzeby, dostosowania wspólnego wykazu sektorów wysokiego ryzyka do ich szczególnej sytuacji krajowej, aby zapewnić najlepsze możliwe podejście do zwalczania nadużyć podwykonawstwa, wyzysku pracowników i przestępstw związanych z pracą; podkreśla, że identyfikowanie sektorów wysokiego ryzyka i dostosowywanie ich wykazu powinno opierać się na dokładnych i aktualnych danych;</w:t>
      </w:r>
    </w:p>
    <w:p w14:paraId="61609A8B" w14:textId="045E3808" w:rsidR="006E7371" w:rsidRPr="00E023B1" w:rsidRDefault="001C26B1" w:rsidP="006E7371">
      <w:pPr>
        <w:pStyle w:val="NormalHanging12a"/>
      </w:pPr>
      <w:r>
        <w:t>13</w:t>
      </w:r>
      <w:r w:rsidR="006E7371" w:rsidRPr="00E023B1">
        <w:t>.</w:t>
      </w:r>
      <w:r w:rsidR="006E7371" w:rsidRPr="00E023B1">
        <w:tab/>
        <w:t>zauważa, że zlecanie podwykonawcom podstawowej działalności gospodarczej może prowadzić do rozdrobnienia i braku bezpieczeństwa miejsc pracy, zmniejszenia przejrzystości i rozliczalności oraz większego narażenia pracowników na dłuższe godziny pracy, niższe płace i inne naruszenia prawa pracy, a także niepewność zatrudnienia</w:t>
      </w:r>
      <w:r w:rsidR="006E7371" w:rsidRPr="00E023B1">
        <w:rPr>
          <w:rStyle w:val="FootnoteReference"/>
        </w:rPr>
        <w:footnoteReference w:id="31"/>
      </w:r>
      <w:r w:rsidR="006E7371" w:rsidRPr="00E023B1">
        <w:t>; podkreśla, że zgodnie z dyrektywą 2002/14/WE</w:t>
      </w:r>
      <w:r w:rsidR="006E7371" w:rsidRPr="00E023B1">
        <w:rPr>
          <w:rStyle w:val="FootnoteReference"/>
        </w:rPr>
        <w:footnoteReference w:id="32"/>
      </w:r>
      <w:r w:rsidR="006E7371" w:rsidRPr="00E023B1">
        <w:t xml:space="preserve"> przedstawiciele pracowników muszą być informowani i konsultowani w sprawie decyzji, które mogą </w:t>
      </w:r>
      <w:r w:rsidR="006E7371" w:rsidRPr="00E023B1">
        <w:lastRenderedPageBreak/>
        <w:t>prowadzić do istotnych zmian w organizacji pracy lub w stosunkach umownych; wzywa Komisję i państwa członkowskie do zadbania o przestrzeganie zasady równego traktowania oraz do zapewnienia godnych warunków pracy wszystkim pracownikom;</w:t>
      </w:r>
    </w:p>
    <w:p w14:paraId="5215AC06" w14:textId="2D983F5C" w:rsidR="006E7371" w:rsidRPr="00E023B1" w:rsidRDefault="001C26B1" w:rsidP="006E7371">
      <w:pPr>
        <w:pStyle w:val="NormalHanging12a"/>
      </w:pPr>
      <w:r>
        <w:t>14</w:t>
      </w:r>
      <w:r w:rsidR="006E7371" w:rsidRPr="00E023B1">
        <w:t>.</w:t>
      </w:r>
      <w:r w:rsidR="006E7371" w:rsidRPr="00E023B1">
        <w:tab/>
        <w:t xml:space="preserve">jest zaniepokojony brakiem jasności prawa, jeżeli chodzi o rozróżnienie między rzeczywistym a oszukańczym delegowaniem obywateli państw spoza UE, a także naruszeniami prawa UE dotyczącego świadczenia usług w celu obejścia przepisów migracyjnych i przepisów krajowego prawa pracy; podkreśla, że oszukańcze delegowanie osłabia tkankę społeczną jednolitego rynku i wykorzystuje trudną sytuację osób najsłabszych; wzywa Komisję, aby zgodnie z raportem </w:t>
      </w:r>
      <w:proofErr w:type="spellStart"/>
      <w:r w:rsidR="006E7371" w:rsidRPr="00E023B1">
        <w:t>Letty</w:t>
      </w:r>
      <w:proofErr w:type="spellEnd"/>
      <w:r w:rsidR="006E7371" w:rsidRPr="00E023B1">
        <w:t xml:space="preserve"> przeprowadziła przegląd wyzwań związanych z egzekwowaniem przepisów, zwłaszcza jeśli chodzi o współpracę transgraniczną, i podjęła odpowiednie kroki w celu położenia kresu delegowaniu pracowników, w którym nie ma żadnego rzeczywistego związku między pracownikami a wysyłającym państwem członkowskim; przypomina ogólny wniosek zawarty w raportach </w:t>
      </w:r>
      <w:proofErr w:type="spellStart"/>
      <w:r w:rsidR="006E7371" w:rsidRPr="00E023B1">
        <w:t>Letty</w:t>
      </w:r>
      <w:proofErr w:type="spellEnd"/>
      <w:r w:rsidR="006E7371" w:rsidRPr="00E023B1">
        <w:t xml:space="preserve"> i </w:t>
      </w:r>
      <w:proofErr w:type="spellStart"/>
      <w:r w:rsidR="006E7371" w:rsidRPr="00E023B1">
        <w:t>Draghiego</w:t>
      </w:r>
      <w:proofErr w:type="spellEnd"/>
      <w:r w:rsidR="006E7371" w:rsidRPr="00E023B1">
        <w:t>, że należy zwiększyć konkurencyjność jednolitego rynku;</w:t>
      </w:r>
    </w:p>
    <w:p w14:paraId="247540BE" w14:textId="44C36598" w:rsidR="006E7371" w:rsidRPr="00E023B1" w:rsidRDefault="001C26B1" w:rsidP="006E7371">
      <w:pPr>
        <w:pStyle w:val="NormalHanging12a"/>
      </w:pPr>
      <w:r>
        <w:t>15</w:t>
      </w:r>
      <w:r w:rsidR="006E7371" w:rsidRPr="00E023B1">
        <w:t>.</w:t>
      </w:r>
      <w:r w:rsidR="006E7371" w:rsidRPr="00E023B1">
        <w:tab/>
        <w:t>z zaniepokojeniem zwraca uwagę, że delegowanie pracowników niesie ze sobą ogromne ryzyko, jeżeli towarzyszą mu nadużycia w zakresie podwykonawstwa i pośrednictwa pracy; wzywa Europejski Urząd ds. Pracy do zbadania kwestii wykorzystywania pośredników pracy w delegowaniu pracowników, w tym ryzyka wykorzystywania takich rozwiązań do uchylania się od odpowiedzialności, obchodzenia obowiązków w zakresie zabezpieczenia społecznego i obniżania standardów bezpieczeństwa i higieny pracy; wzywa Komisję do zaradzenia wszelkim możliwym nadużyciom dyrektywy w sprawie pracy tymczasowej</w:t>
      </w:r>
      <w:r w:rsidR="006E7371" w:rsidRPr="00E023B1">
        <w:rPr>
          <w:rStyle w:val="FootnoteReference"/>
        </w:rPr>
        <w:footnoteReference w:id="33"/>
      </w:r>
      <w:r w:rsidR="006E7371" w:rsidRPr="00E023B1">
        <w:t xml:space="preserve"> w kontekście delegowania pracowników;</w:t>
      </w:r>
    </w:p>
    <w:p w14:paraId="41417557" w14:textId="171D4267" w:rsidR="006E7371" w:rsidRPr="00E023B1" w:rsidRDefault="001C26B1" w:rsidP="006E7371">
      <w:pPr>
        <w:pStyle w:val="NormalHanging12a"/>
      </w:pPr>
      <w:r>
        <w:t>16</w:t>
      </w:r>
      <w:r w:rsidR="006E7371" w:rsidRPr="00E023B1">
        <w:t>.</w:t>
      </w:r>
      <w:r w:rsidR="006E7371" w:rsidRPr="00E023B1">
        <w:tab/>
        <w:t>podkreśla, że zakwaterowanie zapewniane pracownikowi przez pracodawcę lub pośrednika pracy musi odpowiadać obowiązującym normom jakości, higieny i bezpieczeństwa; podkreśla, że czynsz za takie zakwaterowanie musi być proporcjonalny i niedyskryminacyjny; apeluje, aby w sektorach wysokiego ryzyka kontrole inspekcji pracy obejmowały także kontrole zakwaterowania, co uniemożliwi pracodawcom lub pośrednikom umieszczanie pracowników w uwłaczających, niebezpiecznych lub przepełnionych miejscach zakwaterowania; podkreśla, że postanowienia umowne regulujące zakwaterowanie pracownika nie mogą prowadzić do niepewnych sytuacji mieszkaniowych w przypadku rozwiązania stosunku pracy;</w:t>
      </w:r>
    </w:p>
    <w:p w14:paraId="073F6CEA" w14:textId="58891626" w:rsidR="006E7371" w:rsidRPr="00E023B1" w:rsidRDefault="001C26B1" w:rsidP="006E7371">
      <w:pPr>
        <w:pStyle w:val="NormalHanging12a"/>
      </w:pPr>
      <w:r>
        <w:t>17</w:t>
      </w:r>
      <w:r w:rsidR="006E7371" w:rsidRPr="00E023B1">
        <w:t>.</w:t>
      </w:r>
      <w:r w:rsidR="006E7371" w:rsidRPr="00E023B1">
        <w:tab/>
        <w:t xml:space="preserve">wzywa Komisję do współpracy z państwami członkowskimi w celu zapewnienia skutecznego wdrożenia i egzekwowania obowiązujących przepisów dotyczących delegowania pracowników; przypomina, że UE przyjęła szereg instrumentów prawnych przeciwdziałających wyzyskowi pracowników i nielegalnej pracy, jednak egzekwowanie tych instrumentów wymaga poprawy na szczeblu krajowym; wzywa Komisję do podsumowania sytuacji, zapewnienia sprawnego i skutecznego wdrożenia i egzekwowania odpowiednich instrumentów prawnych przez państwa członkowskie oraz do wszczęcia, w razie potrzeby, postępowań w sprawie uchybienia zobowiązaniom państwa członkowskiego przeciwko państwom członkowskim, które nie przestrzegają </w:t>
      </w:r>
      <w:r w:rsidR="006E7371" w:rsidRPr="00E023B1">
        <w:lastRenderedPageBreak/>
        <w:t>obowiązującego prawa UE;</w:t>
      </w:r>
    </w:p>
    <w:p w14:paraId="27420C79" w14:textId="56EB1384" w:rsidR="006E7371" w:rsidRPr="00E023B1" w:rsidRDefault="001C26B1" w:rsidP="006E7371">
      <w:pPr>
        <w:pStyle w:val="NormalHanging12a"/>
      </w:pPr>
      <w:r>
        <w:t>18</w:t>
      </w:r>
      <w:r w:rsidR="006E7371" w:rsidRPr="00E023B1">
        <w:t xml:space="preserve">.podkreśla wartość dodaną publicznych, </w:t>
      </w:r>
      <w:proofErr w:type="spellStart"/>
      <w:r w:rsidR="006E7371" w:rsidRPr="00E023B1">
        <w:t>interoperacyjnych</w:t>
      </w:r>
      <w:proofErr w:type="spellEnd"/>
      <w:r w:rsidR="006E7371" w:rsidRPr="00E023B1">
        <w:t xml:space="preserve"> rejestrów licencjonowanych pośredników pracy; podkreśla, że wszelkie licencje lub rejestracje powinny podlegać minimalnym kryteriom uczciwości; wzywa Komisję do zgromadzenia informacji na temat krajowych praktyk i przepisów dotyczących pośredników na rynku pracy oraz do dopilnowania, aby pośrednicy na rynku pracy działający w UE nie pobierali żadnych opłat ani nie przerzucali żadnych kosztów na pracowników, bezpośrednio ani pośrednio, w całości lub w części; podkreśla, że pośrednicy na rynku pracy, którzy naruszają obowiązujące prawo lub układy zbiorowe, powinni podlegać odstraszającym sankcjom, takim jak usunięcie z rejestrów publicznych i wykluczenie z zamówień publicznych;</w:t>
      </w:r>
    </w:p>
    <w:p w14:paraId="2BE55207" w14:textId="135881D4" w:rsidR="006E7371" w:rsidRPr="00E023B1" w:rsidRDefault="001C26B1" w:rsidP="006E7371">
      <w:pPr>
        <w:pStyle w:val="NormalHanging12a"/>
      </w:pPr>
      <w:r>
        <w:t>19</w:t>
      </w:r>
      <w:r w:rsidR="006E7371" w:rsidRPr="00E023B1">
        <w:t>.</w:t>
      </w:r>
      <w:r w:rsidR="006E7371" w:rsidRPr="00E023B1">
        <w:tab/>
        <w:t>apeluje, aby w nadchodzącym przeglądzie dyrektyw w sprawie zamówień publicznych zadbano o to, by kryteria wykluczenia lepiej przeciwdziałały konkretnym zagrożeniom sektorowym związanym z nadużyciami finansowymi, korupcją i infiltracją przestępczą; podkreśla, że różne sektory wymagają odrębnych, odpowiednio dostosowanych kryteriów wykluczenia, które odzwierciedlają ich specyficzne słabe punkty; podkreśla, że instytucje zamawiające powinny być uprawnione do dostosowywania procedur udzielania zamówień w celu zwalczania działalności przestępczej; podkreśla, że w celu promowania większej skuteczności i uproszczenia należy zoptymalizować przepisy dotyczące podstaw wykluczenia; podkreśla, że każdy wykonawca, który narusza swoje obowiązki wynikające z obowiązujących przepisów prawa pracy i przepisów dotyczących ochrony środowiska zgodnie z art. 18 ust. 2 dyrektywy 2014/24/UE, powinien zostać skutecznie wykluczony z danego postępowania o udzielenie zamówienia publicznego;</w:t>
      </w:r>
    </w:p>
    <w:p w14:paraId="1788A8BE" w14:textId="45795172" w:rsidR="006E7371" w:rsidRPr="00E023B1" w:rsidRDefault="001C26B1" w:rsidP="006E7371">
      <w:pPr>
        <w:pStyle w:val="NormalHanging12a"/>
      </w:pPr>
      <w:r>
        <w:t>20</w:t>
      </w:r>
      <w:r w:rsidR="006E7371" w:rsidRPr="00E023B1">
        <w:t>.</w:t>
      </w:r>
      <w:r w:rsidR="006E7371" w:rsidRPr="00E023B1">
        <w:tab/>
        <w:t>podkreśla znaczenie krajowych rejestrów przedsiębiorstw oraz europejskiego systemu integracji rejestrów przedsiębiorstw dla przedsiębiorstw poszukujących informacji o podwykonawcach, dla związków zawodowych chcących zaangażować się w rokowania zbiorowe, jak również dla organów egzekwowania prawa; wyraża ubolewanie, że zakres informacji dostępnych w krajowych rejestrach przedsiębiorstw jest bardzo zróżnicowany; wzywa Komisję do przeanalizowania, w jaki sposób można poprawić poziom publicznie dostępnych informacji, opierając się na najlepszych praktykach państw członkowskich;</w:t>
      </w:r>
    </w:p>
    <w:p w14:paraId="70BE3E76" w14:textId="5A365B6D" w:rsidR="006E7371" w:rsidRPr="00E023B1" w:rsidRDefault="001C26B1" w:rsidP="006E7371">
      <w:pPr>
        <w:pStyle w:val="NormalHanging12a"/>
      </w:pPr>
      <w:r>
        <w:t>21</w:t>
      </w:r>
      <w:r w:rsidR="006E7371" w:rsidRPr="00E023B1">
        <w:t>.</w:t>
      </w:r>
      <w:r w:rsidR="006E7371" w:rsidRPr="00E023B1">
        <w:tab/>
        <w:t>jest zaniepokojony, że pracownicy delegowani i pracownicy w łańcuchach podwykonawców są narażeni na nieproporcjonalne ryzyko w zakresie bezpieczeństwa i higieny pracy (BHP) ze względu na rozdrobnienie łańcuchów odpowiedzialności i niejasną koordynację, zwłaszcza w sektorze budowlanym; podkreśla w związku z tym znaczenie informowania pracowników delegowanych i pracowników w łańcuchach podwykonawców oraz konsultowania się z nimi, a także skutecznego egzekwowania przepisów dotyczących zdrowia i bezpieczeństwa, jak określono w konwencji MOP nr 167; uważa, że w tym kontekście ważne jest wzmocnienie roli partnerów społecznych w opracowywaniu narzędzi i szkoleń dla pracowników oraz dalsze promowanie zdrowych warunków pracy w kolejnych strategicznych ramach UE dotyczących bezpieczeństwa i higieny pracy; wzywa Komisję do oceny, czy obecne przepisy BHP odpowiednio obejmują wdrażanie minimalnych wymogów w zakresie bezpieczeństwa i zdrowia w łańcuchach podwykonawców;</w:t>
      </w:r>
    </w:p>
    <w:p w14:paraId="4D6F32F9" w14:textId="77777777" w:rsidR="006E7371" w:rsidRPr="00E023B1" w:rsidRDefault="006E7371" w:rsidP="006E7371">
      <w:pPr>
        <w:pStyle w:val="NormalHanging12a"/>
        <w:rPr>
          <w:b/>
          <w:i/>
          <w:iCs/>
        </w:rPr>
      </w:pPr>
      <w:r w:rsidRPr="00E023B1">
        <w:rPr>
          <w:b/>
          <w:i/>
        </w:rPr>
        <w:t>Egzekwowanie prawa i kontrola</w:t>
      </w:r>
    </w:p>
    <w:p w14:paraId="3E0348E8" w14:textId="725E5CB4" w:rsidR="006E7371" w:rsidRPr="00E023B1" w:rsidRDefault="001C26B1" w:rsidP="006E7371">
      <w:pPr>
        <w:pStyle w:val="NormalHanging12a"/>
      </w:pPr>
      <w:r>
        <w:lastRenderedPageBreak/>
        <w:t>22</w:t>
      </w:r>
      <w:r w:rsidR="006E7371" w:rsidRPr="00E023B1">
        <w:t>.</w:t>
      </w:r>
      <w:r w:rsidR="006E7371" w:rsidRPr="00E023B1">
        <w:tab/>
        <w:t>przypomina o znaczeniu współpracy transgranicznej, skutecznego egzekwowania przepisów i przejrzystości w zwalczaniu siatek przestępczych zamieszanych w przestępstwa związane z pracą; popiera ściślejszą współpracę w tym zakresie między Europejskim Urzędem ds. Pracy, Europolem, organami krajowymi i partnerami społecznymi; podkreśla, że potrzebne są skuteczne i odpowiednio finansowane systemy egzekwowania prawa, aby zwalczać wyzysk pracowników oraz propagować uczciwą konkurencję na jednolitym rynku; podkreśla konieczność zwalczania nadużyć w zakresie podwykonawstwa polegających na wykorzystywaniu sztucznych struktur, takich jak firmy przykrywki oraz fikcyjne agencje pracy tymczasowej; przypomina, że dyrektywa 2009/52/WE zobowiązuje państwa członkowskie do zapewnienia skutecznych i odpowiednich kontroli w celu przeciwdziałania zatrudnianiu obywateli państw trzecich, którzy nielegalnie przebywają na terytorium państw członkowskich, i wzywa Komisję i państwa członkowskie do zadbania o należyte egzekwowanie tej dyrektywy;</w:t>
      </w:r>
    </w:p>
    <w:p w14:paraId="1F10CCF1" w14:textId="29176C1D" w:rsidR="006E7371" w:rsidRPr="00E023B1" w:rsidRDefault="001C26B1" w:rsidP="006E7371">
      <w:pPr>
        <w:pStyle w:val="NormalHanging12a"/>
      </w:pPr>
      <w:r>
        <w:t>23</w:t>
      </w:r>
      <w:r w:rsidR="006E7371" w:rsidRPr="00E023B1">
        <w:t>.</w:t>
      </w:r>
      <w:r w:rsidR="006E7371" w:rsidRPr="00E023B1">
        <w:tab/>
        <w:t>z zadowoleniem przyjmuje sprawozdanie Komisji z oceny Europejskiego Urzędu ds. Pracy i ponawia swój apel</w:t>
      </w:r>
      <w:r w:rsidR="006E7371" w:rsidRPr="00E023B1">
        <w:rPr>
          <w:rStyle w:val="FootnoteReference"/>
        </w:rPr>
        <w:footnoteReference w:id="34"/>
      </w:r>
      <w:r w:rsidR="006E7371" w:rsidRPr="00E023B1">
        <w:t xml:space="preserve"> do Komisji o znaczne wzmocnienie mandatu Europejskiego Urzędu ds. Pracy przez umożliwienie mu prowadzenia dochodzeń w sprawie domniemanych naruszeń unijnych przepisów prawa pracy oraz wszczynania i prowadzenia z własnej inicjatywy kontroli w sprawach transgranicznych, rozszerzenie zakresu mandatu urzędu, tak aby obejmował on mobilność pracowników z państw trzecich, a także zapewnienie mu wystarczających zasobów, aby mógł wykonywać swoje zadania; podkreśla potrzebę dalszego dostosowania i uproszczenia przepisów i procedur kontroli w zakresie mobilności pracowników, w tym jednolitych standardów kontroli i lepszej wymiany informacji, pod przewodnictwem Europejskiego Urzędu ds. Pracy; zaleca utworzenie sektorowych jednostek egzekwowania prawa w ramach Europejskiego Urzędu ds. Pracy, w szczególności w budownictwie, transporcie i rolnictwie, oraz zacieśnienie współpracy z partnerami społecznymi w odpowiednich sektorach;</w:t>
      </w:r>
    </w:p>
    <w:p w14:paraId="6292F92A" w14:textId="029B5ECB" w:rsidR="006E7371" w:rsidRPr="00E023B1" w:rsidRDefault="001C26B1" w:rsidP="006E7371">
      <w:pPr>
        <w:pStyle w:val="NormalHanging12a"/>
      </w:pPr>
      <w:r>
        <w:t>24</w:t>
      </w:r>
      <w:r w:rsidR="006E7371" w:rsidRPr="00E023B1">
        <w:t>.</w:t>
      </w:r>
      <w:r w:rsidR="006E7371" w:rsidRPr="00E023B1">
        <w:tab/>
        <w:t>podkreśla kluczową rolę inspekcji pracy zarówno w wykrywaniu przypadków wyzysku pracowników, jak i w zapobieganiu takiemu wyzyskowi, jak również w ogólnym zapewnianiu przestrzegania przepisów prawa pracy; wzywa państwa członkowskie do zwiększenia liczby inspektorów pracy oraz wsparcia dla inspektoratów pracy; przypomina, że w dyrektywie 2006/22/WE</w:t>
      </w:r>
      <w:r w:rsidR="006E7371" w:rsidRPr="00E023B1">
        <w:rPr>
          <w:rStyle w:val="FootnoteReference"/>
        </w:rPr>
        <w:footnoteReference w:id="35"/>
      </w:r>
      <w:r w:rsidR="006E7371" w:rsidRPr="00E023B1">
        <w:t xml:space="preserve"> określono już minimalne zasady kontroli zgodności z przepisami socjalnymi w transporcie drogowym, i wzywa Komisję do poprawy jakości i częstotliwości inspekcji pracy oraz do zapewnienia odpowiednich minimalnych zdolności w zakresie inspekcji pracy, zgodnie z zaleceniem MOP, aby na 10 000 pracowników przypadał co najmniej jeden inspektor pracy; podkreśla, że mechanizmy składania skarg – pomimo ich znaczenia dla inicjowania ukierunkowanych kontroli – pozostają niedostatecznie wykorzystywane i niedostępne, zwłaszcza dla pracowników mobilnych i pracowników z państw trzecich; przypomina, że zgodnie z dyrektywą 2009/52/WE państwa członkowskie muszą zapewnić skuteczne </w:t>
      </w:r>
      <w:r w:rsidR="006E7371" w:rsidRPr="00E023B1">
        <w:lastRenderedPageBreak/>
        <w:t>mechanizmy umożliwiające nielegalnie zatrudnionym obywatelom państw spoza UE wnoszenie skarg przeciwko pracodawcom;</w:t>
      </w:r>
    </w:p>
    <w:p w14:paraId="3B6DA244" w14:textId="1D904573" w:rsidR="006E7371" w:rsidRPr="00E023B1" w:rsidRDefault="001C26B1" w:rsidP="006E7371">
      <w:pPr>
        <w:pStyle w:val="NormalHanging12a"/>
      </w:pPr>
      <w:r>
        <w:t>25</w:t>
      </w:r>
      <w:r w:rsidR="006E7371" w:rsidRPr="00E023B1">
        <w:t>.</w:t>
      </w:r>
      <w:r w:rsidR="006E7371" w:rsidRPr="00E023B1">
        <w:tab/>
        <w:t>podkreśla znaczenie dokładnych i aktualnych danych; zwraca uwagę, że poziom informacji na temat struktury łańcuchów podwykonawstwa i przestępczości związanej z pracą jest zróżnicowany w poszczególnych krajach Europy, co stanowi wyzwanie zarówno pod względem egzekwowania prawa, jak i kształtowania polityki; wzywa Komisję do usprawnienia gromadzenia danych w tym zakresie i podkreśla rolę Europejskiego Urzędu ds. Pracy w dostarczaniu wiarygodnych informacji na temat ogólnych tendencji i nadużyć w sytuacjach transgranicznych;</w:t>
      </w:r>
    </w:p>
    <w:p w14:paraId="77F6D4A7" w14:textId="42C50CFE" w:rsidR="006E7371" w:rsidRPr="00E023B1" w:rsidRDefault="001C26B1" w:rsidP="006E7371">
      <w:pPr>
        <w:pStyle w:val="NormalHanging12a"/>
      </w:pPr>
      <w:r>
        <w:t>26</w:t>
      </w:r>
      <w:r w:rsidR="006E7371" w:rsidRPr="00E023B1">
        <w:t>.</w:t>
      </w:r>
      <w:r w:rsidR="006E7371" w:rsidRPr="00E023B1">
        <w:tab/>
        <w:t>podkreśla sukces inicjatyw w zakresie identyfikacji miejsc pracy na szczeblu krajowym i sektorowym, takich jak karty zabezpieczenia społecznego; w tym kontekście z zadowoleniem przyjmuje włączenie europejskiego dowodu zabezpieczenia społecznego (ESSPASS) do programu prac Komisji na 2026 r.; ponawia apel</w:t>
      </w:r>
      <w:r w:rsidR="006E7371" w:rsidRPr="00E023B1">
        <w:rPr>
          <w:rStyle w:val="FootnoteReference"/>
        </w:rPr>
        <w:footnoteReference w:id="36"/>
      </w:r>
      <w:r w:rsidR="006E7371" w:rsidRPr="00E023B1">
        <w:t xml:space="preserve"> o szybkie wdrożenie systemu ESSPASS oraz o udoskonalenie ochrony i cyfrowego egzekwowania praw w zakresie zabezpieczenia społecznego i sprawiedliwej mobilności, w tym weryfikacji w czasie rzeczywistym i wymiany informacji między organami egzekwowania prawa; wzywa do integracji systemu ESSPASS z krajowymi i sektorowymi systemami kart pracy, aby zapewnić interoperacyjność i zminimalizować zakłócenia; podkreśla, że system ESSPASS powinien zmniejszyć niepotrzebne obciążenia administracyjne, uprościć przestrzeganie przepisów dla przedsiębiorstw przy minimalnych kosztach dla MŚP oraz wspierać Europejski Urząd ds. Pracy i organy krajowe w zwalczaniu nadużyć i działalności przestępczej; podkreśla znaczenie maksymalnego bezpieczeństwa i silnej ochrony danych dla systemu ESSPASS oraz zaangażowania partnerów społecznych w projektowanie i wdrażanie systemu; odnotowuje ponadto, że trwają prace nad innymi inicjatywami UE, takimi jak portfel tożsamości cyfrowej, które mogą poprawić zdolność organów do zwalczania </w:t>
      </w:r>
      <w:proofErr w:type="spellStart"/>
      <w:r w:rsidR="006E7371" w:rsidRPr="00E023B1">
        <w:t>zachowań</w:t>
      </w:r>
      <w:proofErr w:type="spellEnd"/>
      <w:r w:rsidR="006E7371" w:rsidRPr="00E023B1">
        <w:t xml:space="preserve"> przestępczych bez obciążania MŚP ani zwiększania kosztów dla konsumentów;</w:t>
      </w:r>
    </w:p>
    <w:p w14:paraId="53491596" w14:textId="77777777" w:rsidR="006E7371" w:rsidRPr="00E023B1" w:rsidRDefault="006E7371" w:rsidP="006E7371">
      <w:pPr>
        <w:pStyle w:val="NormalHanging12a"/>
        <w:rPr>
          <w:b/>
          <w:i/>
          <w:iCs/>
        </w:rPr>
      </w:pPr>
      <w:r w:rsidRPr="00E023B1">
        <w:rPr>
          <w:b/>
          <w:i/>
        </w:rPr>
        <w:t>Kary za wyzysk pracowników</w:t>
      </w:r>
    </w:p>
    <w:p w14:paraId="35CDEC57" w14:textId="1C90504E" w:rsidR="006E7371" w:rsidRPr="00E023B1" w:rsidRDefault="001C26B1" w:rsidP="006E7371">
      <w:pPr>
        <w:pStyle w:val="NormalHanging12a"/>
      </w:pPr>
      <w:r>
        <w:t>27</w:t>
      </w:r>
      <w:r w:rsidR="006E7371" w:rsidRPr="00E023B1">
        <w:t>.</w:t>
      </w:r>
      <w:r w:rsidR="006E7371" w:rsidRPr="00E023B1">
        <w:tab/>
        <w:t>zauważa z zaniepokojeniem, że osoby objęte zakazem handlu w jednym państwie członkowskim mogą obejść ograniczenia krajowe, rejestrując i prowadząc działalność gospodarczą w innym państwie członkowskim, co osłabia walkę z wyzyskiem pracowników na jednolitym rynku; wzywa Komisję do zapewnienia skuteczniejszej wymiany informacji i współpracy między państwami członkowskimi, a także wzajemnego uznawania zakazów handlu i sankcji karnych, zgodnie z traktatami, aby zapobiec obchodzeniu ograniczeń; w tym kontekście podkreśla znaczenie przestrzegania praworządności i poszanowania standardów rzetelnego procesu; zaleca korzystanie z systemu wymiany informacji na rynku wewnętrznym (IMI) w celu terminowej i bezpiecznej wymiany istotnych informacji między państwami członkowskimi;</w:t>
      </w:r>
    </w:p>
    <w:p w14:paraId="37F09F12" w14:textId="6765869E" w:rsidR="006E7371" w:rsidRPr="00E023B1" w:rsidRDefault="001C26B1" w:rsidP="006E7371">
      <w:pPr>
        <w:pStyle w:val="NormalHanging12a"/>
      </w:pPr>
      <w:r>
        <w:t>28</w:t>
      </w:r>
      <w:r w:rsidR="006E7371" w:rsidRPr="00E023B1">
        <w:t>.</w:t>
      </w:r>
      <w:r w:rsidR="006E7371" w:rsidRPr="00E023B1">
        <w:tab/>
        <w:t xml:space="preserve">zwraca uwagę na rozbieżności dotyczące kar i systemów sankcji w różnych obszarach polityki UE; podkreśla, że kary i sankcje za przestępstwa związane z pracą i naruszenia </w:t>
      </w:r>
      <w:r w:rsidR="006E7371" w:rsidRPr="00E023B1">
        <w:lastRenderedPageBreak/>
        <w:t>praw pracowniczych muszą być skuteczne, odstraszające i proporcjonalne do charakteru, wagi i czasu trwania naruszenia popełnionego przez przedsiębiorstwo oraz do liczby pracowników dotkniętych tym naruszeniem; wzywa Komisję do zbadania możliwości powiązania sankcji z wielkością przedsiębiorstwa lub jego obrotem, aby zapewnić proporcjonalność, efekt odstraszający i równe warunki działania; podkreśla potrzebę wprowadzenia mechanizmu odzyskiwania zaległych wynagrodzeń, składek na ubezpieczenie społeczne, grzywien i odszkodowań w sprawach transgranicznych;</w:t>
      </w:r>
    </w:p>
    <w:p w14:paraId="25134ABC" w14:textId="3CEA43C6" w:rsidR="006E7371" w:rsidRPr="00E023B1" w:rsidRDefault="001C26B1" w:rsidP="006E7371">
      <w:pPr>
        <w:pStyle w:val="NormalHanging12a"/>
      </w:pPr>
      <w:r>
        <w:t>29</w:t>
      </w:r>
      <w:r w:rsidR="006E7371" w:rsidRPr="00E023B1">
        <w:t>.</w:t>
      </w:r>
      <w:r w:rsidR="006E7371" w:rsidRPr="00E023B1">
        <w:tab/>
        <w:t>zwraca uwagę na problem nieuczciwych i przestępczych podmiotów na rynku pracy, które wykorzystują strategiczne bankructwa i znikanie przedsiębiorstw do unikania odpowiedzialności za nieuregulowane płatności oraz sankcji; wzywa Komisję do przeanalizowania problemów związanych ze strategicznymi bankructwami i znikającymi przedsiębiorstwami, zwłaszcza w przypadkach transgranicznych, oraz do podjęcia niezbędnych inicjatyw w celu ograniczenia ich występowania;</w:t>
      </w:r>
    </w:p>
    <w:p w14:paraId="7026D5ED" w14:textId="0236DDBF" w:rsidR="006E7371" w:rsidRPr="00E023B1" w:rsidRDefault="001C26B1" w:rsidP="006E7371">
      <w:pPr>
        <w:pStyle w:val="NormalHanging12a"/>
      </w:pPr>
      <w:r>
        <w:t>30</w:t>
      </w:r>
      <w:r w:rsidR="006E7371" w:rsidRPr="00E023B1">
        <w:t>.</w:t>
      </w:r>
      <w:r w:rsidR="006E7371" w:rsidRPr="00E023B1">
        <w:tab/>
        <w:t>przypomina, że powiązanie wydatków publicznych z poszanowaniem praw pracowniczych i godnymi warunkami pracy jest jednym z dostępnych narzędzi walki z nadużyciami w zakresie podwykonawstwa i przestępczością związaną z pracą;</w:t>
      </w:r>
    </w:p>
    <w:p w14:paraId="1CE9D7D1" w14:textId="77777777" w:rsidR="006E7371" w:rsidRPr="00E023B1" w:rsidRDefault="006E7371" w:rsidP="006E7371">
      <w:pPr>
        <w:pStyle w:val="NormalHanging12a"/>
        <w:jc w:val="center"/>
      </w:pPr>
      <w:r w:rsidRPr="00E023B1">
        <w:t>°</w:t>
      </w:r>
    </w:p>
    <w:p w14:paraId="520923FF" w14:textId="77777777" w:rsidR="006E7371" w:rsidRPr="00E023B1" w:rsidRDefault="006E7371" w:rsidP="006E7371">
      <w:pPr>
        <w:pStyle w:val="NormalHanging12a"/>
        <w:jc w:val="center"/>
      </w:pPr>
      <w:r w:rsidRPr="00E023B1">
        <w:t>°</w:t>
      </w:r>
      <w:r w:rsidRPr="00E023B1">
        <w:tab/>
        <w:t>°</w:t>
      </w:r>
    </w:p>
    <w:p w14:paraId="43B6DAE2" w14:textId="0DE5A18F" w:rsidR="00E023B1" w:rsidRPr="00E023B1" w:rsidRDefault="001C26B1" w:rsidP="00E023B1">
      <w:pPr>
        <w:pStyle w:val="NormalHanging12a"/>
      </w:pPr>
      <w:r>
        <w:t>31</w:t>
      </w:r>
      <w:r w:rsidR="006E7371" w:rsidRPr="00E023B1">
        <w:t>.</w:t>
      </w:r>
      <w:r w:rsidR="006E7371" w:rsidRPr="00E023B1">
        <w:tab/>
        <w:t>zobowiązuje swoją przewodniczącą do przekazania niniejszej rezolucji Radzie i Komisji.</w:t>
      </w:r>
    </w:p>
    <w:p w14:paraId="39F6234F" w14:textId="6477D72E" w:rsidR="00E365E1" w:rsidRPr="00E023B1" w:rsidRDefault="00E365E1" w:rsidP="003C7E26"/>
    <w:sectPr w:rsidR="00E365E1" w:rsidRPr="00E023B1" w:rsidSect="00E023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82815" w14:textId="77777777" w:rsidR="003C7E26" w:rsidRPr="00E023B1" w:rsidRDefault="003C7E26">
      <w:r w:rsidRPr="00E023B1">
        <w:separator/>
      </w:r>
    </w:p>
  </w:endnote>
  <w:endnote w:type="continuationSeparator" w:id="0">
    <w:p w14:paraId="2AD52A0F" w14:textId="77777777" w:rsidR="003C7E26" w:rsidRPr="00E023B1" w:rsidRDefault="003C7E26">
      <w:r w:rsidRPr="00E023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0F11" w14:textId="77777777" w:rsidR="00064002" w:rsidRPr="00E023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2655" w14:textId="77777777" w:rsidR="00064002" w:rsidRPr="00E023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2EA5E" w14:textId="77777777" w:rsidR="00064002" w:rsidRPr="00E023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520A" w14:textId="77777777" w:rsidR="003C7E26" w:rsidRPr="00E023B1" w:rsidRDefault="003C7E26">
      <w:r w:rsidRPr="00E023B1">
        <w:separator/>
      </w:r>
    </w:p>
  </w:footnote>
  <w:footnote w:type="continuationSeparator" w:id="0">
    <w:p w14:paraId="22DA1FD3" w14:textId="77777777" w:rsidR="003C7E26" w:rsidRPr="00E023B1" w:rsidRDefault="003C7E26">
      <w:r w:rsidRPr="00E023B1">
        <w:continuationSeparator/>
      </w:r>
    </w:p>
  </w:footnote>
  <w:footnote w:id="1">
    <w:p w14:paraId="38DF5F58" w14:textId="1D2FA2AD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Dz.U. L 18 z 21.1.1997, s. 1, ELI: </w:t>
      </w:r>
      <w:hyperlink r:id="rId1" w:history="1">
        <w:r w:rsidRPr="00E023B1">
          <w:rPr>
            <w:rStyle w:val="Hyperlink"/>
            <w:sz w:val="24"/>
            <w:lang w:val="pl-PL"/>
          </w:rPr>
          <w:t>http://data.europa.eu/eli/dir/1996/71/oj</w:t>
        </w:r>
      </w:hyperlink>
      <w:r w:rsidRPr="00E023B1">
        <w:rPr>
          <w:sz w:val="24"/>
          <w:lang w:val="pl-PL"/>
        </w:rPr>
        <w:t>.</w:t>
      </w:r>
    </w:p>
  </w:footnote>
  <w:footnote w:id="2">
    <w:p w14:paraId="6C59957F" w14:textId="285D02C1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Dz.U. L 159 z 28.5.2014, s. 11, ELI: </w:t>
      </w:r>
      <w:hyperlink r:id="rId2" w:tooltip="Dostęp do dokumentu poprzez identyfikator URI w systemie ELI." w:history="1">
        <w:r w:rsidRPr="00E023B1">
          <w:rPr>
            <w:rStyle w:val="Hyperlink"/>
            <w:sz w:val="24"/>
            <w:lang w:val="pl-PL"/>
          </w:rPr>
          <w:t>http://data.europa.eu/eli/dir/2014/67/oj</w:t>
        </w:r>
      </w:hyperlink>
      <w:r w:rsidRPr="00E023B1">
        <w:rPr>
          <w:sz w:val="24"/>
          <w:lang w:val="pl-PL"/>
        </w:rPr>
        <w:t>.</w:t>
      </w:r>
    </w:p>
  </w:footnote>
  <w:footnote w:id="3">
    <w:p w14:paraId="43C923DF" w14:textId="0502D1FE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Dz.U. L 101 z 15.4.2011, s. 1, ELI: </w:t>
      </w:r>
      <w:hyperlink r:id="rId3" w:history="1">
        <w:r w:rsidRPr="00E023B1">
          <w:rPr>
            <w:rStyle w:val="Hyperlink"/>
            <w:sz w:val="24"/>
            <w:lang w:val="pl-PL"/>
          </w:rPr>
          <w:t>http://data.europa.eu/eli/dir/2011/36/oj.</w:t>
        </w:r>
      </w:hyperlink>
    </w:p>
  </w:footnote>
  <w:footnote w:id="4">
    <w:p w14:paraId="1671E9DF" w14:textId="7546A77E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Dz.U. L 168 z 30.6.2009, s. 24, ELI: </w:t>
      </w:r>
      <w:hyperlink r:id="rId4" w:tooltip="Dostęp do dokumentu poprzez identyfikator URI w systemie ELI." w:history="1">
        <w:r w:rsidRPr="00E023B1">
          <w:rPr>
            <w:rStyle w:val="Hyperlink"/>
            <w:sz w:val="24"/>
            <w:lang w:val="pl-PL"/>
          </w:rPr>
          <w:t>http://data.europa.eu/eli/dir/2009/52/oj</w:t>
        </w:r>
      </w:hyperlink>
      <w:r w:rsidRPr="00E023B1">
        <w:rPr>
          <w:sz w:val="24"/>
          <w:lang w:val="pl-PL"/>
        </w:rPr>
        <w:t>.</w:t>
      </w:r>
    </w:p>
  </w:footnote>
  <w:footnote w:id="5">
    <w:p w14:paraId="2B25CAE8" w14:textId="05CEFD25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Dz.U. L 94 z 28.3.2014, s. 65, ELI: </w:t>
      </w:r>
      <w:hyperlink r:id="rId5" w:tooltip="Dostęp do dokumentu poprzez identyfikator URI w systemie ELI." w:history="1">
        <w:r w:rsidRPr="00E023B1">
          <w:rPr>
            <w:rStyle w:val="Hyperlink"/>
            <w:sz w:val="24"/>
            <w:lang w:val="pl-PL"/>
          </w:rPr>
          <w:t>http://data.europa.eu/eli/dir/2014/24/oj</w:t>
        </w:r>
      </w:hyperlink>
      <w:r w:rsidRPr="00E023B1">
        <w:rPr>
          <w:sz w:val="24"/>
          <w:lang w:val="pl-PL"/>
        </w:rPr>
        <w:t>.</w:t>
      </w:r>
    </w:p>
  </w:footnote>
  <w:footnote w:id="6">
    <w:p w14:paraId="63E5F747" w14:textId="46E82FD9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Dz.U. L, 2024/1760, 5.7.2024, ELI: </w:t>
      </w:r>
      <w:hyperlink r:id="rId6" w:tgtFrame="_blank" w:tooltip="Dostęp do dokumentu poprzez identyfikator URI w systemie ELI." w:history="1">
        <w:r w:rsidRPr="00E023B1">
          <w:rPr>
            <w:rStyle w:val="Hyperlink"/>
            <w:sz w:val="24"/>
            <w:lang w:val="pl-PL"/>
          </w:rPr>
          <w:t>http://data.europa.eu/eli/dir/2024/1760/oj</w:t>
        </w:r>
      </w:hyperlink>
      <w:r w:rsidRPr="00E023B1">
        <w:rPr>
          <w:sz w:val="24"/>
          <w:lang w:val="pl-PL"/>
        </w:rPr>
        <w:t>.</w:t>
      </w:r>
    </w:p>
  </w:footnote>
  <w:footnote w:id="7">
    <w:p w14:paraId="084C4633" w14:textId="5F141F77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hyperlink r:id="rId7" w:history="1">
        <w:r w:rsidRPr="00E023B1">
          <w:rPr>
            <w:rStyle w:val="Hyperlink"/>
            <w:sz w:val="24"/>
            <w:lang w:val="pl-PL"/>
          </w:rPr>
          <w:t>https://data.europa.eu/doi/10.2826/844552</w:t>
        </w:r>
      </w:hyperlink>
      <w:r w:rsidRPr="00E023B1">
        <w:rPr>
          <w:sz w:val="24"/>
          <w:lang w:val="pl-PL"/>
        </w:rPr>
        <w:t>.</w:t>
      </w:r>
    </w:p>
  </w:footnote>
  <w:footnote w:id="8">
    <w:p w14:paraId="712DB91D" w14:textId="275F9CE2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hyperlink r:id="rId8" w:history="1">
        <w:r w:rsidRPr="00E023B1">
          <w:rPr>
            <w:rStyle w:val="Hyperlink"/>
            <w:sz w:val="24"/>
            <w:lang w:val="pl-PL"/>
          </w:rPr>
          <w:t>https://www.ela.europa.eu/sites/default/files/2025-03/ELA-posting-third-country-nationals-report.pdf</w:t>
        </w:r>
      </w:hyperlink>
      <w:r w:rsidRPr="00E023B1">
        <w:rPr>
          <w:sz w:val="24"/>
          <w:lang w:val="pl-PL"/>
        </w:rPr>
        <w:t>.</w:t>
      </w:r>
    </w:p>
  </w:footnote>
  <w:footnote w:id="9">
    <w:p w14:paraId="02237C49" w14:textId="4C3B011F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hyperlink r:id="rId9" w:history="1">
        <w:r w:rsidRPr="00E023B1">
          <w:rPr>
            <w:rStyle w:val="Hyperlink"/>
            <w:sz w:val="24"/>
            <w:lang w:val="pl-PL"/>
          </w:rPr>
          <w:t>https://www.ela.europa.eu/sites/default/files/2023-04/ela-report-posting-third-country-nationals.pdf</w:t>
        </w:r>
      </w:hyperlink>
      <w:r w:rsidRPr="00E023B1">
        <w:rPr>
          <w:sz w:val="24"/>
          <w:lang w:val="pl-PL"/>
        </w:rPr>
        <w:t>.</w:t>
      </w:r>
    </w:p>
  </w:footnote>
  <w:footnote w:id="10">
    <w:p w14:paraId="26639B9E" w14:textId="343F4D22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hyperlink r:id="rId10" w:history="1">
        <w:r w:rsidRPr="00E023B1">
          <w:rPr>
            <w:rStyle w:val="Hyperlink"/>
            <w:sz w:val="24"/>
            <w:lang w:val="pl-PL"/>
          </w:rPr>
          <w:t>https://www.ela.europa.eu/en/publications/construction-sector-issues-information-provision-enforcement-labour-mobility-law</w:t>
        </w:r>
      </w:hyperlink>
      <w:r w:rsidRPr="00E023B1">
        <w:rPr>
          <w:sz w:val="24"/>
          <w:lang w:val="pl-PL"/>
        </w:rPr>
        <w:t>.</w:t>
      </w:r>
    </w:p>
  </w:footnote>
  <w:footnote w:id="11">
    <w:p w14:paraId="5655BE7D" w14:textId="4D7F1A94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Dz.U. C 224 z 8.6.2022, s. 81.</w:t>
      </w:r>
    </w:p>
  </w:footnote>
  <w:footnote w:id="12">
    <w:p w14:paraId="327993D5" w14:textId="3F12FEE9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Dz.U. C, C/2025/3156, 20.6.2025, </w:t>
      </w:r>
      <w:hyperlink r:id="rId11" w:history="1">
        <w:r w:rsidRPr="00E023B1">
          <w:rPr>
            <w:rStyle w:val="Hyperlink"/>
            <w:sz w:val="24"/>
            <w:lang w:val="pl-PL"/>
          </w:rPr>
          <w:t>ELI:</w:t>
        </w:r>
      </w:hyperlink>
      <w:hyperlink r:id="rId12" w:history="1">
        <w:r w:rsidRPr="00E023B1">
          <w:rPr>
            <w:rStyle w:val="Hyperlink"/>
            <w:sz w:val="24"/>
            <w:lang w:val="pl-PL"/>
          </w:rPr>
          <w:t xml:space="preserve"> http://data.europa.eu/eli/C/2025/3156/oj</w:t>
        </w:r>
      </w:hyperlink>
      <w:r w:rsidRPr="00E023B1">
        <w:rPr>
          <w:sz w:val="24"/>
          <w:lang w:val="pl-PL"/>
        </w:rPr>
        <w:t>.</w:t>
      </w:r>
    </w:p>
  </w:footnote>
  <w:footnote w:id="13">
    <w:p w14:paraId="7D2924B9" w14:textId="218DB6E0" w:rsidR="006E7371" w:rsidRPr="001C26B1" w:rsidRDefault="006E7371" w:rsidP="00E023B1">
      <w:pPr>
        <w:pStyle w:val="FootnoteText"/>
        <w:ind w:left="567" w:hanging="567"/>
        <w:rPr>
          <w:sz w:val="24"/>
          <w:lang w:val="fi-FI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1C26B1">
        <w:rPr>
          <w:sz w:val="24"/>
          <w:lang w:val="fi-FI"/>
        </w:rPr>
        <w:t xml:space="preserve"> </w:t>
      </w:r>
      <w:r w:rsidR="00E023B1" w:rsidRPr="001C26B1">
        <w:rPr>
          <w:sz w:val="24"/>
          <w:lang w:val="fi-FI"/>
        </w:rPr>
        <w:tab/>
      </w:r>
      <w:proofErr w:type="spellStart"/>
      <w:r w:rsidRPr="001C26B1">
        <w:rPr>
          <w:sz w:val="24"/>
          <w:lang w:val="fi-FI"/>
        </w:rPr>
        <w:t>Dz.U</w:t>
      </w:r>
      <w:proofErr w:type="spellEnd"/>
      <w:r w:rsidRPr="001C26B1">
        <w:rPr>
          <w:sz w:val="24"/>
          <w:lang w:val="fi-FI"/>
        </w:rPr>
        <w:t xml:space="preserve">. C, C/2024/5741, 17.10.2024, ELI: </w:t>
      </w:r>
      <w:hyperlink r:id="rId13" w:history="1">
        <w:r w:rsidRPr="001C26B1">
          <w:rPr>
            <w:rStyle w:val="Hyperlink"/>
            <w:sz w:val="24"/>
            <w:lang w:val="fi-FI"/>
          </w:rPr>
          <w:t>http://data.europa.eu/eli/C/2024/5741/oj</w:t>
        </w:r>
      </w:hyperlink>
      <w:r w:rsidRPr="001C26B1">
        <w:rPr>
          <w:sz w:val="24"/>
          <w:lang w:val="fi-FI"/>
        </w:rPr>
        <w:t>.</w:t>
      </w:r>
    </w:p>
  </w:footnote>
  <w:footnote w:id="14">
    <w:p w14:paraId="2E72BEF3" w14:textId="1BA78C02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Teksty przyjęte, P10_TA(2025)0174.</w:t>
      </w:r>
    </w:p>
  </w:footnote>
  <w:footnote w:id="15">
    <w:p w14:paraId="03143FEE" w14:textId="05B2DADC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wyrok Trybunału Sprawiedliwości z dnia 5 kwietnia 2017 r., UAB „Borta” przeciwko VĮ </w:t>
      </w:r>
      <w:proofErr w:type="spellStart"/>
      <w:r w:rsidRPr="00E023B1">
        <w:rPr>
          <w:sz w:val="24"/>
          <w:lang w:val="pl-PL"/>
        </w:rPr>
        <w:t>Klaipėdos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valstybinio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jūrų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uosto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direkcija</w:t>
      </w:r>
      <w:proofErr w:type="spellEnd"/>
      <w:r w:rsidRPr="00E023B1">
        <w:rPr>
          <w:sz w:val="24"/>
          <w:lang w:val="pl-PL"/>
        </w:rPr>
        <w:t>, C-298/15, ECLI:EU:C:2017:266.</w:t>
      </w:r>
    </w:p>
  </w:footnote>
  <w:footnote w:id="16">
    <w:p w14:paraId="3AE54429" w14:textId="69AE63AB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Zob. np. „</w:t>
      </w:r>
      <w:proofErr w:type="spellStart"/>
      <w:r w:rsidRPr="00E023B1">
        <w:rPr>
          <w:sz w:val="24"/>
          <w:lang w:val="pl-PL"/>
        </w:rPr>
        <w:t>Nationaler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Aktionsplan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gegen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Arbeitsausbeutung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und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Zwangsarbeit</w:t>
      </w:r>
      <w:proofErr w:type="spellEnd"/>
      <w:r w:rsidRPr="00E023B1">
        <w:rPr>
          <w:sz w:val="24"/>
          <w:lang w:val="pl-PL"/>
        </w:rPr>
        <w:t xml:space="preserve">” (2025) niemieckiego Federalnego Ministerstwa Pracy i Spraw Społecznych; „Piano </w:t>
      </w:r>
      <w:proofErr w:type="spellStart"/>
      <w:r w:rsidRPr="00E023B1">
        <w:rPr>
          <w:sz w:val="24"/>
          <w:lang w:val="pl-PL"/>
        </w:rPr>
        <w:t>nazionale</w:t>
      </w:r>
      <w:proofErr w:type="spellEnd"/>
      <w:r w:rsidRPr="00E023B1">
        <w:rPr>
          <w:sz w:val="24"/>
          <w:lang w:val="pl-PL"/>
        </w:rPr>
        <w:t xml:space="preserve"> per la </w:t>
      </w:r>
      <w:proofErr w:type="spellStart"/>
      <w:r w:rsidRPr="00E023B1">
        <w:rPr>
          <w:sz w:val="24"/>
          <w:lang w:val="pl-PL"/>
        </w:rPr>
        <w:t>lotta</w:t>
      </w:r>
      <w:proofErr w:type="spellEnd"/>
      <w:r w:rsidRPr="00E023B1">
        <w:rPr>
          <w:sz w:val="24"/>
          <w:lang w:val="pl-PL"/>
        </w:rPr>
        <w:t xml:space="preserve"> al </w:t>
      </w:r>
      <w:proofErr w:type="spellStart"/>
      <w:r w:rsidRPr="00E023B1">
        <w:rPr>
          <w:sz w:val="24"/>
          <w:lang w:val="pl-PL"/>
        </w:rPr>
        <w:t>lavoro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sommerso</w:t>
      </w:r>
      <w:proofErr w:type="spellEnd"/>
      <w:r w:rsidRPr="00E023B1">
        <w:rPr>
          <w:sz w:val="24"/>
          <w:lang w:val="pl-PL"/>
        </w:rPr>
        <w:t xml:space="preserve">” (2022) włoskiego Ministerstwa Pracy i Polityki Społecznej; „Plan de </w:t>
      </w:r>
      <w:proofErr w:type="spellStart"/>
      <w:r w:rsidRPr="00E023B1">
        <w:rPr>
          <w:sz w:val="24"/>
          <w:lang w:val="pl-PL"/>
        </w:rPr>
        <w:t>Acción</w:t>
      </w:r>
      <w:proofErr w:type="spellEnd"/>
      <w:r w:rsidRPr="00E023B1">
        <w:rPr>
          <w:sz w:val="24"/>
          <w:lang w:val="pl-PL"/>
        </w:rPr>
        <w:t xml:space="preserve"> contra el </w:t>
      </w:r>
      <w:proofErr w:type="spellStart"/>
      <w:r w:rsidRPr="00E023B1">
        <w:rPr>
          <w:sz w:val="24"/>
          <w:lang w:val="pl-PL"/>
        </w:rPr>
        <w:t>Trabajo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Forzoso</w:t>
      </w:r>
      <w:proofErr w:type="spellEnd"/>
      <w:r w:rsidRPr="00E023B1">
        <w:rPr>
          <w:sz w:val="24"/>
          <w:lang w:val="pl-PL"/>
        </w:rPr>
        <w:t>” (2021) hiszpańskiego Ministerstwa ds. Włączenia Społecznego, Zabezpieczenia Społecznego i Migracji; „</w:t>
      </w:r>
      <w:proofErr w:type="spellStart"/>
      <w:r w:rsidRPr="00E023B1">
        <w:rPr>
          <w:sz w:val="24"/>
          <w:lang w:val="pl-PL"/>
        </w:rPr>
        <w:t>Nationell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strategi</w:t>
      </w:r>
      <w:proofErr w:type="spellEnd"/>
      <w:r w:rsidRPr="00E023B1">
        <w:rPr>
          <w:sz w:val="24"/>
          <w:lang w:val="pl-PL"/>
        </w:rPr>
        <w:t xml:space="preserve"> mot </w:t>
      </w:r>
      <w:proofErr w:type="spellStart"/>
      <w:r w:rsidRPr="00E023B1">
        <w:rPr>
          <w:sz w:val="24"/>
          <w:lang w:val="pl-PL"/>
        </w:rPr>
        <w:t>arbetslivskriminalitet</w:t>
      </w:r>
      <w:proofErr w:type="spellEnd"/>
      <w:r w:rsidRPr="00E023B1">
        <w:rPr>
          <w:sz w:val="24"/>
          <w:lang w:val="pl-PL"/>
        </w:rPr>
        <w:t>” (2022) rządu szwedzkiego, a także „</w:t>
      </w:r>
      <w:proofErr w:type="spellStart"/>
      <w:r w:rsidRPr="00E023B1">
        <w:rPr>
          <w:sz w:val="24"/>
          <w:lang w:val="pl-PL"/>
        </w:rPr>
        <w:t>Strategi</w:t>
      </w:r>
      <w:proofErr w:type="spellEnd"/>
      <w:r w:rsidRPr="00E023B1">
        <w:rPr>
          <w:sz w:val="24"/>
          <w:lang w:val="pl-PL"/>
        </w:rPr>
        <w:t xml:space="preserve"> mot </w:t>
      </w:r>
      <w:proofErr w:type="spellStart"/>
      <w:r w:rsidRPr="00E023B1">
        <w:rPr>
          <w:sz w:val="24"/>
          <w:lang w:val="pl-PL"/>
        </w:rPr>
        <w:t>arbeidslivskriminalitet</w:t>
      </w:r>
      <w:proofErr w:type="spellEnd"/>
      <w:r w:rsidRPr="00E023B1">
        <w:rPr>
          <w:sz w:val="24"/>
          <w:lang w:val="pl-PL"/>
        </w:rPr>
        <w:t>” (2021) rządu norweskiego.</w:t>
      </w:r>
    </w:p>
  </w:footnote>
  <w:footnote w:id="17">
    <w:p w14:paraId="0874A34E" w14:textId="4723DC82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Komisja Europejska, Czwarte sprawozdanie z postępów w zakresie zapobiegania handlowi ludźmi, (</w:t>
      </w:r>
      <w:proofErr w:type="gramStart"/>
      <w:r w:rsidRPr="00E023B1">
        <w:rPr>
          <w:sz w:val="24"/>
          <w:lang w:val="pl-PL"/>
        </w:rPr>
        <w:t>COM(</w:t>
      </w:r>
      <w:proofErr w:type="gramEnd"/>
      <w:r w:rsidRPr="00E023B1">
        <w:rPr>
          <w:sz w:val="24"/>
          <w:lang w:val="pl-PL"/>
        </w:rPr>
        <w:t>2022)0736); Komisja Europejska, Piąte sprawozdanie z postępów w zakresie zapobiegania handlowi ludźmi, (COM(2025)0008).</w:t>
      </w:r>
    </w:p>
  </w:footnote>
  <w:footnote w:id="18">
    <w:p w14:paraId="7DA9999C" w14:textId="3CC3468B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Sprawozdanie Europejskiego Urzędu ds. Pracy „</w:t>
      </w:r>
      <w:proofErr w:type="spellStart"/>
      <w:r w:rsidRPr="00E023B1">
        <w:rPr>
          <w:sz w:val="24"/>
          <w:lang w:val="pl-PL"/>
        </w:rPr>
        <w:t>Posting</w:t>
      </w:r>
      <w:proofErr w:type="spellEnd"/>
      <w:r w:rsidRPr="00E023B1">
        <w:rPr>
          <w:sz w:val="24"/>
          <w:lang w:val="pl-PL"/>
        </w:rPr>
        <w:t xml:space="preserve"> of third-country </w:t>
      </w:r>
      <w:proofErr w:type="spellStart"/>
      <w:r w:rsidRPr="00E023B1">
        <w:rPr>
          <w:sz w:val="24"/>
          <w:lang w:val="pl-PL"/>
        </w:rPr>
        <w:t>nationals</w:t>
      </w:r>
      <w:proofErr w:type="spellEnd"/>
      <w:r w:rsidRPr="00E023B1">
        <w:rPr>
          <w:sz w:val="24"/>
          <w:lang w:val="pl-PL"/>
        </w:rPr>
        <w:t>:</w:t>
      </w:r>
      <w:r w:rsidRPr="00E023B1">
        <w:rPr>
          <w:i/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contracting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chains</w:t>
      </w:r>
      <w:proofErr w:type="spellEnd"/>
      <w:r w:rsidRPr="00E023B1">
        <w:rPr>
          <w:sz w:val="24"/>
          <w:lang w:val="pl-PL"/>
        </w:rPr>
        <w:t xml:space="preserve">, </w:t>
      </w:r>
      <w:proofErr w:type="spellStart"/>
      <w:r w:rsidRPr="00E023B1">
        <w:rPr>
          <w:sz w:val="24"/>
          <w:lang w:val="pl-PL"/>
        </w:rPr>
        <w:t>recruitment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patterns</w:t>
      </w:r>
      <w:proofErr w:type="spellEnd"/>
      <w:r w:rsidRPr="00E023B1">
        <w:rPr>
          <w:sz w:val="24"/>
          <w:lang w:val="pl-PL"/>
        </w:rPr>
        <w:t xml:space="preserve">, and </w:t>
      </w:r>
      <w:proofErr w:type="spellStart"/>
      <w:r w:rsidRPr="00E023B1">
        <w:rPr>
          <w:sz w:val="24"/>
          <w:lang w:val="pl-PL"/>
        </w:rPr>
        <w:t>enforcement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issues</w:t>
      </w:r>
      <w:proofErr w:type="spellEnd"/>
      <w:r w:rsidRPr="00E023B1">
        <w:rPr>
          <w:sz w:val="24"/>
          <w:lang w:val="pl-PL"/>
        </w:rPr>
        <w:t xml:space="preserve"> [Delegowanie obywateli państw trzecich: łańcuchy wykonawstwa, modele rekrutacji i problemy z egzekwowaniem przepisów], 2025. Europejski Urząd ds. Pracy, „</w:t>
      </w:r>
      <w:proofErr w:type="spellStart"/>
      <w:r w:rsidRPr="00E023B1">
        <w:rPr>
          <w:sz w:val="24"/>
          <w:lang w:val="pl-PL"/>
        </w:rPr>
        <w:t>Counteracting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undeclared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work</w:t>
      </w:r>
      <w:proofErr w:type="spellEnd"/>
      <w:r w:rsidRPr="00E023B1">
        <w:rPr>
          <w:sz w:val="24"/>
          <w:lang w:val="pl-PL"/>
        </w:rPr>
        <w:t xml:space="preserve"> and </w:t>
      </w:r>
      <w:proofErr w:type="spellStart"/>
      <w:r w:rsidRPr="00E023B1">
        <w:rPr>
          <w:sz w:val="24"/>
          <w:lang w:val="pl-PL"/>
        </w:rPr>
        <w:t>labour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exploitation</w:t>
      </w:r>
      <w:proofErr w:type="spellEnd"/>
      <w:r w:rsidRPr="00E023B1">
        <w:rPr>
          <w:sz w:val="24"/>
          <w:lang w:val="pl-PL"/>
        </w:rPr>
        <w:t xml:space="preserve"> of third-country </w:t>
      </w:r>
      <w:proofErr w:type="spellStart"/>
      <w:r w:rsidRPr="00E023B1">
        <w:rPr>
          <w:sz w:val="24"/>
          <w:lang w:val="pl-PL"/>
        </w:rPr>
        <w:t>workers</w:t>
      </w:r>
      <w:proofErr w:type="spellEnd"/>
      <w:r w:rsidRPr="00E023B1">
        <w:rPr>
          <w:sz w:val="24"/>
          <w:lang w:val="pl-PL"/>
        </w:rPr>
        <w:t>” [Przeciwdziałanie pracy nierejestrowanej i wyzyskowi pracowników z państw trzecich] (2021); Europejski Urząd ds. Pracy, „</w:t>
      </w:r>
      <w:proofErr w:type="spellStart"/>
      <w:r w:rsidRPr="00E023B1">
        <w:rPr>
          <w:sz w:val="24"/>
          <w:lang w:val="pl-PL"/>
        </w:rPr>
        <w:t>Tackling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undeclared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work</w:t>
      </w:r>
      <w:proofErr w:type="spellEnd"/>
      <w:r w:rsidRPr="00E023B1">
        <w:rPr>
          <w:sz w:val="24"/>
          <w:lang w:val="pl-PL"/>
        </w:rPr>
        <w:t xml:space="preserve"> in </w:t>
      </w:r>
      <w:proofErr w:type="spellStart"/>
      <w:r w:rsidRPr="00E023B1">
        <w:rPr>
          <w:sz w:val="24"/>
          <w:lang w:val="pl-PL"/>
        </w:rPr>
        <w:t>supply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chains</w:t>
      </w:r>
      <w:proofErr w:type="spellEnd"/>
      <w:r w:rsidRPr="00E023B1">
        <w:rPr>
          <w:sz w:val="24"/>
          <w:lang w:val="pl-PL"/>
        </w:rPr>
        <w:t xml:space="preserve"> – Learning Resource Paper” [Zwalczanie pracy nierejestrowanej w łańcuchach dostaw – dokument zawierający zasoby edukacyjne] (2022); Sprawozdanie Komisji dotyczące stosowania i wykonywania dyrektywy Parlamentu Europejskiego i Rady (UE) 2018/957 z 28 czerwca 2018 r. zmieniającej dyrektywę 96/71/WE dotyczącą delegowania pracowników w ramach świadczenia usług (COM(2024)0320).</w:t>
      </w:r>
    </w:p>
  </w:footnote>
  <w:footnote w:id="19">
    <w:p w14:paraId="6E76F14D" w14:textId="10DEF8C5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Komunikat Komisji pt. „Wytyczne w sprawie stosowania art. 101 Traktatu o funkcjonowaniu Unii Europejskiej do horyzontalnych porozumień kooperacyjnych” (Dz.U. C 259 z 21.7.2023, s. 1).</w:t>
      </w:r>
    </w:p>
  </w:footnote>
  <w:footnote w:id="20">
    <w:p w14:paraId="64140C15" w14:textId="2348B60E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Komisja Europejska: Dyrekcja Generalna ds. Zatrudnienia, Spraw Społecznych i Włączenia Społecznego, EFTHEIA, HIVA-KU Leuven, IRIS, Milieu i WIIW, </w:t>
      </w:r>
      <w:hyperlink r:id="rId14" w:history="1">
        <w:r w:rsidRPr="00E023B1">
          <w:rPr>
            <w:rStyle w:val="Hyperlink"/>
            <w:i/>
            <w:sz w:val="24"/>
            <w:lang w:val="pl-PL"/>
          </w:rPr>
          <w:t>„</w:t>
        </w:r>
        <w:proofErr w:type="spellStart"/>
        <w:r w:rsidRPr="00E023B1">
          <w:rPr>
            <w:rStyle w:val="Hyperlink"/>
            <w:i/>
            <w:sz w:val="24"/>
            <w:lang w:val="pl-PL"/>
          </w:rPr>
          <w:t>Posting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of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workers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– Collection of data from the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prior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declaration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tools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– Reference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year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2022” [Delegowanie pracowników – gromadzenie danych z narzędzi wcześniejszego zgłaszania danych – rok referencyjny 2022]</w:t>
        </w:r>
      </w:hyperlink>
      <w:r w:rsidRPr="00E023B1">
        <w:rPr>
          <w:sz w:val="24"/>
          <w:lang w:val="pl-PL"/>
        </w:rPr>
        <w:t>, Urząd Publikacji Unii Europejskiej, 2024.</w:t>
      </w:r>
    </w:p>
  </w:footnote>
  <w:footnote w:id="21">
    <w:p w14:paraId="70207E3B" w14:textId="5321CFBA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Sprawozdanie Europejskiego Urzędu ds. Pracy na temat łańcuchów umów i modeli rekrutacji delegowanych obywateli państw trzecich, marzec 2025 r., oraz sprawozdanie Europejskiego Urzędu ds. Pracy na temat praktyk, możliwości i wyzwań w zakresie współpracy między państwami członkowskimi – w szczególności w odniesieniu do delegowania obywateli państw trzecich, luty 2023 r.</w:t>
      </w:r>
    </w:p>
  </w:footnote>
  <w:footnote w:id="22">
    <w:p w14:paraId="2997A043" w14:textId="323A989E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Sprawozdanie Europejskiego Urzędu ds. Pracy „</w:t>
      </w:r>
      <w:proofErr w:type="spellStart"/>
      <w:r w:rsidRPr="00E023B1">
        <w:rPr>
          <w:sz w:val="24"/>
          <w:lang w:val="pl-PL"/>
        </w:rPr>
        <w:t>Posting</w:t>
      </w:r>
      <w:proofErr w:type="spellEnd"/>
      <w:r w:rsidRPr="00E023B1">
        <w:rPr>
          <w:sz w:val="24"/>
          <w:lang w:val="pl-PL"/>
        </w:rPr>
        <w:t xml:space="preserve"> of third-country </w:t>
      </w:r>
      <w:proofErr w:type="spellStart"/>
      <w:r w:rsidRPr="00E023B1">
        <w:rPr>
          <w:sz w:val="24"/>
          <w:lang w:val="pl-PL"/>
        </w:rPr>
        <w:t>nationals</w:t>
      </w:r>
      <w:proofErr w:type="spellEnd"/>
      <w:r w:rsidRPr="00E023B1">
        <w:rPr>
          <w:sz w:val="24"/>
          <w:lang w:val="pl-PL"/>
        </w:rPr>
        <w:t xml:space="preserve">: </w:t>
      </w:r>
      <w:proofErr w:type="spellStart"/>
      <w:r w:rsidRPr="00E023B1">
        <w:rPr>
          <w:sz w:val="24"/>
          <w:lang w:val="pl-PL"/>
        </w:rPr>
        <w:t>contracting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chains</w:t>
      </w:r>
      <w:proofErr w:type="spellEnd"/>
      <w:r w:rsidRPr="00E023B1">
        <w:rPr>
          <w:sz w:val="24"/>
          <w:lang w:val="pl-PL"/>
        </w:rPr>
        <w:t xml:space="preserve">, </w:t>
      </w:r>
      <w:proofErr w:type="spellStart"/>
      <w:r w:rsidRPr="00E023B1">
        <w:rPr>
          <w:sz w:val="24"/>
          <w:lang w:val="pl-PL"/>
        </w:rPr>
        <w:t>recruitment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patterns</w:t>
      </w:r>
      <w:proofErr w:type="spellEnd"/>
      <w:r w:rsidRPr="00E023B1">
        <w:rPr>
          <w:sz w:val="24"/>
          <w:lang w:val="pl-PL"/>
        </w:rPr>
        <w:t xml:space="preserve">, and </w:t>
      </w:r>
      <w:proofErr w:type="spellStart"/>
      <w:r w:rsidRPr="00E023B1">
        <w:rPr>
          <w:sz w:val="24"/>
          <w:lang w:val="pl-PL"/>
        </w:rPr>
        <w:t>enforcement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issues</w:t>
      </w:r>
      <w:proofErr w:type="spellEnd"/>
      <w:r w:rsidRPr="00E023B1">
        <w:rPr>
          <w:sz w:val="24"/>
          <w:lang w:val="pl-PL"/>
        </w:rPr>
        <w:t xml:space="preserve"> [Delegowanie obywateli państw trzecich: łańcuchy wykonawstwa, modele rekrutacji i kwestie związane z egzekwowaniem przepisów], 2025.</w:t>
      </w:r>
    </w:p>
  </w:footnote>
  <w:footnote w:id="23">
    <w:p w14:paraId="4C83E2C5" w14:textId="11D03A41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Komisja Europejska: Dyrekcja Generalna ds. Zatrudnienia, Spraw Społecznych i Włączenia Społecznego, ECORYS, HIVA-KU Leuven, Spark </w:t>
      </w:r>
      <w:proofErr w:type="spellStart"/>
      <w:r w:rsidRPr="00E023B1">
        <w:rPr>
          <w:sz w:val="24"/>
          <w:lang w:val="pl-PL"/>
        </w:rPr>
        <w:t>Legal</w:t>
      </w:r>
      <w:proofErr w:type="spellEnd"/>
      <w:r w:rsidRPr="00E023B1">
        <w:rPr>
          <w:sz w:val="24"/>
          <w:lang w:val="pl-PL"/>
        </w:rPr>
        <w:t xml:space="preserve"> and Policy Consulting i </w:t>
      </w:r>
      <w:proofErr w:type="spellStart"/>
      <w:r w:rsidRPr="00E023B1">
        <w:rPr>
          <w:sz w:val="24"/>
          <w:lang w:val="pl-PL"/>
        </w:rPr>
        <w:t>wmp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consult</w:t>
      </w:r>
      <w:proofErr w:type="spellEnd"/>
      <w:r w:rsidRPr="00E023B1">
        <w:rPr>
          <w:sz w:val="24"/>
          <w:lang w:val="pl-PL"/>
        </w:rPr>
        <w:t>, „</w:t>
      </w:r>
      <w:proofErr w:type="spellStart"/>
      <w:r w:rsidRPr="00E023B1">
        <w:fldChar w:fldCharType="begin"/>
      </w:r>
      <w:r w:rsidRPr="00E023B1">
        <w:rPr>
          <w:sz w:val="24"/>
          <w:lang w:val="pl-PL"/>
        </w:rPr>
        <w:instrText>HYPERLINK "https://op.europa.eu/en/publication-detail/-/publication/d06f8af4-02bd-11ef-a251-01aa75ed71a1/language-en"</w:instrText>
      </w:r>
      <w:r w:rsidRPr="00E023B1">
        <w:fldChar w:fldCharType="separate"/>
      </w:r>
      <w:r w:rsidRPr="00E023B1">
        <w:rPr>
          <w:rStyle w:val="Hyperlink"/>
          <w:i/>
          <w:sz w:val="24"/>
          <w:lang w:val="pl-PL"/>
        </w:rPr>
        <w:t>Study</w:t>
      </w:r>
      <w:proofErr w:type="spellEnd"/>
      <w:r w:rsidRPr="00E023B1">
        <w:rPr>
          <w:rStyle w:val="Hyperlink"/>
          <w:i/>
          <w:sz w:val="24"/>
          <w:lang w:val="pl-PL"/>
        </w:rPr>
        <w:t xml:space="preserve"> </w:t>
      </w:r>
      <w:proofErr w:type="spellStart"/>
      <w:r w:rsidRPr="00E023B1">
        <w:rPr>
          <w:rStyle w:val="Hyperlink"/>
          <w:i/>
          <w:sz w:val="24"/>
          <w:lang w:val="pl-PL"/>
        </w:rPr>
        <w:t>supporting</w:t>
      </w:r>
      <w:proofErr w:type="spellEnd"/>
      <w:r w:rsidRPr="00E023B1">
        <w:rPr>
          <w:rStyle w:val="Hyperlink"/>
          <w:i/>
          <w:sz w:val="24"/>
          <w:lang w:val="pl-PL"/>
        </w:rPr>
        <w:t xml:space="preserve"> the Monitoring of the </w:t>
      </w:r>
      <w:proofErr w:type="spellStart"/>
      <w:r w:rsidRPr="00E023B1">
        <w:rPr>
          <w:rStyle w:val="Hyperlink"/>
          <w:i/>
          <w:sz w:val="24"/>
          <w:lang w:val="pl-PL"/>
        </w:rPr>
        <w:t>Deleging</w:t>
      </w:r>
      <w:proofErr w:type="spellEnd"/>
      <w:r w:rsidRPr="00E023B1">
        <w:rPr>
          <w:rStyle w:val="Hyperlink"/>
          <w:i/>
          <w:sz w:val="24"/>
          <w:lang w:val="pl-PL"/>
        </w:rPr>
        <w:t xml:space="preserve"> of </w:t>
      </w:r>
      <w:proofErr w:type="spellStart"/>
      <w:r w:rsidRPr="00E023B1">
        <w:rPr>
          <w:rStyle w:val="Hyperlink"/>
          <w:i/>
          <w:sz w:val="24"/>
          <w:lang w:val="pl-PL"/>
        </w:rPr>
        <w:t>Workers</w:t>
      </w:r>
      <w:proofErr w:type="spellEnd"/>
      <w:r w:rsidRPr="00E023B1">
        <w:rPr>
          <w:rStyle w:val="Hyperlink"/>
          <w:i/>
          <w:sz w:val="24"/>
          <w:lang w:val="pl-PL"/>
        </w:rPr>
        <w:t xml:space="preserve"> Directive 2018/957</w:t>
      </w:r>
      <w:r w:rsidR="00515F3D">
        <w:rPr>
          <w:rStyle w:val="Hyperlink"/>
          <w:i/>
          <w:sz w:val="24"/>
          <w:lang w:val="pl-PL"/>
        </w:rPr>
        <w:t>/EU</w:t>
      </w:r>
      <w:r w:rsidRPr="00E023B1">
        <w:rPr>
          <w:rStyle w:val="Hyperlink"/>
          <w:i/>
          <w:sz w:val="24"/>
          <w:lang w:val="pl-PL"/>
        </w:rPr>
        <w:t xml:space="preserve"> and of the </w:t>
      </w:r>
      <w:proofErr w:type="spellStart"/>
      <w:r w:rsidRPr="00E023B1">
        <w:rPr>
          <w:rStyle w:val="Hyperlink"/>
          <w:i/>
          <w:sz w:val="24"/>
          <w:lang w:val="pl-PL"/>
        </w:rPr>
        <w:t>Enforcement</w:t>
      </w:r>
      <w:proofErr w:type="spellEnd"/>
      <w:r w:rsidRPr="00E023B1">
        <w:rPr>
          <w:rStyle w:val="Hyperlink"/>
          <w:i/>
          <w:sz w:val="24"/>
          <w:lang w:val="pl-PL"/>
        </w:rPr>
        <w:t xml:space="preserve"> Directive 2014/67/EU – The </w:t>
      </w:r>
      <w:proofErr w:type="spellStart"/>
      <w:r w:rsidRPr="00E023B1">
        <w:rPr>
          <w:rStyle w:val="Hyperlink"/>
          <w:i/>
          <w:sz w:val="24"/>
          <w:lang w:val="pl-PL"/>
        </w:rPr>
        <w:t>situation</w:t>
      </w:r>
      <w:proofErr w:type="spellEnd"/>
      <w:r w:rsidRPr="00E023B1">
        <w:rPr>
          <w:rStyle w:val="Hyperlink"/>
          <w:i/>
          <w:sz w:val="24"/>
          <w:lang w:val="pl-PL"/>
        </w:rPr>
        <w:t xml:space="preserve"> of </w:t>
      </w:r>
      <w:proofErr w:type="spellStart"/>
      <w:r w:rsidRPr="00E023B1">
        <w:rPr>
          <w:rStyle w:val="Hyperlink"/>
          <w:i/>
          <w:sz w:val="24"/>
          <w:lang w:val="pl-PL"/>
        </w:rPr>
        <w:t>temporary</w:t>
      </w:r>
      <w:proofErr w:type="spellEnd"/>
      <w:r w:rsidRPr="00E023B1">
        <w:rPr>
          <w:rStyle w:val="Hyperlink"/>
          <w:i/>
          <w:sz w:val="24"/>
          <w:lang w:val="pl-PL"/>
        </w:rPr>
        <w:t xml:space="preserve"> cross-</w:t>
      </w:r>
      <w:proofErr w:type="spellStart"/>
      <w:r w:rsidRPr="00E023B1">
        <w:rPr>
          <w:rStyle w:val="Hyperlink"/>
          <w:i/>
          <w:sz w:val="24"/>
          <w:lang w:val="pl-PL"/>
        </w:rPr>
        <w:t>border</w:t>
      </w:r>
      <w:proofErr w:type="spellEnd"/>
      <w:r w:rsidRPr="00E023B1">
        <w:rPr>
          <w:rStyle w:val="Hyperlink"/>
          <w:i/>
          <w:sz w:val="24"/>
          <w:lang w:val="pl-PL"/>
        </w:rPr>
        <w:t xml:space="preserve"> mobile </w:t>
      </w:r>
      <w:proofErr w:type="spellStart"/>
      <w:r w:rsidRPr="00E023B1">
        <w:rPr>
          <w:rStyle w:val="Hyperlink"/>
          <w:i/>
          <w:sz w:val="24"/>
          <w:lang w:val="pl-PL"/>
        </w:rPr>
        <w:t>workers</w:t>
      </w:r>
      <w:proofErr w:type="spellEnd"/>
      <w:r w:rsidRPr="00E023B1">
        <w:rPr>
          <w:rStyle w:val="Hyperlink"/>
          <w:i/>
          <w:sz w:val="24"/>
          <w:lang w:val="pl-PL"/>
        </w:rPr>
        <w:t xml:space="preserve"> and </w:t>
      </w:r>
      <w:proofErr w:type="spellStart"/>
      <w:r w:rsidRPr="00E023B1">
        <w:rPr>
          <w:rStyle w:val="Hyperlink"/>
          <w:i/>
          <w:sz w:val="24"/>
          <w:lang w:val="pl-PL"/>
        </w:rPr>
        <w:t>workers</w:t>
      </w:r>
      <w:proofErr w:type="spellEnd"/>
      <w:r w:rsidRPr="00E023B1">
        <w:rPr>
          <w:rStyle w:val="Hyperlink"/>
          <w:i/>
          <w:sz w:val="24"/>
          <w:lang w:val="pl-PL"/>
        </w:rPr>
        <w:t xml:space="preserve"> in </w:t>
      </w:r>
      <w:proofErr w:type="spellStart"/>
      <w:r w:rsidRPr="00E023B1">
        <w:rPr>
          <w:rStyle w:val="Hyperlink"/>
          <w:i/>
          <w:sz w:val="24"/>
          <w:lang w:val="pl-PL"/>
        </w:rPr>
        <w:t>subcontracting</w:t>
      </w:r>
      <w:proofErr w:type="spellEnd"/>
      <w:r w:rsidRPr="00E023B1">
        <w:rPr>
          <w:rStyle w:val="Hyperlink"/>
          <w:i/>
          <w:sz w:val="24"/>
          <w:lang w:val="pl-PL"/>
        </w:rPr>
        <w:t xml:space="preserve"> </w:t>
      </w:r>
      <w:proofErr w:type="spellStart"/>
      <w:r w:rsidRPr="00E023B1">
        <w:rPr>
          <w:rStyle w:val="Hyperlink"/>
          <w:i/>
          <w:sz w:val="24"/>
          <w:lang w:val="pl-PL"/>
        </w:rPr>
        <w:t>chains</w:t>
      </w:r>
      <w:proofErr w:type="spellEnd"/>
      <w:r w:rsidRPr="00E023B1">
        <w:rPr>
          <w:rStyle w:val="Hyperlink"/>
          <w:i/>
          <w:sz w:val="24"/>
          <w:lang w:val="pl-PL"/>
        </w:rPr>
        <w:t>” [Badanie wspierające monitorowanie dyrektywy o delegowaniu pracowników (UE) 2018/957 oraz dyrektywy wykonawczej 2014/67/UE – Sytuacja tymczasowych pracowników transgranicznych i pracowników w łańcuchach podwykonawstwa]</w:t>
      </w:r>
      <w:r w:rsidRPr="00E023B1">
        <w:rPr>
          <w:rStyle w:val="Hyperlink"/>
          <w:i/>
          <w:sz w:val="24"/>
          <w:lang w:val="pl-PL"/>
        </w:rPr>
        <w:fldChar w:fldCharType="end"/>
      </w:r>
      <w:r w:rsidRPr="00E023B1">
        <w:rPr>
          <w:sz w:val="24"/>
          <w:lang w:val="pl-PL"/>
        </w:rPr>
        <w:t>, Urząd Publikacji Unii Europejskiej, 2024.</w:t>
      </w:r>
    </w:p>
  </w:footnote>
  <w:footnote w:id="24">
    <w:p w14:paraId="7A9F72A9" w14:textId="700ECFCA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Sprawozdanie Komisji dotyczące stosowania i wykonywania dyrektywy Parlamentu Europejskiego i Rady (UE) 2018/957 z 28 czerwca 2018 r. zmieniającej dyrektywę 96/71/WE dotyczącą delegowania pracowników w ramach świadczenia usług (COM(2024)0320).</w:t>
      </w:r>
    </w:p>
  </w:footnote>
  <w:footnote w:id="25">
    <w:p w14:paraId="51FEA817" w14:textId="3FE6572D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Sprawozdanie Komisji dotyczące stosowania i wykonywania dyrektywy Parlamentu Europejskiego i Rady (UE) 2018/957 z 28 czerwca 2018 r. zmieniającej dyrektywę 96/71/WE dotyczącą delegowania pracowników w ramach świadczenia usług (COM(2024)0320).</w:t>
      </w:r>
    </w:p>
  </w:footnote>
  <w:footnote w:id="26">
    <w:p w14:paraId="31836D5F" w14:textId="7B92CFB9" w:rsidR="006E7371" w:rsidRPr="00E023B1" w:rsidRDefault="006E7371" w:rsidP="00E023B1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Na przykład Szwecja (https://www.regeringen.se/contentassets/f6f461b310984b598ee4f7a2d83350d0/nationell-strategi-mot-arbetslivskriminalitet.pdf), Finlandia (https://julkaisut.valtioneuvosto.fi/bitstream/handle/10024/165395/TEM_2024_5.pdf), Włochy, </w:t>
      </w:r>
    </w:p>
    <w:p w14:paraId="1A07A863" w14:textId="4A37E837" w:rsidR="006E7371" w:rsidRPr="00E023B1" w:rsidRDefault="00E023B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sz w:val="24"/>
          <w:lang w:val="pl-PL"/>
        </w:rPr>
        <w:t xml:space="preserve"> </w:t>
      </w:r>
      <w:r w:rsidRPr="00E023B1">
        <w:rPr>
          <w:sz w:val="24"/>
          <w:lang w:val="pl-PL"/>
        </w:rPr>
        <w:tab/>
      </w:r>
      <w:r w:rsidR="006E7371" w:rsidRPr="00E023B1">
        <w:rPr>
          <w:sz w:val="24"/>
          <w:lang w:val="pl-PL"/>
        </w:rPr>
        <w:t>Niemcy (</w:t>
      </w:r>
      <w:hyperlink r:id="rId15" w:history="1">
        <w:r w:rsidR="006E7371" w:rsidRPr="00E023B1">
          <w:rPr>
            <w:rStyle w:val="Hyperlink"/>
            <w:sz w:val="24"/>
            <w:lang w:val="pl-PL"/>
          </w:rPr>
          <w:t>https://www.bmas.de/DE/Service/Presse/Meldungen/2025/nationaler-aktionsplan-gegen-arbeitsausbeutung-und-zwangsarbeit-beschlossen.html</w:t>
        </w:r>
      </w:hyperlink>
      <w:r w:rsidR="006E7371" w:rsidRPr="00E023B1">
        <w:rPr>
          <w:sz w:val="24"/>
          <w:lang w:val="pl-PL"/>
        </w:rPr>
        <w:t>), Hiszpania i Norwegia (https://www.regjeringen.no/no/dokumenter/strategi-mot-arbeidslivskriminalitet-2021/id2831867/).</w:t>
      </w:r>
    </w:p>
  </w:footnote>
  <w:footnote w:id="27">
    <w:p w14:paraId="32D38D65" w14:textId="38A8FEBC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Rozporządzenie Parlamentu Europejskiego i Rady (WE) nr 1008/2008 z dnia 24 września 2008 r. w sprawie wspólnych zasad wykonywania przewozów lotniczych na terenie Wspólnoty (Dz.U. L 293 z 31.10.2008, s. 3, ELI: </w:t>
      </w:r>
      <w:hyperlink r:id="rId16" w:tooltip="Dostęp do dokumentu poprzez identyfikator URI w systemie ELI." w:history="1">
        <w:r w:rsidRPr="00E023B1">
          <w:rPr>
            <w:rStyle w:val="Hyperlink"/>
            <w:sz w:val="24"/>
            <w:lang w:val="pl-PL"/>
          </w:rPr>
          <w:t>http://data.europa.eu/eli/reg/2008/1008/oj</w:t>
        </w:r>
      </w:hyperlink>
      <w:r w:rsidRPr="00E023B1">
        <w:rPr>
          <w:sz w:val="24"/>
          <w:lang w:val="pl-PL"/>
        </w:rPr>
        <w:t>).</w:t>
      </w:r>
    </w:p>
  </w:footnote>
  <w:footnote w:id="28">
    <w:p w14:paraId="78E434B4" w14:textId="530FA101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Komisja Europejska: Agencja Wykonawcza ds. Małych i Średnich Przedsiębiorstw, </w:t>
      </w:r>
      <w:hyperlink r:id="rId17" w:history="1">
        <w:r w:rsidRPr="00E023B1">
          <w:rPr>
            <w:rStyle w:val="Hyperlink"/>
            <w:i/>
            <w:sz w:val="24"/>
            <w:lang w:val="pl-PL"/>
          </w:rPr>
          <w:t>„</w:t>
        </w:r>
        <w:proofErr w:type="spellStart"/>
        <w:r w:rsidRPr="00E023B1">
          <w:rPr>
            <w:rStyle w:val="Hyperlink"/>
            <w:i/>
            <w:sz w:val="24"/>
            <w:lang w:val="pl-PL"/>
          </w:rPr>
          <w:t>Making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social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responsible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public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procurement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work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– 71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good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practice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cases</w:t>
        </w:r>
        <w:proofErr w:type="spellEnd"/>
        <w:r w:rsidRPr="00E023B1">
          <w:rPr>
            <w:rStyle w:val="Hyperlink"/>
            <w:i/>
            <w:sz w:val="24"/>
            <w:lang w:val="pl-PL"/>
          </w:rPr>
          <w:t>” [Skuteczne funkcjonowanie społecznie odpowiedzialnych zamówień publicznych – 71 przykładów dobrych praktyk]</w:t>
        </w:r>
      </w:hyperlink>
      <w:r w:rsidRPr="00E023B1">
        <w:rPr>
          <w:sz w:val="24"/>
          <w:lang w:val="pl-PL"/>
        </w:rPr>
        <w:t>, Urząd Publikacji, 2020.</w:t>
      </w:r>
    </w:p>
  </w:footnote>
  <w:footnote w:id="29">
    <w:p w14:paraId="65C6D580" w14:textId="4003A221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Rezolucja Parlamentu Europejskiego z dnia 9 września 2025 r. w sprawie zamówień publicznych.</w:t>
      </w:r>
    </w:p>
  </w:footnote>
  <w:footnote w:id="30">
    <w:p w14:paraId="17F96FEF" w14:textId="61AA252C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Rezolucja Parlamentu Europejskiego z dnia 9 września 2025 r. w sprawie zamówień publicznych.</w:t>
      </w:r>
    </w:p>
  </w:footnote>
  <w:footnote w:id="31">
    <w:p w14:paraId="5747F4E5" w14:textId="3DADAA83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Badanie Parlamentu Europejskiego „</w:t>
      </w:r>
      <w:proofErr w:type="spellStart"/>
      <w:r w:rsidRPr="00E023B1">
        <w:rPr>
          <w:sz w:val="24"/>
          <w:lang w:val="pl-PL"/>
        </w:rPr>
        <w:t>Precarious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Employment</w:t>
      </w:r>
      <w:proofErr w:type="spellEnd"/>
      <w:r w:rsidRPr="00E023B1">
        <w:rPr>
          <w:sz w:val="24"/>
          <w:lang w:val="pl-PL"/>
        </w:rPr>
        <w:t xml:space="preserve"> in Europe: Volume 1: </w:t>
      </w:r>
      <w:proofErr w:type="spellStart"/>
      <w:r w:rsidRPr="00E023B1">
        <w:rPr>
          <w:sz w:val="24"/>
          <w:lang w:val="pl-PL"/>
        </w:rPr>
        <w:t>Patterns</w:t>
      </w:r>
      <w:proofErr w:type="spellEnd"/>
      <w:r w:rsidRPr="00E023B1">
        <w:rPr>
          <w:sz w:val="24"/>
          <w:lang w:val="pl-PL"/>
        </w:rPr>
        <w:t xml:space="preserve">, </w:t>
      </w:r>
      <w:proofErr w:type="spellStart"/>
      <w:r w:rsidRPr="00E023B1">
        <w:rPr>
          <w:sz w:val="24"/>
          <w:lang w:val="pl-PL"/>
        </w:rPr>
        <w:t>Trends</w:t>
      </w:r>
      <w:proofErr w:type="spellEnd"/>
      <w:r w:rsidRPr="00E023B1">
        <w:rPr>
          <w:sz w:val="24"/>
          <w:lang w:val="pl-PL"/>
        </w:rPr>
        <w:t xml:space="preserve"> and Policy </w:t>
      </w:r>
      <w:proofErr w:type="spellStart"/>
      <w:r w:rsidRPr="00E023B1">
        <w:rPr>
          <w:sz w:val="24"/>
          <w:lang w:val="pl-PL"/>
        </w:rPr>
        <w:t>Strategies</w:t>
      </w:r>
      <w:proofErr w:type="spellEnd"/>
      <w:r w:rsidRPr="00E023B1">
        <w:rPr>
          <w:sz w:val="24"/>
          <w:lang w:val="pl-PL"/>
        </w:rPr>
        <w:t xml:space="preserve">” [Niepewność zatrudnienia w Europie: Część 1: schematy, tendencje i strategie polityczne], 2016; </w:t>
      </w:r>
      <w:proofErr w:type="spellStart"/>
      <w:r w:rsidRPr="00E023B1">
        <w:rPr>
          <w:sz w:val="24"/>
          <w:lang w:val="pl-PL"/>
        </w:rPr>
        <w:t>Eurofound</w:t>
      </w:r>
      <w:proofErr w:type="spellEnd"/>
      <w:r w:rsidRPr="00E023B1">
        <w:rPr>
          <w:sz w:val="24"/>
          <w:lang w:val="pl-PL"/>
        </w:rPr>
        <w:t>, „</w:t>
      </w:r>
      <w:proofErr w:type="spellStart"/>
      <w:r w:rsidRPr="00E023B1">
        <w:rPr>
          <w:sz w:val="24"/>
          <w:lang w:val="pl-PL"/>
        </w:rPr>
        <w:t>Key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elements</w:t>
      </w:r>
      <w:proofErr w:type="spellEnd"/>
      <w:r w:rsidRPr="00E023B1">
        <w:rPr>
          <w:sz w:val="24"/>
          <w:lang w:val="pl-PL"/>
        </w:rPr>
        <w:t xml:space="preserve"> of fair </w:t>
      </w:r>
      <w:proofErr w:type="spellStart"/>
      <w:r w:rsidRPr="00E023B1">
        <w:rPr>
          <w:sz w:val="24"/>
          <w:lang w:val="pl-PL"/>
        </w:rPr>
        <w:t>employment</w:t>
      </w:r>
      <w:proofErr w:type="spellEnd"/>
      <w:r w:rsidRPr="00E023B1">
        <w:rPr>
          <w:sz w:val="24"/>
          <w:lang w:val="pl-PL"/>
        </w:rPr>
        <w:t xml:space="preserve"> and </w:t>
      </w:r>
      <w:proofErr w:type="spellStart"/>
      <w:r w:rsidRPr="00E023B1">
        <w:rPr>
          <w:sz w:val="24"/>
          <w:lang w:val="pl-PL"/>
        </w:rPr>
        <w:t>decent</w:t>
      </w:r>
      <w:proofErr w:type="spellEnd"/>
      <w:r w:rsidRPr="00E023B1">
        <w:rPr>
          <w:sz w:val="24"/>
          <w:lang w:val="pl-PL"/>
        </w:rPr>
        <w:t xml:space="preserve"> </w:t>
      </w:r>
      <w:proofErr w:type="spellStart"/>
      <w:r w:rsidRPr="00E023B1">
        <w:rPr>
          <w:sz w:val="24"/>
          <w:lang w:val="pl-PL"/>
        </w:rPr>
        <w:t>work</w:t>
      </w:r>
      <w:proofErr w:type="spellEnd"/>
      <w:r w:rsidRPr="00E023B1">
        <w:rPr>
          <w:sz w:val="24"/>
          <w:lang w:val="pl-PL"/>
        </w:rPr>
        <w:t xml:space="preserve">” [Kluczowe elementy uczciwego zatrudnienia i godnej pracy], 2010; Komisja Europejska, Wspólne Centrum Badawcze, </w:t>
      </w:r>
      <w:hyperlink r:id="rId18" w:history="1">
        <w:r w:rsidRPr="00E023B1">
          <w:rPr>
            <w:rStyle w:val="Hyperlink"/>
            <w:i/>
            <w:sz w:val="24"/>
            <w:lang w:val="pl-PL"/>
          </w:rPr>
          <w:t xml:space="preserve">„Outsourcing,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working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conditions</w:t>
        </w:r>
        <w:proofErr w:type="spellEnd"/>
        <w:r w:rsidRPr="00E023B1">
          <w:rPr>
            <w:rStyle w:val="Hyperlink"/>
            <w:i/>
            <w:sz w:val="24"/>
            <w:lang w:val="pl-PL"/>
          </w:rPr>
          <w:t xml:space="preserve"> and </w:t>
        </w:r>
        <w:proofErr w:type="spellStart"/>
        <w:r w:rsidRPr="00E023B1">
          <w:rPr>
            <w:rStyle w:val="Hyperlink"/>
            <w:i/>
            <w:sz w:val="24"/>
            <w:lang w:val="pl-PL"/>
          </w:rPr>
          <w:t>inequality</w:t>
        </w:r>
        <w:proofErr w:type="spellEnd"/>
        <w:r w:rsidRPr="00E023B1">
          <w:rPr>
            <w:rStyle w:val="Hyperlink"/>
            <w:i/>
            <w:sz w:val="24"/>
            <w:lang w:val="pl-PL"/>
          </w:rPr>
          <w:t>”</w:t>
        </w:r>
      </w:hyperlink>
      <w:r w:rsidRPr="00E023B1">
        <w:rPr>
          <w:sz w:val="24"/>
          <w:lang w:val="pl-PL"/>
        </w:rPr>
        <w:t xml:space="preserve"> [Outsourcing, warunki pracy i nierówności]</w:t>
      </w:r>
      <w:r w:rsidRPr="00E023B1">
        <w:rPr>
          <w:i/>
          <w:sz w:val="24"/>
          <w:lang w:val="pl-PL"/>
        </w:rPr>
        <w:t xml:space="preserve">, </w:t>
      </w:r>
      <w:r w:rsidRPr="00E023B1">
        <w:rPr>
          <w:sz w:val="24"/>
          <w:lang w:val="pl-PL"/>
        </w:rPr>
        <w:t>2025.</w:t>
      </w:r>
    </w:p>
  </w:footnote>
  <w:footnote w:id="32">
    <w:p w14:paraId="7E8AE38F" w14:textId="3F84939A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Dyrektywa 2002/14/WE Parlamentu Europejskiego i Rady z dnia 11 marca 2002 r. ustanawiająca ogólne ramowe warunki informowania i przeprowadzania konsultacji z pracownikami we Wspólnocie Europejskiej — Wspólna deklaracja Parlamentu Europejskiego, Rady i Komisji w sprawie reprezentacji pracowniczej (Dz.U. L 80 z 23.3.2002, s. 29, ELI: </w:t>
      </w:r>
      <w:hyperlink r:id="rId19" w:tooltip="Dostęp do dokumentu poprzez identyfikator URI w systemie ELI." w:history="1">
        <w:r w:rsidRPr="00E023B1">
          <w:rPr>
            <w:rStyle w:val="Hyperlink"/>
            <w:sz w:val="24"/>
            <w:lang w:val="pl-PL"/>
          </w:rPr>
          <w:t>http://data.europa.eu/eli/dir/2002/14/oj</w:t>
        </w:r>
      </w:hyperlink>
      <w:r w:rsidRPr="00E023B1">
        <w:rPr>
          <w:sz w:val="24"/>
          <w:lang w:val="pl-PL"/>
        </w:rPr>
        <w:t>).</w:t>
      </w:r>
    </w:p>
  </w:footnote>
  <w:footnote w:id="33">
    <w:p w14:paraId="3148D425" w14:textId="394F3154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Dyrektywa Parlamentu Europejskiego i Rady 2008/104/WE z dnia 19 listopada 2008 r. w sprawie pracy tymczasowej (Dz.U. L 327 z 5.12.2008, s. 9, ELI: </w:t>
      </w:r>
      <w:hyperlink r:id="rId20" w:tooltip="Dokument dostępny poprzez ELI URI." w:history="1">
        <w:r w:rsidRPr="00E023B1">
          <w:rPr>
            <w:rStyle w:val="Hyperlink"/>
            <w:sz w:val="24"/>
            <w:lang w:val="pl-PL"/>
          </w:rPr>
          <w:t>http://data.europa.eu/eli/dir/2008/104/oj</w:t>
        </w:r>
      </w:hyperlink>
      <w:r w:rsidRPr="00E023B1">
        <w:rPr>
          <w:sz w:val="24"/>
          <w:lang w:val="pl-PL"/>
        </w:rPr>
        <w:t>).</w:t>
      </w:r>
    </w:p>
  </w:footnote>
  <w:footnote w:id="34">
    <w:p w14:paraId="51FF5832" w14:textId="2E2444D9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Rezolucja Parlamentu Europejskiego z dnia 18 stycznia 2024 r. w sprawie zmiany zakresu kompetencji Europejskiego Urzędu ds. Pracy</w:t>
      </w:r>
    </w:p>
  </w:footnote>
  <w:footnote w:id="35">
    <w:p w14:paraId="4BE75E50" w14:textId="72FB4563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 xml:space="preserve">Dyrektywa 2006/22/WE Parlamentu Europejskiego i Rady z dnia 15 marca 2006 r. w sprawie minimalnych warunków wykonania rozporządzeń Rady (EWG) nr 3820/85 i (EWG) nr 3821/85 dotyczących przepisów socjalnych odnoszących się do działalności w transporcie drogowym oraz uchylająca dyrektywę Rady 88/599/EWG (Dz.U. L 102 z 11.4.2006, s. 35, ELI: </w:t>
      </w:r>
      <w:hyperlink r:id="rId21" w:history="1">
        <w:r w:rsidRPr="00E023B1">
          <w:rPr>
            <w:rStyle w:val="Hyperlink"/>
            <w:sz w:val="24"/>
            <w:lang w:val="pl-PL"/>
          </w:rPr>
          <w:t>http://data.europa.eu/eli/dir/2006/22/oj</w:t>
        </w:r>
      </w:hyperlink>
      <w:r w:rsidRPr="00E023B1">
        <w:rPr>
          <w:sz w:val="24"/>
          <w:lang w:val="pl-PL"/>
        </w:rPr>
        <w:t>).</w:t>
      </w:r>
    </w:p>
  </w:footnote>
  <w:footnote w:id="36">
    <w:p w14:paraId="061A0F56" w14:textId="584E23E4" w:rsidR="006E7371" w:rsidRPr="00E023B1" w:rsidRDefault="006E7371" w:rsidP="00E023B1">
      <w:pPr>
        <w:pStyle w:val="FootnoteText"/>
        <w:ind w:left="567" w:hanging="567"/>
        <w:rPr>
          <w:sz w:val="24"/>
          <w:lang w:val="pl-PL"/>
        </w:rPr>
      </w:pPr>
      <w:r w:rsidRPr="00E023B1">
        <w:rPr>
          <w:rStyle w:val="FootnoteReference"/>
          <w:sz w:val="24"/>
          <w:lang w:val="pl-PL"/>
        </w:rPr>
        <w:footnoteRef/>
      </w:r>
      <w:r w:rsidR="00E023B1" w:rsidRPr="00E023B1">
        <w:rPr>
          <w:sz w:val="24"/>
          <w:lang w:val="pl-PL"/>
        </w:rPr>
        <w:t xml:space="preserve"> </w:t>
      </w:r>
      <w:r w:rsidR="00E023B1" w:rsidRPr="00E023B1">
        <w:rPr>
          <w:sz w:val="24"/>
          <w:lang w:val="pl-PL"/>
        </w:rPr>
        <w:tab/>
      </w:r>
      <w:r w:rsidRPr="00E023B1">
        <w:rPr>
          <w:sz w:val="24"/>
          <w:lang w:val="pl-PL"/>
        </w:rPr>
        <w:t>Rezolucja Parlamentu Europejskiego z dnia 25 listopada 2021 r. w sprawie wprowadzenia europejskiego dowodu zabezpieczenia społecznego w celu poprawy cyfrowego egzekwowania praw w zakresie zabezpieczenia społecznego i sprawiedliwej mobilności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02E2" w14:textId="77777777" w:rsidR="00064002" w:rsidRPr="00E023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8E01F" w14:textId="77777777" w:rsidR="00064002" w:rsidRPr="00E023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FAB20" w14:textId="77777777" w:rsidR="00064002" w:rsidRPr="00E023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3005888">
    <w:abstractNumId w:val="9"/>
  </w:num>
  <w:num w:numId="2" w16cid:durableId="1358190544">
    <w:abstractNumId w:val="9"/>
  </w:num>
  <w:num w:numId="3" w16cid:durableId="1919248025">
    <w:abstractNumId w:val="7"/>
  </w:num>
  <w:num w:numId="4" w16cid:durableId="44136196">
    <w:abstractNumId w:val="7"/>
  </w:num>
  <w:num w:numId="5" w16cid:durableId="627470141">
    <w:abstractNumId w:val="6"/>
  </w:num>
  <w:num w:numId="6" w16cid:durableId="809634064">
    <w:abstractNumId w:val="6"/>
  </w:num>
  <w:num w:numId="7" w16cid:durableId="1546209623">
    <w:abstractNumId w:val="5"/>
  </w:num>
  <w:num w:numId="8" w16cid:durableId="298386869">
    <w:abstractNumId w:val="5"/>
  </w:num>
  <w:num w:numId="9" w16cid:durableId="1344209430">
    <w:abstractNumId w:val="4"/>
  </w:num>
  <w:num w:numId="10" w16cid:durableId="1442988580">
    <w:abstractNumId w:val="4"/>
  </w:num>
  <w:num w:numId="11" w16cid:durableId="1150755035">
    <w:abstractNumId w:val="8"/>
  </w:num>
  <w:num w:numId="12" w16cid:durableId="1047685657">
    <w:abstractNumId w:val="8"/>
  </w:num>
  <w:num w:numId="13" w16cid:durableId="402027693">
    <w:abstractNumId w:val="3"/>
  </w:num>
  <w:num w:numId="14" w16cid:durableId="1152059392">
    <w:abstractNumId w:val="3"/>
  </w:num>
  <w:num w:numId="15" w16cid:durableId="380904873">
    <w:abstractNumId w:val="2"/>
  </w:num>
  <w:num w:numId="16" w16cid:durableId="1378354101">
    <w:abstractNumId w:val="2"/>
  </w:num>
  <w:num w:numId="17" w16cid:durableId="938484478">
    <w:abstractNumId w:val="1"/>
  </w:num>
  <w:num w:numId="18" w16cid:durableId="1496871567">
    <w:abstractNumId w:val="1"/>
  </w:num>
  <w:num w:numId="19" w16cid:durableId="1737584240">
    <w:abstractNumId w:val="0"/>
  </w:num>
  <w:num w:numId="20" w16cid:durableId="1288387739">
    <w:abstractNumId w:val="0"/>
  </w:num>
  <w:num w:numId="21" w16cid:durableId="1546024130">
    <w:abstractNumId w:val="9"/>
  </w:num>
  <w:num w:numId="22" w16cid:durableId="347633785">
    <w:abstractNumId w:val="7"/>
  </w:num>
  <w:num w:numId="23" w16cid:durableId="280309170">
    <w:abstractNumId w:val="6"/>
  </w:num>
  <w:num w:numId="24" w16cid:durableId="2050840333">
    <w:abstractNumId w:val="5"/>
  </w:num>
  <w:num w:numId="25" w16cid:durableId="1715233641">
    <w:abstractNumId w:val="4"/>
  </w:num>
  <w:num w:numId="26" w16cid:durableId="2018532788">
    <w:abstractNumId w:val="8"/>
  </w:num>
  <w:num w:numId="27" w16cid:durableId="90317545">
    <w:abstractNumId w:val="3"/>
  </w:num>
  <w:num w:numId="28" w16cid:durableId="729154217">
    <w:abstractNumId w:val="2"/>
  </w:num>
  <w:num w:numId="29" w16cid:durableId="1151874783">
    <w:abstractNumId w:val="1"/>
  </w:num>
  <w:num w:numId="30" w16cid:durableId="1518929159">
    <w:abstractNumId w:val="0"/>
  </w:num>
  <w:num w:numId="31" w16cid:durableId="2078697556">
    <w:abstractNumId w:val="9"/>
  </w:num>
  <w:num w:numId="32" w16cid:durableId="1070466110">
    <w:abstractNumId w:val="7"/>
  </w:num>
  <w:num w:numId="33" w16cid:durableId="455103921">
    <w:abstractNumId w:val="6"/>
  </w:num>
  <w:num w:numId="34" w16cid:durableId="24260136">
    <w:abstractNumId w:val="5"/>
  </w:num>
  <w:num w:numId="35" w16cid:durableId="1218975788">
    <w:abstractNumId w:val="4"/>
  </w:num>
  <w:num w:numId="36" w16cid:durableId="1657759371">
    <w:abstractNumId w:val="8"/>
  </w:num>
  <w:num w:numId="37" w16cid:durableId="235896053">
    <w:abstractNumId w:val="3"/>
  </w:num>
  <w:num w:numId="38" w16cid:durableId="1557358451">
    <w:abstractNumId w:val="2"/>
  </w:num>
  <w:num w:numId="39" w16cid:durableId="781919774">
    <w:abstractNumId w:val="1"/>
  </w:num>
  <w:num w:numId="40" w16cid:durableId="1777795300">
    <w:abstractNumId w:val="0"/>
  </w:num>
  <w:num w:numId="41" w16cid:durableId="179781198">
    <w:abstractNumId w:val="10"/>
  </w:num>
  <w:num w:numId="42" w16cid:durableId="1320160946">
    <w:abstractNumId w:val="10"/>
  </w:num>
  <w:num w:numId="43" w16cid:durableId="915895005">
    <w:abstractNumId w:val="10"/>
  </w:num>
  <w:num w:numId="44" w16cid:durableId="1468552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6/2025"/>
    <w:docVar w:name="dvlangue" w:val="PL"/>
    <w:docVar w:name="dvnumam" w:val="0"/>
    <w:docVar w:name="dvpe" w:val="775.631"/>
    <w:docVar w:name="dvrapporteur" w:val="Sprawozdawca: "/>
    <w:docVar w:name="dvtitre" w:val="Rezolucja Parlamentu Europejskiego z dnia  2026 r. w sprawie rozwiązania problemu łańcuchów podwykonawców i roli pośredników w celu ochrony praw pracowniczych(2025/2133(INI))"/>
  </w:docVars>
  <w:rsids>
    <w:rsidRoot w:val="003C7E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6B1"/>
    <w:rsid w:val="001F32AE"/>
    <w:rsid w:val="002767FF"/>
    <w:rsid w:val="002B18FE"/>
    <w:rsid w:val="002B5493"/>
    <w:rsid w:val="00343214"/>
    <w:rsid w:val="00361C00"/>
    <w:rsid w:val="00395FA1"/>
    <w:rsid w:val="003C7E2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F3D"/>
    <w:rsid w:val="00545827"/>
    <w:rsid w:val="00560270"/>
    <w:rsid w:val="005C2568"/>
    <w:rsid w:val="005F1B17"/>
    <w:rsid w:val="006037C0"/>
    <w:rsid w:val="006631B6"/>
    <w:rsid w:val="00672799"/>
    <w:rsid w:val="00680577"/>
    <w:rsid w:val="006A485F"/>
    <w:rsid w:val="006E73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E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3B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0B576"/>
  <w15:chartTrackingRefBased/>
  <w15:docId w15:val="{38026FC3-1378-4328-ADE0-5BC4546D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E7371"/>
    <w:pPr>
      <w:spacing w:after="240"/>
      <w:ind w:left="567" w:hanging="567"/>
    </w:pPr>
  </w:style>
  <w:style w:type="paragraph" w:customStyle="1" w:styleId="EPComma">
    <w:name w:val="EPComma"/>
    <w:basedOn w:val="Normal"/>
    <w:rsid w:val="006E7371"/>
    <w:pPr>
      <w:spacing w:before="480" w:after="240"/>
    </w:pPr>
  </w:style>
  <w:style w:type="character" w:styleId="Hyperlink">
    <w:name w:val="Hyperlink"/>
    <w:basedOn w:val="DefaultParagraphFont"/>
    <w:rsid w:val="006E737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C26B1"/>
    <w:rPr>
      <w:sz w:val="24"/>
      <w:lang w:val="pl-PL"/>
    </w:rPr>
  </w:style>
  <w:style w:type="character" w:styleId="FollowedHyperlink">
    <w:name w:val="FollowedHyperlink"/>
    <w:basedOn w:val="DefaultParagraphFont"/>
    <w:rsid w:val="00515F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L/TXT/?uri=CELEX:52021DC0323&amp;qid=175343721878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PL/TXT/?uri=CELEX:52025DC0256&amp;qid=175343713787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TXT/?uri=CELEX:52024DC0320&amp;qid=1753437084702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a.europa.eu/sites/default/files/2025-03/ELA-posting-third-country-nationals-report.pdf" TargetMode="External"/><Relationship Id="rId13" Type="http://schemas.openxmlformats.org/officeDocument/2006/relationships/hyperlink" Target="http://data.europa.eu/eli/C/2024/5741/oj" TargetMode="External"/><Relationship Id="rId18" Type="http://schemas.openxmlformats.org/officeDocument/2006/relationships/hyperlink" Target="https://joint-research-centre.ec.europa.eu/projects-and-activities/employment/outsourcing-working-conditions-and-inequality_en" TargetMode="External"/><Relationship Id="rId3" Type="http://schemas.openxmlformats.org/officeDocument/2006/relationships/hyperlink" Target="http://data.europa.eu/eli/dir/2011/36/oj" TargetMode="External"/><Relationship Id="rId21" Type="http://schemas.openxmlformats.org/officeDocument/2006/relationships/hyperlink" Target="http://data.europa.eu/eli/dir/2006/22/oj" TargetMode="External"/><Relationship Id="rId7" Type="http://schemas.openxmlformats.org/officeDocument/2006/relationships/hyperlink" Target="https://data.europa.eu/doi/10.2826/844552" TargetMode="External"/><Relationship Id="rId12" Type="http://schemas.openxmlformats.org/officeDocument/2006/relationships/hyperlink" Target="http://data.europa.eu/eli/C/2025/3156/oj" TargetMode="External"/><Relationship Id="rId17" Type="http://schemas.openxmlformats.org/officeDocument/2006/relationships/hyperlink" Target="https://data.europa.eu/doi/10.2826/844552" TargetMode="External"/><Relationship Id="rId2" Type="http://schemas.openxmlformats.org/officeDocument/2006/relationships/hyperlink" Target="http://data.europa.eu/eli/dir/2014/67/oj" TargetMode="External"/><Relationship Id="rId16" Type="http://schemas.openxmlformats.org/officeDocument/2006/relationships/hyperlink" Target="http://data.europa.eu/eli/reg/2008/1008/oj" TargetMode="External"/><Relationship Id="rId20" Type="http://schemas.openxmlformats.org/officeDocument/2006/relationships/hyperlink" Target="http://data.europa.eu/eli/dir/2008/104/oj" TargetMode="External"/><Relationship Id="rId1" Type="http://schemas.openxmlformats.org/officeDocument/2006/relationships/hyperlink" Target="http://data.europa.eu/eli/dir/1996/71/oj" TargetMode="External"/><Relationship Id="rId6" Type="http://schemas.openxmlformats.org/officeDocument/2006/relationships/hyperlink" Target="http://data.europa.eu/eli/dir/2024/1760/oj" TargetMode="External"/><Relationship Id="rId11" Type="http://schemas.openxmlformats.org/officeDocument/2006/relationships/hyperlink" Target="http://data.europa.eu/eli/C/2025/3156/oj" TargetMode="External"/><Relationship Id="rId5" Type="http://schemas.openxmlformats.org/officeDocument/2006/relationships/hyperlink" Target="http://data.europa.eu/eli/dir/2014/24/oj" TargetMode="External"/><Relationship Id="rId15" Type="http://schemas.openxmlformats.org/officeDocument/2006/relationships/hyperlink" Target="https://www.bmas.de/DE/Service/Presse/Meldungen/2025/nationaler-aktionsplan-gegen-arbeitsausbeutung-und-zwangsarbeit-beschlossen.html" TargetMode="External"/><Relationship Id="rId10" Type="http://schemas.openxmlformats.org/officeDocument/2006/relationships/hyperlink" Target="https://www.ela.europa.eu/en/publications/construction-sector-issues-information-provision-enforcement-labour-mobility-law" TargetMode="External"/><Relationship Id="rId19" Type="http://schemas.openxmlformats.org/officeDocument/2006/relationships/hyperlink" Target="http://data.europa.eu/eli/dir/2002/14/oj" TargetMode="External"/><Relationship Id="rId4" Type="http://schemas.openxmlformats.org/officeDocument/2006/relationships/hyperlink" Target="http://data.europa.eu/eli/dir/2009/52/oj" TargetMode="External"/><Relationship Id="rId9" Type="http://schemas.openxmlformats.org/officeDocument/2006/relationships/hyperlink" Target="https://www.ela.europa.eu/sites/default/files/2023-04/ela-report-posting-third-country-nationals.pdf" TargetMode="External"/><Relationship Id="rId14" Type="http://schemas.openxmlformats.org/officeDocument/2006/relationships/hyperlink" Target="https://op.europa.eu/en/publication-detail/-/publication/384d8554-4e1c-11ef-acbc-01aa75ed71a1/language-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5399</Words>
  <Characters>37829</Characters>
  <Application>Microsoft Office Word</Application>
  <DocSecurity>0</DocSecurity>
  <Lines>315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2026-03-16T08:55:00Z</dcterms:created>
  <dcterms:modified xsi:type="dcterms:W3CDTF">2026-03-16T08:55:00Z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A10-0256/2025</vt:lpwstr>
  </property>
  <property fmtid="{D5CDD505-2E9C-101B-9397-08002B2CF9AE}" pid="4" name="&lt;Type&gt;">
    <vt:lpwstr>RR</vt:lpwstr>
  </property>
</Properties>
</file>