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4139" w14:paraId="3C9A8DDD" w14:textId="77777777" w:rsidTr="0010095E">
        <w:trPr>
          <w:trHeight w:hRule="exact" w:val="1418"/>
        </w:trPr>
        <w:tc>
          <w:tcPr>
            <w:tcW w:w="6804" w:type="dxa"/>
            <w:shd w:val="clear" w:color="auto" w:fill="auto"/>
            <w:vAlign w:val="center"/>
          </w:tcPr>
          <w:p w14:paraId="1D5604E3" w14:textId="77777777" w:rsidR="00751A4A" w:rsidRPr="00504139" w:rsidRDefault="003B27FF" w:rsidP="0010095E">
            <w:pPr>
              <w:pStyle w:val="EPName"/>
            </w:pPr>
            <w:r w:rsidRPr="00504139">
              <w:t>Evropski parlament</w:t>
            </w:r>
          </w:p>
          <w:p w14:paraId="08063037" w14:textId="77777777" w:rsidR="00751A4A" w:rsidRPr="00504139" w:rsidRDefault="005F1B17" w:rsidP="005F1B17">
            <w:pPr>
              <w:pStyle w:val="EPTerm"/>
              <w:rPr>
                <w:rStyle w:val="HideTWBExt"/>
                <w:noProof w:val="0"/>
                <w:vanish w:val="0"/>
                <w:color w:val="auto"/>
              </w:rPr>
            </w:pPr>
            <w:r w:rsidRPr="00504139">
              <w:t>2024</w:t>
            </w:r>
            <w:r w:rsidR="00817416" w:rsidRPr="00504139">
              <w:t>-202</w:t>
            </w:r>
            <w:r w:rsidRPr="00504139">
              <w:t>9</w:t>
            </w:r>
          </w:p>
        </w:tc>
        <w:tc>
          <w:tcPr>
            <w:tcW w:w="2268" w:type="dxa"/>
            <w:shd w:val="clear" w:color="auto" w:fill="auto"/>
          </w:tcPr>
          <w:p w14:paraId="707466D9" w14:textId="77777777" w:rsidR="00751A4A" w:rsidRPr="00504139" w:rsidRDefault="00187494" w:rsidP="0010095E">
            <w:pPr>
              <w:pStyle w:val="EPLogo"/>
            </w:pPr>
            <w:r w:rsidRPr="00504139">
              <w:rPr>
                <w:noProof/>
                <w:lang w:eastAsia="ja-JP"/>
              </w:rPr>
              <w:drawing>
                <wp:inline distT="0" distB="0" distL="0" distR="0" wp14:anchorId="0812E99D" wp14:editId="5898DE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413B05" w14:textId="77777777" w:rsidR="00D058B8" w:rsidRPr="00504139" w:rsidRDefault="00D058B8" w:rsidP="004C5D52">
      <w:pPr>
        <w:pStyle w:val="LineTop"/>
      </w:pPr>
    </w:p>
    <w:p w14:paraId="3181D93A" w14:textId="77777777" w:rsidR="00680577" w:rsidRPr="00504139" w:rsidRDefault="003B27FF" w:rsidP="00680577">
      <w:pPr>
        <w:pStyle w:val="EPBodyTA1"/>
      </w:pPr>
      <w:r w:rsidRPr="00504139">
        <w:t>SPREJETA BESEDILA</w:t>
      </w:r>
    </w:p>
    <w:p w14:paraId="5D775891" w14:textId="77777777" w:rsidR="00D058B8" w:rsidRPr="00504139" w:rsidRDefault="00D058B8" w:rsidP="00D058B8">
      <w:pPr>
        <w:pStyle w:val="LineBottom"/>
      </w:pPr>
    </w:p>
    <w:p w14:paraId="468D8BFD" w14:textId="4EC1F6C2" w:rsidR="003B27FF" w:rsidRPr="00504139" w:rsidRDefault="003B27FF" w:rsidP="003B27FF">
      <w:pPr>
        <w:pStyle w:val="ATHeading1"/>
      </w:pPr>
      <w:bookmarkStart w:id="0" w:name="TANumber"/>
      <w:r w:rsidRPr="00504139">
        <w:t>P10_TA(2026)00</w:t>
      </w:r>
      <w:bookmarkEnd w:id="0"/>
      <w:r w:rsidR="000A28CE" w:rsidRPr="00504139">
        <w:t>50</w:t>
      </w:r>
    </w:p>
    <w:p w14:paraId="3F405688" w14:textId="33FCC75C" w:rsidR="003B27FF" w:rsidRPr="00504139" w:rsidRDefault="00D3770C" w:rsidP="003B27FF">
      <w:pPr>
        <w:pStyle w:val="ATHeading2"/>
      </w:pPr>
      <w:r w:rsidRPr="00504139">
        <w:t>Reševanje vprašanja podizvajalskih verig in vloge posrednikov pri varstvu pravic delavcev</w:t>
      </w:r>
    </w:p>
    <w:p w14:paraId="22446F48" w14:textId="77777777" w:rsidR="003B27FF" w:rsidRPr="00504139" w:rsidRDefault="003B27FF" w:rsidP="003B27FF">
      <w:pPr>
        <w:rPr>
          <w:i/>
          <w:vanish/>
        </w:rPr>
      </w:pPr>
      <w:r w:rsidRPr="00504139">
        <w:rPr>
          <w:i/>
        </w:rPr>
        <w:fldChar w:fldCharType="begin"/>
      </w:r>
      <w:r w:rsidRPr="00504139">
        <w:rPr>
          <w:i/>
        </w:rPr>
        <w:instrText xml:space="preserve"> TC"(</w:instrText>
      </w:r>
      <w:bookmarkStart w:id="1" w:name="DocNumber"/>
      <w:r w:rsidRPr="00504139">
        <w:rPr>
          <w:i/>
        </w:rPr>
        <w:instrText>A10-0256/2025</w:instrText>
      </w:r>
      <w:bookmarkEnd w:id="1"/>
      <w:r w:rsidRPr="00504139">
        <w:rPr>
          <w:i/>
        </w:rPr>
        <w:instrText xml:space="preserve"> - Poročevalec: Johan Danielsson)"\l3 \n&gt; \* MERGEFORMAT </w:instrText>
      </w:r>
      <w:r w:rsidRPr="00504139">
        <w:rPr>
          <w:i/>
        </w:rPr>
        <w:fldChar w:fldCharType="end"/>
      </w:r>
    </w:p>
    <w:p w14:paraId="366DE8C3" w14:textId="77777777" w:rsidR="003B27FF" w:rsidRPr="00504139" w:rsidRDefault="003B27FF" w:rsidP="003B27FF">
      <w:pPr>
        <w:rPr>
          <w:vanish/>
        </w:rPr>
      </w:pPr>
      <w:bookmarkStart w:id="2" w:name="Commission"/>
      <w:r w:rsidRPr="00504139">
        <w:rPr>
          <w:vanish/>
        </w:rPr>
        <w:t>Odbor za zaposlovanje in socialne zadeve</w:t>
      </w:r>
      <w:bookmarkEnd w:id="2"/>
    </w:p>
    <w:p w14:paraId="31873EE2" w14:textId="77777777" w:rsidR="003B27FF" w:rsidRPr="00504139" w:rsidRDefault="003B27FF" w:rsidP="003B27FF">
      <w:pPr>
        <w:rPr>
          <w:vanish/>
        </w:rPr>
      </w:pPr>
      <w:bookmarkStart w:id="3" w:name="PE"/>
      <w:r w:rsidRPr="00504139">
        <w:rPr>
          <w:vanish/>
        </w:rPr>
        <w:t>PE775.631</w:t>
      </w:r>
      <w:bookmarkEnd w:id="3"/>
    </w:p>
    <w:p w14:paraId="2C8426DD" w14:textId="46EC1E89" w:rsidR="003B27FF" w:rsidRPr="00504139" w:rsidRDefault="003B27FF" w:rsidP="003B27FF">
      <w:pPr>
        <w:pStyle w:val="ATHeading3"/>
      </w:pPr>
      <w:bookmarkStart w:id="4" w:name="Sujet"/>
      <w:r w:rsidRPr="00504139">
        <w:t xml:space="preserve">Resolucija Evropskega parlamenta z dne </w:t>
      </w:r>
      <w:r w:rsidR="000A28CE" w:rsidRPr="00504139">
        <w:t>12</w:t>
      </w:r>
      <w:r w:rsidRPr="00504139">
        <w:t>. februarja 2026 o reševanju vprašanja podizvajalskih verig in vlogi posrednikov pri varstvu pravic delavcev</w:t>
      </w:r>
      <w:bookmarkEnd w:id="4"/>
      <w:r w:rsidRPr="00504139">
        <w:t xml:space="preserve"> </w:t>
      </w:r>
      <w:bookmarkStart w:id="5" w:name="References"/>
      <w:r w:rsidRPr="00504139">
        <w:t>(2025/2133(INI))</w:t>
      </w:r>
      <w:bookmarkEnd w:id="5"/>
    </w:p>
    <w:p w14:paraId="63D1459D" w14:textId="77777777" w:rsidR="004D0D0B" w:rsidRPr="00504139" w:rsidRDefault="004D0D0B" w:rsidP="004D0D0B">
      <w:pPr>
        <w:pStyle w:val="EPComma"/>
      </w:pPr>
      <w:r w:rsidRPr="00504139">
        <w:rPr>
          <w:i/>
        </w:rPr>
        <w:t>Evropski parlament</w:t>
      </w:r>
      <w:r w:rsidRPr="00504139">
        <w:t>,</w:t>
      </w:r>
    </w:p>
    <w:p w14:paraId="6E6886ED" w14:textId="77777777" w:rsidR="004D0D0B" w:rsidRPr="00504139" w:rsidRDefault="004D0D0B" w:rsidP="004D0D0B">
      <w:pPr>
        <w:pStyle w:val="NormalHanging12a"/>
      </w:pPr>
      <w:r w:rsidRPr="00504139">
        <w:t>–</w:t>
      </w:r>
      <w:r w:rsidRPr="00504139">
        <w:tab/>
        <w:t>ob upoštevanju členov 16 in 31 Listine Evropske unije o temeljnih pravicah,</w:t>
      </w:r>
    </w:p>
    <w:p w14:paraId="3B0D2BB5" w14:textId="77777777" w:rsidR="004D0D0B" w:rsidRPr="00504139" w:rsidRDefault="004D0D0B" w:rsidP="004D0D0B">
      <w:pPr>
        <w:pStyle w:val="NormalHanging12a"/>
      </w:pPr>
      <w:r w:rsidRPr="00504139">
        <w:t>–</w:t>
      </w:r>
      <w:r w:rsidRPr="00504139">
        <w:tab/>
        <w:t>ob upoštevanju evropskega stebra socialnih pravic,</w:t>
      </w:r>
    </w:p>
    <w:p w14:paraId="0352911B" w14:textId="77777777" w:rsidR="004D0D0B" w:rsidRPr="00504139" w:rsidRDefault="004D0D0B" w:rsidP="004D0D0B">
      <w:pPr>
        <w:pStyle w:val="NormalHanging12a"/>
      </w:pPr>
      <w:r w:rsidRPr="00504139">
        <w:t>–</w:t>
      </w:r>
      <w:r w:rsidRPr="00504139">
        <w:tab/>
        <w:t>ob upoštevanju Direktive 96/71/ES Evropskega parlamenta in Sveta z dne 16. decembra 1996 o napotitvi delavcev na delo v okviru opravljanja storitev</w:t>
      </w:r>
      <w:r w:rsidRPr="00504139">
        <w:rPr>
          <w:rStyle w:val="FootnoteReference"/>
        </w:rPr>
        <w:footnoteReference w:id="1"/>
      </w:r>
      <w:r w:rsidRPr="00504139">
        <w:t>, kot je bila spremenjena z Direktivo (EU) 2018/957,</w:t>
      </w:r>
    </w:p>
    <w:p w14:paraId="11955DD4" w14:textId="77777777" w:rsidR="004D0D0B" w:rsidRPr="00504139" w:rsidRDefault="004D0D0B" w:rsidP="004D0D0B">
      <w:pPr>
        <w:pStyle w:val="NormalHanging12a"/>
      </w:pPr>
      <w:r w:rsidRPr="00504139">
        <w:t>–</w:t>
      </w:r>
      <w:r w:rsidRPr="00504139">
        <w:tab/>
        <w:t>ob upoštevanju Direktive 2014/67/EU Evropskega parlamenta in Sveta z dne 15. maja 2014 o izvrševanju Direktive 96/71/ES o napotitvi delavcev na delo v okviru opravljanja storitev in spremembi Uredbe (EU) št. 1024/2012 o upravnem sodelovanju prek informacijskega sistema za notranji trg (uredba IMI)</w:t>
      </w:r>
      <w:r w:rsidRPr="00504139">
        <w:rPr>
          <w:rStyle w:val="FootnoteReference"/>
        </w:rPr>
        <w:footnoteReference w:id="2"/>
      </w:r>
      <w:r w:rsidRPr="00504139">
        <w:t>,</w:t>
      </w:r>
    </w:p>
    <w:p w14:paraId="2A3D3728" w14:textId="77777777" w:rsidR="004D0D0B" w:rsidRPr="00504139" w:rsidRDefault="004D0D0B" w:rsidP="004D0D0B">
      <w:pPr>
        <w:pStyle w:val="NormalHanging12a"/>
      </w:pPr>
      <w:r w:rsidRPr="00504139">
        <w:t>–</w:t>
      </w:r>
      <w:r w:rsidRPr="00504139">
        <w:tab/>
        <w:t>ob upoštevanju Direktive 2011/36/EU Evropskega parlamenta in Sveta z dne 5. aprila 2011 o preprečevanju trgovine z ljudmi in boju proti njej ter zaščiti njenih žrtev in o nadomestitvi Okvirnega sklepa Sveta 2002/629/PNZ, kot je bila spremenjena z Direktivo (EU) 2024/1712</w:t>
      </w:r>
      <w:r w:rsidRPr="00504139">
        <w:rPr>
          <w:rStyle w:val="FootnoteReference"/>
        </w:rPr>
        <w:footnoteReference w:id="3"/>
      </w:r>
      <w:r w:rsidRPr="00504139">
        <w:t>,</w:t>
      </w:r>
    </w:p>
    <w:p w14:paraId="0979B94D" w14:textId="77777777" w:rsidR="004D0D0B" w:rsidRPr="00504139" w:rsidRDefault="004D0D0B" w:rsidP="004D0D0B">
      <w:pPr>
        <w:pStyle w:val="NormalHanging12a"/>
      </w:pPr>
      <w:r w:rsidRPr="00504139">
        <w:t>–</w:t>
      </w:r>
      <w:r w:rsidRPr="00504139">
        <w:tab/>
        <w:t>ob upoštevanju Direktive 2009/52/ES Evropskega parlamenta in Sveta z dne 18. junija 2009 o minimalnih standardih glede sankcij in ukrepov zoper delodajalce nezakonito prebivajočih državljanov tretjih držav</w:t>
      </w:r>
      <w:r w:rsidRPr="00504139">
        <w:rPr>
          <w:rStyle w:val="FootnoteReference"/>
        </w:rPr>
        <w:footnoteReference w:id="4"/>
      </w:r>
      <w:r w:rsidRPr="00504139">
        <w:t xml:space="preserve"> (direktiva o sankcijah zoper delodajalce),</w:t>
      </w:r>
    </w:p>
    <w:p w14:paraId="1DC66231" w14:textId="77777777" w:rsidR="004D0D0B" w:rsidRPr="00504139" w:rsidRDefault="004D0D0B" w:rsidP="004D0D0B">
      <w:pPr>
        <w:pStyle w:val="NormalHanging12a"/>
      </w:pPr>
      <w:r w:rsidRPr="00504139">
        <w:t>–</w:t>
      </w:r>
      <w:r w:rsidRPr="00504139">
        <w:tab/>
        <w:t xml:space="preserve">ob upoštevanju Direktive 2014/24/EU Evropskega parlamenta in Sveta z dne </w:t>
      </w:r>
      <w:r w:rsidRPr="00504139">
        <w:lastRenderedPageBreak/>
        <w:t>26. februarja 2014 o javnem naročanju in razveljavitvi Direktive 2004/18/ES</w:t>
      </w:r>
      <w:r w:rsidRPr="00504139">
        <w:rPr>
          <w:rStyle w:val="FootnoteReference"/>
        </w:rPr>
        <w:footnoteReference w:id="5"/>
      </w:r>
      <w:r w:rsidRPr="00504139">
        <w:t>,</w:t>
      </w:r>
    </w:p>
    <w:p w14:paraId="5EB1B383" w14:textId="77777777" w:rsidR="004D0D0B" w:rsidRPr="00504139" w:rsidRDefault="004D0D0B" w:rsidP="004D0D0B">
      <w:pPr>
        <w:pStyle w:val="NormalHanging12a"/>
      </w:pPr>
      <w:r w:rsidRPr="00504139">
        <w:t>–</w:t>
      </w:r>
      <w:r w:rsidRPr="00504139">
        <w:tab/>
        <w:t>ob upoštevanju Direktive (EU) 2024/1760 Evropskega parlamenta in Sveta z dne 13. junija 2024 o skrbnem pregledu v podjetjih glede trajnostnosti in spremembi Direktive (EU) 2019/1937 in Uredbe (EU) 2023/2859</w:t>
      </w:r>
      <w:r w:rsidRPr="00504139">
        <w:rPr>
          <w:rStyle w:val="FootnoteReference"/>
        </w:rPr>
        <w:footnoteReference w:id="6"/>
      </w:r>
      <w:r w:rsidRPr="00504139">
        <w:t>,</w:t>
      </w:r>
    </w:p>
    <w:p w14:paraId="62408DE4" w14:textId="53FF0700" w:rsidR="004D0D0B" w:rsidRPr="00504139" w:rsidRDefault="004D0D0B" w:rsidP="004D0D0B">
      <w:pPr>
        <w:pStyle w:val="NormalHanging12a"/>
      </w:pPr>
      <w:r w:rsidRPr="00504139">
        <w:t>–</w:t>
      </w:r>
      <w:r w:rsidRPr="00504139">
        <w:tab/>
        <w:t>ob upoštevanju poročila Komisije z dne 30. aprila 2024 o uporabi in izvajanju Direktive (EU) 2018/957 Evropskega parlamenta in Sveta z dne 28. junija 2018 o spremembi Direktive 96/71/ES o napotitvi delavcev na delo v okviru opravljanja storitev (COM(2024)0320),</w:t>
      </w:r>
    </w:p>
    <w:p w14:paraId="619053D8" w14:textId="616ADC03" w:rsidR="004D0D0B" w:rsidRPr="00504139" w:rsidRDefault="004D0D0B" w:rsidP="004D0D0B">
      <w:pPr>
        <w:pStyle w:val="NormalHanging12a"/>
      </w:pPr>
      <w:r w:rsidRPr="00504139">
        <w:t>–</w:t>
      </w:r>
      <w:r w:rsidRPr="00504139">
        <w:tab/>
        <w:t>ob upoštevanju poročila Komisije z dne 26. maja 2025 z naslovom Ocena Evropskega organa za delo (ELA) (COM(2025)0256),</w:t>
      </w:r>
    </w:p>
    <w:p w14:paraId="78ED7482" w14:textId="6FA25CFB" w:rsidR="004D0D0B" w:rsidRPr="00504139" w:rsidRDefault="004D0D0B" w:rsidP="004D0D0B">
      <w:pPr>
        <w:pStyle w:val="NormalHanging12a"/>
      </w:pPr>
      <w:r w:rsidRPr="00504139">
        <w:t>–</w:t>
      </w:r>
      <w:r w:rsidRPr="00504139">
        <w:tab/>
        <w:t>ob upoštevanju sporočila Komisije z dne 3. decembra 2020 z naslovom Strateški okvir EU za varnost in zdravje pri delu za obdobje 2021–2027: Varnost in zdravje pri delu v spreminjajočem se svetu dela (COM(2021)0323), vključno s pristopom “vizija nič” k smrtnim primerom, povezanim z delom, v EU,</w:t>
      </w:r>
    </w:p>
    <w:p w14:paraId="489BA6C6" w14:textId="41AB3B49" w:rsidR="004D0D0B" w:rsidRPr="00504139" w:rsidRDefault="004D0D0B" w:rsidP="004D0D0B">
      <w:pPr>
        <w:pStyle w:val="NormalHanging12a"/>
      </w:pPr>
      <w:r w:rsidRPr="00504139">
        <w:t>–</w:t>
      </w:r>
      <w:r w:rsidRPr="00504139">
        <w:tab/>
        <w:t xml:space="preserve">ob upoštevanju publikacije Komisije iz maja 2020 z naslovom </w:t>
      </w:r>
      <w:r w:rsidR="003F2254" w:rsidRPr="00504139">
        <w:t>„</w:t>
      </w:r>
      <w:r w:rsidRPr="00504139">
        <w:rPr>
          <w:i/>
          <w:iCs/>
        </w:rPr>
        <w:t>Making Socially Responsible Public Procurement Work – 71 Good Practice Cases</w:t>
      </w:r>
      <w:r w:rsidR="003F2254" w:rsidRPr="00504139">
        <w:rPr>
          <w:i/>
          <w:iCs/>
        </w:rPr>
        <w:t>“</w:t>
      </w:r>
      <w:r w:rsidRPr="00504139">
        <w:t xml:space="preserve"> (Učinkovito družbeno odgovorno javno naročanje – 71 primerov dobre prakse)</w:t>
      </w:r>
      <w:r w:rsidRPr="00504139">
        <w:rPr>
          <w:rStyle w:val="FootnoteReference"/>
        </w:rPr>
        <w:footnoteReference w:id="7"/>
      </w:r>
      <w:r w:rsidRPr="00504139">
        <w:t>,</w:t>
      </w:r>
    </w:p>
    <w:p w14:paraId="1659C409" w14:textId="7A22CB6F" w:rsidR="004D0D0B" w:rsidRPr="00504139" w:rsidRDefault="004D0D0B" w:rsidP="004D0D0B">
      <w:pPr>
        <w:pStyle w:val="NormalHanging12a"/>
      </w:pPr>
      <w:r w:rsidRPr="00504139">
        <w:t>–</w:t>
      </w:r>
      <w:r w:rsidRPr="00504139">
        <w:tab/>
        <w:t xml:space="preserve">ob upoštevanju poročila Evropskega organa za delo (ELA) iz leta 2025 z naslovom </w:t>
      </w:r>
      <w:r w:rsidR="003F2254" w:rsidRPr="00504139">
        <w:t>„</w:t>
      </w:r>
      <w:r w:rsidRPr="00504139">
        <w:rPr>
          <w:i/>
          <w:iCs/>
        </w:rPr>
        <w:t>Posting of third‑country nationals:</w:t>
      </w:r>
      <w:r w:rsidRPr="00504139">
        <w:t xml:space="preserve"> </w:t>
      </w:r>
      <w:r w:rsidRPr="00504139">
        <w:rPr>
          <w:i/>
          <w:iCs/>
        </w:rPr>
        <w:t>Contracting chains, recruitment patterns, and enforcement issues</w:t>
      </w:r>
      <w:r w:rsidR="003F2254" w:rsidRPr="00504139">
        <w:rPr>
          <w:i/>
          <w:iCs/>
        </w:rPr>
        <w:t>“</w:t>
      </w:r>
      <w:r w:rsidRPr="00504139">
        <w:t xml:space="preserve"> (Napotitev državljanov tretjih držav: pogodbene verige, vzorci zaposlovanja in težave pri izvrševanju predpisov)</w:t>
      </w:r>
      <w:r w:rsidRPr="00504139">
        <w:rPr>
          <w:rStyle w:val="FootnoteReference"/>
        </w:rPr>
        <w:footnoteReference w:id="8"/>
      </w:r>
      <w:r w:rsidRPr="00504139">
        <w:t>,</w:t>
      </w:r>
    </w:p>
    <w:p w14:paraId="0CC25966" w14:textId="65D381C5" w:rsidR="004D0D0B" w:rsidRPr="00504139" w:rsidRDefault="004D0D0B" w:rsidP="004D0D0B">
      <w:pPr>
        <w:pStyle w:val="NormalHanging12a"/>
      </w:pPr>
      <w:r w:rsidRPr="00504139">
        <w:t>–</w:t>
      </w:r>
      <w:r w:rsidRPr="00504139">
        <w:tab/>
        <w:t xml:space="preserve">ob upoštevanju poročila ELA iz februarja 2023 z naslovom </w:t>
      </w:r>
      <w:r w:rsidR="003F2254" w:rsidRPr="00504139">
        <w:t>„</w:t>
      </w:r>
      <w:r w:rsidRPr="00504139">
        <w:rPr>
          <w:i/>
          <w:iCs/>
        </w:rPr>
        <w:t>Cooperation practices, possibilities and challenges between Member States – specifically in relation to the posting of third‐country nationals</w:t>
      </w:r>
      <w:r w:rsidR="003F2254" w:rsidRPr="00504139">
        <w:rPr>
          <w:i/>
          <w:iCs/>
        </w:rPr>
        <w:t>“</w:t>
      </w:r>
      <w:r w:rsidRPr="00504139">
        <w:t xml:space="preserve"> (Prakse, možnosti in izzivi pri sodelovanju med državami članicami – zlasti v zvezi z napotitvijo državljanov tretjih držav)</w:t>
      </w:r>
      <w:r w:rsidRPr="00504139">
        <w:rPr>
          <w:rStyle w:val="FootnoteReference"/>
        </w:rPr>
        <w:footnoteReference w:id="9"/>
      </w:r>
      <w:r w:rsidRPr="00504139">
        <w:t>,</w:t>
      </w:r>
    </w:p>
    <w:p w14:paraId="16EC6683" w14:textId="53742E15" w:rsidR="004D0D0B" w:rsidRPr="00504139" w:rsidRDefault="004D0D0B" w:rsidP="004D0D0B">
      <w:pPr>
        <w:pStyle w:val="NormalHanging12a"/>
      </w:pPr>
      <w:r w:rsidRPr="00504139">
        <w:t>–</w:t>
      </w:r>
      <w:r w:rsidRPr="00504139">
        <w:tab/>
        <w:t xml:space="preserve">ob upoštevanju poročila ELA z 20. septembra 2023 z </w:t>
      </w:r>
      <w:r w:rsidRPr="00504139">
        <w:rPr>
          <w:i/>
          <w:iCs/>
        </w:rPr>
        <w:t xml:space="preserve">naslovom </w:t>
      </w:r>
      <w:r w:rsidR="003F2254" w:rsidRPr="00504139">
        <w:rPr>
          <w:i/>
          <w:iCs/>
        </w:rPr>
        <w:t>„</w:t>
      </w:r>
      <w:r w:rsidRPr="00504139">
        <w:rPr>
          <w:i/>
          <w:iCs/>
        </w:rPr>
        <w:t>Construction sector:</w:t>
      </w:r>
      <w:r w:rsidRPr="00504139">
        <w:t xml:space="preserve"> </w:t>
      </w:r>
      <w:r w:rsidRPr="00504139">
        <w:rPr>
          <w:i/>
          <w:iCs/>
        </w:rPr>
        <w:t>Issues in information provision, enforcement of labour mobility law, social security coordination regulations, and cooperation between Member States</w:t>
      </w:r>
      <w:r w:rsidR="003F2254" w:rsidRPr="00504139">
        <w:rPr>
          <w:i/>
          <w:iCs/>
        </w:rPr>
        <w:t>“</w:t>
      </w:r>
      <w:r w:rsidRPr="00504139">
        <w:t xml:space="preserve"> (Gradbeni sektor: težave pri zagotavljanju informacij, izvrševanju zakonodaje o mobilnosti delavcev, predpisih o koordinaciji sistemov socialne varnosti in sodelovanju med državami članicami)</w:t>
      </w:r>
      <w:r w:rsidRPr="00504139">
        <w:rPr>
          <w:rStyle w:val="FootnoteReference"/>
        </w:rPr>
        <w:footnoteReference w:id="10"/>
      </w:r>
      <w:r w:rsidRPr="00504139">
        <w:t>,</w:t>
      </w:r>
    </w:p>
    <w:p w14:paraId="06257BDF" w14:textId="71018B37" w:rsidR="004D0D0B" w:rsidRPr="00504139" w:rsidRDefault="004D0D0B" w:rsidP="004D0D0B">
      <w:pPr>
        <w:pStyle w:val="NormalHanging12a"/>
      </w:pPr>
      <w:r w:rsidRPr="00504139">
        <w:t>–</w:t>
      </w:r>
      <w:r w:rsidRPr="00504139">
        <w:tab/>
        <w:t xml:space="preserve">ob upoštevanju poročila Europola iz decembra 2024 z naslovom </w:t>
      </w:r>
      <w:r w:rsidR="003F2254" w:rsidRPr="00504139">
        <w:t>„</w:t>
      </w:r>
      <w:r w:rsidRPr="00504139">
        <w:rPr>
          <w:i/>
          <w:iCs/>
        </w:rPr>
        <w:t>Leveraging legitimacy:</w:t>
      </w:r>
      <w:r w:rsidRPr="00504139">
        <w:t xml:space="preserve"> </w:t>
      </w:r>
      <w:r w:rsidRPr="00504139">
        <w:rPr>
          <w:i/>
          <w:iCs/>
        </w:rPr>
        <w:t>How the EU’s most threatening criminal networks abuse legal business structures</w:t>
      </w:r>
      <w:r w:rsidR="003F2254" w:rsidRPr="00504139">
        <w:rPr>
          <w:i/>
          <w:iCs/>
        </w:rPr>
        <w:t>“</w:t>
      </w:r>
      <w:r w:rsidRPr="00504139">
        <w:t xml:space="preserve"> (Izkoriščanje legitimnosti: kako najnevarnejše kriminalne mreže EU </w:t>
      </w:r>
      <w:r w:rsidRPr="00504139">
        <w:lastRenderedPageBreak/>
        <w:t>zlorabljajo zakonite poslovne strukture),</w:t>
      </w:r>
    </w:p>
    <w:p w14:paraId="670DCA0A" w14:textId="77777777" w:rsidR="004D0D0B" w:rsidRPr="00504139" w:rsidRDefault="004D0D0B" w:rsidP="004D0D0B">
      <w:pPr>
        <w:pStyle w:val="NormalHanging12a"/>
      </w:pPr>
      <w:r w:rsidRPr="00504139">
        <w:t>–</w:t>
      </w:r>
      <w:r w:rsidRPr="00504139">
        <w:tab/>
        <w:t>ob upoštevanju člena 10 smernic Mednarodne organizacije dela (MOD) o splošnih načelih inšpekcije dela,</w:t>
      </w:r>
    </w:p>
    <w:p w14:paraId="170CCC09" w14:textId="77777777" w:rsidR="004D0D0B" w:rsidRPr="00504139" w:rsidRDefault="004D0D0B" w:rsidP="004D0D0B">
      <w:pPr>
        <w:pStyle w:val="NormalHanging12a"/>
      </w:pPr>
      <w:r w:rsidRPr="00504139">
        <w:t>–</w:t>
      </w:r>
      <w:r w:rsidRPr="00504139">
        <w:tab/>
        <w:t>ob upoštevanju konvencije Mednarodne organizacije dela o zasebnih agencijah za zaposlovanje (Konvencija št. 181 iz leta 1997),</w:t>
      </w:r>
    </w:p>
    <w:p w14:paraId="60FC260C" w14:textId="77777777" w:rsidR="004D0D0B" w:rsidRPr="00504139" w:rsidRDefault="004D0D0B" w:rsidP="004D0D0B">
      <w:pPr>
        <w:pStyle w:val="NormalHanging12a"/>
      </w:pPr>
      <w:r w:rsidRPr="00504139">
        <w:t>–</w:t>
      </w:r>
      <w:r w:rsidRPr="00504139">
        <w:tab/>
        <w:t>ob upoštevanju konvencije Mednarodne organizacije dela o varnosti in zdravju v gradbeništvu (Konvencija št. 167 iz leta 1988),</w:t>
      </w:r>
    </w:p>
    <w:p w14:paraId="444C7DB7" w14:textId="77777777" w:rsidR="004D0D0B" w:rsidRPr="00504139" w:rsidRDefault="004D0D0B" w:rsidP="004D0D0B">
      <w:pPr>
        <w:pStyle w:val="NormalHanging12a"/>
      </w:pPr>
      <w:r w:rsidRPr="00504139">
        <w:t>–</w:t>
      </w:r>
      <w:r w:rsidRPr="00504139">
        <w:tab/>
        <w:t>ob upoštevanju svoje resolucije z dne 25. novembra 2021 o uvedbi evropske kartice socialnega zavarovanja za izboljšanje digitalnega uveljavljanja pravic socialne varnosti in pravično mobilnost</w:t>
      </w:r>
      <w:r w:rsidRPr="00504139">
        <w:rPr>
          <w:rStyle w:val="FootnoteReference"/>
        </w:rPr>
        <w:footnoteReference w:id="11"/>
      </w:r>
      <w:r w:rsidRPr="00504139">
        <w:t>,</w:t>
      </w:r>
    </w:p>
    <w:p w14:paraId="457FA9C6" w14:textId="77777777" w:rsidR="004D0D0B" w:rsidRPr="00504139" w:rsidRDefault="004D0D0B" w:rsidP="004D0D0B">
      <w:pPr>
        <w:pStyle w:val="NormalHanging12a"/>
      </w:pPr>
      <w:r w:rsidRPr="00504139">
        <w:t>–</w:t>
      </w:r>
      <w:r w:rsidRPr="00504139">
        <w:tab/>
        <w:t>ob upoštevanju svoje resolucije z dne 13. marca 2025 o socialnih vidikih in vidikih zaposlovanja v procesih prestrukturiranja: nujna zaščita delovnih mest in pravic delavcev</w:t>
      </w:r>
      <w:r w:rsidRPr="00504139">
        <w:rPr>
          <w:rStyle w:val="FootnoteReference"/>
        </w:rPr>
        <w:footnoteReference w:id="12"/>
      </w:r>
      <w:r w:rsidRPr="00504139">
        <w:t>,</w:t>
      </w:r>
    </w:p>
    <w:p w14:paraId="4DA0F808" w14:textId="77777777" w:rsidR="004D0D0B" w:rsidRPr="00504139" w:rsidRDefault="004D0D0B" w:rsidP="004D0D0B">
      <w:pPr>
        <w:pStyle w:val="NormalHanging12a"/>
      </w:pPr>
      <w:r w:rsidRPr="00504139">
        <w:t>–</w:t>
      </w:r>
      <w:r w:rsidRPr="00504139">
        <w:tab/>
        <w:t>ob upoštevanju svoje resolucije z dne 18. januarja 2024 o reviziji pooblastil Evropskega organa za delo</w:t>
      </w:r>
      <w:r w:rsidRPr="00504139">
        <w:rPr>
          <w:rStyle w:val="FootnoteReference"/>
        </w:rPr>
        <w:footnoteReference w:id="13"/>
      </w:r>
      <w:r w:rsidRPr="00504139">
        <w:t>,</w:t>
      </w:r>
    </w:p>
    <w:p w14:paraId="33582259" w14:textId="77777777" w:rsidR="004D0D0B" w:rsidRPr="00504139" w:rsidRDefault="004D0D0B" w:rsidP="004D0D0B">
      <w:pPr>
        <w:pStyle w:val="NormalHanging12a"/>
      </w:pPr>
      <w:r w:rsidRPr="00504139">
        <w:t>–</w:t>
      </w:r>
      <w:r w:rsidRPr="00504139">
        <w:tab/>
        <w:t>ob upoštevanju svoje resolucije z dne 9. septembra 2025 o javnih naročilih</w:t>
      </w:r>
      <w:r w:rsidRPr="00504139">
        <w:rPr>
          <w:rStyle w:val="FootnoteReference"/>
        </w:rPr>
        <w:footnoteReference w:id="14"/>
      </w:r>
      <w:r w:rsidRPr="00504139">
        <w:t>,</w:t>
      </w:r>
    </w:p>
    <w:p w14:paraId="572A8932" w14:textId="77777777" w:rsidR="004D0D0B" w:rsidRPr="00504139" w:rsidRDefault="004D0D0B" w:rsidP="004D0D0B">
      <w:pPr>
        <w:pStyle w:val="NormalHanging12a"/>
      </w:pPr>
      <w:r w:rsidRPr="00504139">
        <w:t>–</w:t>
      </w:r>
      <w:r w:rsidRPr="00504139">
        <w:tab/>
        <w:t>ob upoštevanju izjave iz La Hulpa z dne 16. aprila 2024 o prihodnosti evropskega stebra socialnih pravic,</w:t>
      </w:r>
    </w:p>
    <w:p w14:paraId="15DE2D57" w14:textId="77777777" w:rsidR="004D0D0B" w:rsidRPr="00504139" w:rsidRDefault="004D0D0B" w:rsidP="004D0D0B">
      <w:pPr>
        <w:pStyle w:val="NormalHanging12a"/>
      </w:pPr>
      <w:r w:rsidRPr="00504139">
        <w:t>–</w:t>
      </w:r>
      <w:r w:rsidRPr="00504139">
        <w:tab/>
        <w:t>ob upoštevanju tristranske deklaracije za dinamičen evropski socialni dialog z vrha socialnih partnerjev v Val Duchesse z dne 31. januarja 2024,</w:t>
      </w:r>
    </w:p>
    <w:p w14:paraId="077E24D9" w14:textId="77777777" w:rsidR="004D0D0B" w:rsidRPr="00504139" w:rsidRDefault="004D0D0B" w:rsidP="004D0D0B">
      <w:pPr>
        <w:pStyle w:val="NormalHanging12a"/>
      </w:pPr>
      <w:r w:rsidRPr="00504139">
        <w:t>–</w:t>
      </w:r>
      <w:r w:rsidRPr="00504139">
        <w:tab/>
        <w:t>ob upoštevanju zelene knjige Komisije z dne 31. januarja 2013 o nepoštenih trgovinskih praksah v oskrbni verigi z živili in neživili med podjetji v Evropi (COM(2013)0037),</w:t>
      </w:r>
    </w:p>
    <w:p w14:paraId="0D583BD4" w14:textId="77777777" w:rsidR="004D0D0B" w:rsidRPr="00504139" w:rsidRDefault="004D0D0B" w:rsidP="004D0D0B">
      <w:pPr>
        <w:pStyle w:val="NormalHanging12a"/>
      </w:pPr>
      <w:r w:rsidRPr="00504139">
        <w:t>–</w:t>
      </w:r>
      <w:r w:rsidRPr="00504139">
        <w:tab/>
        <w:t>ob upoštevanju sporočila Komisije z dne 29. januarja 2025 z naslovom Kompas za konkurenčnost za EU (COM(2025)0030),</w:t>
      </w:r>
    </w:p>
    <w:p w14:paraId="0CFBE0D4" w14:textId="77777777" w:rsidR="004D0D0B" w:rsidRPr="00504139" w:rsidRDefault="004D0D0B" w:rsidP="004D0D0B">
      <w:pPr>
        <w:pStyle w:val="NormalHanging12a"/>
      </w:pPr>
      <w:r w:rsidRPr="00504139">
        <w:t>–</w:t>
      </w:r>
      <w:r w:rsidRPr="00504139">
        <w:tab/>
        <w:t>ob upoštevanju šeste evropske raziskave Eurofounda o delovnih pogojih,</w:t>
      </w:r>
    </w:p>
    <w:p w14:paraId="35ECC9F5" w14:textId="77777777" w:rsidR="004D0D0B" w:rsidRPr="00504139" w:rsidRDefault="004D0D0B" w:rsidP="004D0D0B">
      <w:pPr>
        <w:pStyle w:val="NormalHanging12a"/>
      </w:pPr>
      <w:r w:rsidRPr="00504139">
        <w:t xml:space="preserve"> –</w:t>
      </w:r>
      <w:r w:rsidRPr="00504139">
        <w:tab/>
        <w:t xml:space="preserve">ob upoštevanju poročila Maria Draghija z dne 9. septembra 2024 z naslovom </w:t>
      </w:r>
      <w:r w:rsidRPr="00504139">
        <w:rPr>
          <w:i/>
          <w:iCs/>
        </w:rPr>
        <w:t>The future of European competitiveness</w:t>
      </w:r>
      <w:r w:rsidRPr="00504139">
        <w:t xml:space="preserve"> (Prihodnost evropske konkurenčnosti) (v nadaljnjem besedilu: Draghijevo poročilo),</w:t>
      </w:r>
    </w:p>
    <w:p w14:paraId="580C8489" w14:textId="6FC7BAA9" w:rsidR="004D0D0B" w:rsidRPr="00504139" w:rsidRDefault="004D0D0B" w:rsidP="004D0D0B">
      <w:pPr>
        <w:pStyle w:val="NormalHanging12a"/>
      </w:pPr>
      <w:r w:rsidRPr="00504139">
        <w:t>–</w:t>
      </w:r>
      <w:r w:rsidRPr="00504139">
        <w:tab/>
        <w:t xml:space="preserve">ob upoštevanju neodvisnega poročila na visoki ravni z dne 17. aprila 2024, ki ga je pripravil Enrico Letta, z naslovom </w:t>
      </w:r>
      <w:r w:rsidR="003F2254" w:rsidRPr="00504139">
        <w:t>„</w:t>
      </w:r>
      <w:r w:rsidRPr="00504139">
        <w:rPr>
          <w:i/>
          <w:iCs/>
        </w:rPr>
        <w:t>Much more than a market – Speed, security, solidarity:</w:t>
      </w:r>
      <w:r w:rsidRPr="00504139">
        <w:t xml:space="preserve"> </w:t>
      </w:r>
      <w:r w:rsidRPr="00504139">
        <w:rPr>
          <w:i/>
          <w:iCs/>
        </w:rPr>
        <w:t>empowering the Single Market to deliver a sustainable future and prosperity for all EU Citizens</w:t>
      </w:r>
      <w:r w:rsidR="003F2254" w:rsidRPr="00504139">
        <w:rPr>
          <w:i/>
          <w:iCs/>
        </w:rPr>
        <w:t>“</w:t>
      </w:r>
      <w:r w:rsidRPr="00504139">
        <w:t xml:space="preserve"> (Veliko več kot trg – hitrost, varnost, solidarnost: krepitev enotnega trga za trajnostno prihodnost in blaginjo vseh državljanov EU) (v nadaljnjem </w:t>
      </w:r>
      <w:r w:rsidRPr="00504139">
        <w:lastRenderedPageBreak/>
        <w:t>besedilu: poročilo Lette),</w:t>
      </w:r>
    </w:p>
    <w:p w14:paraId="73454F03" w14:textId="77777777" w:rsidR="004D0D0B" w:rsidRPr="00504139" w:rsidRDefault="004D0D0B" w:rsidP="004D0D0B">
      <w:pPr>
        <w:pStyle w:val="NormalHanging12a"/>
      </w:pPr>
      <w:r w:rsidRPr="00504139">
        <w:t>–</w:t>
      </w:r>
      <w:r w:rsidRPr="00504139">
        <w:tab/>
        <w:t>ob upoštevanju dokumenta z dne 14. februarja 2025 o stališču Nizozemske, Belgije, Danske, Nemčije, Italije, Latvije in Luksemburga o prednostnih političnih nalogah EU za Komisijo za obdobje 2024–2029 in pravični napotitvi državljanov tretjih držav,</w:t>
      </w:r>
    </w:p>
    <w:p w14:paraId="44F51EB9" w14:textId="77777777" w:rsidR="004D0D0B" w:rsidRPr="00504139" w:rsidRDefault="004D0D0B" w:rsidP="004D0D0B">
      <w:pPr>
        <w:pStyle w:val="NormalHanging12a"/>
      </w:pPr>
      <w:r w:rsidRPr="00504139">
        <w:t>–</w:t>
      </w:r>
      <w:r w:rsidRPr="00504139">
        <w:tab/>
        <w:t xml:space="preserve">ob upoštevanju sodbe Sodišča z dne 5. aprila 2017 v zadevi C-298/15, </w:t>
      </w:r>
      <w:r w:rsidRPr="00504139">
        <w:rPr>
          <w:i/>
        </w:rPr>
        <w:t>‘Borta’ UAB</w:t>
      </w:r>
      <w:r w:rsidRPr="00504139">
        <w:t>/</w:t>
      </w:r>
      <w:r w:rsidRPr="00504139">
        <w:rPr>
          <w:i/>
        </w:rPr>
        <w:t>Klaipėdos valstybinio jūrų uosto direkcija VĮ</w:t>
      </w:r>
      <w:r w:rsidRPr="00504139">
        <w:rPr>
          <w:rStyle w:val="FootnoteReference"/>
          <w:i/>
          <w:iCs/>
        </w:rPr>
        <w:footnoteReference w:id="15"/>
      </w:r>
      <w:r w:rsidRPr="00504139">
        <w:t>, v zvezi z javnim naročanjem,</w:t>
      </w:r>
    </w:p>
    <w:p w14:paraId="0AA88A22" w14:textId="77777777" w:rsidR="004D0D0B" w:rsidRPr="00504139" w:rsidRDefault="004D0D0B" w:rsidP="004D0D0B">
      <w:pPr>
        <w:pStyle w:val="NormalHanging12a"/>
      </w:pPr>
      <w:r w:rsidRPr="00504139">
        <w:t>–</w:t>
      </w:r>
      <w:r w:rsidRPr="00504139">
        <w:tab/>
        <w:t>ob upoštevanju nacionalnih strategij za boj proti izkoriščanju delovne sile, prisilnemu delu in neprijavljenemu delu</w:t>
      </w:r>
      <w:r w:rsidRPr="00504139">
        <w:rPr>
          <w:rStyle w:val="FootnoteReference"/>
        </w:rPr>
        <w:footnoteReference w:id="16"/>
      </w:r>
      <w:r w:rsidRPr="00504139">
        <w:t>,</w:t>
      </w:r>
    </w:p>
    <w:p w14:paraId="7EC7F58B" w14:textId="77777777" w:rsidR="004D0D0B" w:rsidRPr="00504139" w:rsidRDefault="004D0D0B" w:rsidP="004D0D0B">
      <w:pPr>
        <w:pStyle w:val="NormalHanging12a"/>
      </w:pPr>
      <w:r w:rsidRPr="00504139">
        <w:t>–</w:t>
      </w:r>
      <w:r w:rsidRPr="00504139">
        <w:tab/>
        <w:t>ob upoštevanju člena 55 Poslovnika,</w:t>
      </w:r>
    </w:p>
    <w:p w14:paraId="5823C25E" w14:textId="77777777" w:rsidR="004D0D0B" w:rsidRPr="00504139" w:rsidRDefault="004D0D0B" w:rsidP="004D0D0B">
      <w:pPr>
        <w:pStyle w:val="NormalHanging12a"/>
      </w:pPr>
      <w:r w:rsidRPr="00504139">
        <w:t>–</w:t>
      </w:r>
      <w:r w:rsidRPr="00504139">
        <w:tab/>
        <w:t>ob upoštevanju mnenja Odbora za notranji trg in varstvo potrošnikov,</w:t>
      </w:r>
    </w:p>
    <w:p w14:paraId="6EE46723" w14:textId="77777777" w:rsidR="004D0D0B" w:rsidRPr="00504139" w:rsidRDefault="004D0D0B" w:rsidP="004D0D0B">
      <w:pPr>
        <w:pStyle w:val="NormalHanging12a"/>
      </w:pPr>
      <w:r w:rsidRPr="00504139">
        <w:t>–</w:t>
      </w:r>
      <w:r w:rsidRPr="00504139">
        <w:tab/>
        <w:t>ob upoštevanju poročila Odbora za zaposlovanje in socialne zadeve (A10-0256/2025),</w:t>
      </w:r>
    </w:p>
    <w:p w14:paraId="4B55A57F" w14:textId="77777777" w:rsidR="004D0D0B" w:rsidRPr="00504139" w:rsidRDefault="004D0D0B" w:rsidP="004D0D0B">
      <w:pPr>
        <w:pStyle w:val="NormalHanging12a"/>
      </w:pPr>
      <w:r w:rsidRPr="00504139">
        <w:t>A.</w:t>
      </w:r>
      <w:r w:rsidRPr="00504139">
        <w:tab/>
        <w:t>ker imajo v skladu z načelom 5 evropskega stebra socialnih pravic delavci ne glede na vrsto ali trajanje delovnega razmerja pravico do poštenega in enakega obravnavanja v zvezi z delovnimi pogoji, dostopom do socialne zaščite in usposabljanjem; ker je v tem načelu hkrati poudarjeno, da je treba preprečiti delovna razmerja, ki vodijo v prekarne delovne pogoje;</w:t>
      </w:r>
    </w:p>
    <w:p w14:paraId="2FBAD5AD" w14:textId="77777777" w:rsidR="004D0D0B" w:rsidRPr="00504139" w:rsidRDefault="004D0D0B" w:rsidP="004D0D0B">
      <w:pPr>
        <w:pStyle w:val="NormalHanging12a"/>
      </w:pPr>
      <w:r w:rsidRPr="00504139">
        <w:t>B.</w:t>
      </w:r>
      <w:r w:rsidRPr="00504139">
        <w:tab/>
        <w:t>ker je svoboda opravljanja čezmejnih storitev eno od štirih temeljnih načel enotnega trga in ker je oddaja naročil podizvajalcem del svobode opravljanja storitev in svobode ustanavljanja; ker mora EU ohraniti in okrepiti svojo konkurenčnost, da bi podjetja lahko uspevala, pri čemer bi se bilo treba osredotočiti zlasti na mala in srednja podjetja; ker mora obenem ustvariti jasna in sorazmerna pravila, ki ne bodo povzročila nepotrebnih bremen, in okrepiti izvrševanje;</w:t>
      </w:r>
    </w:p>
    <w:p w14:paraId="2DA40DD6" w14:textId="77777777" w:rsidR="004D0D0B" w:rsidRPr="00504139" w:rsidRDefault="004D0D0B" w:rsidP="004D0D0B">
      <w:pPr>
        <w:pStyle w:val="NormalHanging12a"/>
      </w:pPr>
      <w:r w:rsidRPr="00504139">
        <w:t>C.</w:t>
      </w:r>
      <w:r w:rsidRPr="00504139">
        <w:tab/>
        <w:t>ker izkoriščanje delavcev in zlorabe na trgu dela v EU pomenijo resno težavo v sektorjih z visokim tveganjem ter se kažejo v različnih oblikah, med drugim kot kazniva dejanja, povezana z delom, neprijavljeno delo, nezakonito delo, siva ekonomija, socialni damping, izkoriščanje delovne sile in sodobno suženjstvo;</w:t>
      </w:r>
    </w:p>
    <w:p w14:paraId="09B3A93B" w14:textId="77777777" w:rsidR="004D0D0B" w:rsidRPr="00504139" w:rsidRDefault="004D0D0B" w:rsidP="004D0D0B">
      <w:pPr>
        <w:pStyle w:val="NormalHanging12a"/>
      </w:pPr>
      <w:r w:rsidRPr="00504139">
        <w:t>D.</w:t>
      </w:r>
      <w:r w:rsidRPr="00504139">
        <w:tab/>
        <w:t xml:space="preserve">ker je v nekaterih sektorjih tveganje za izkoriščanje delovne sile in zlorabe večje, na primer v gradbeništvu, kmetijstvu, gostinstvu, domačem delu, prometu in logistiki, </w:t>
      </w:r>
      <w:r w:rsidRPr="00504139">
        <w:lastRenderedPageBreak/>
        <w:t>predelavi mesa in hrane, storitvah čiščenja ter oskrbi</w:t>
      </w:r>
      <w:r w:rsidRPr="00504139">
        <w:rPr>
          <w:rStyle w:val="FootnoteReference"/>
        </w:rPr>
        <w:footnoteReference w:id="17"/>
      </w:r>
      <w:r w:rsidRPr="00504139">
        <w:t>; ker so ženske v podizvajalskem in posredniškem delu v sektorjih oskrbe, čiščenja ter gostinstva zastopane nesorazmerno;</w:t>
      </w:r>
    </w:p>
    <w:p w14:paraId="4C6FF1C8" w14:textId="77777777" w:rsidR="004D0D0B" w:rsidRPr="00504139" w:rsidRDefault="004D0D0B" w:rsidP="004D0D0B">
      <w:pPr>
        <w:pStyle w:val="NormalHanging12a"/>
      </w:pPr>
      <w:r w:rsidRPr="00504139">
        <w:t>E.</w:t>
      </w:r>
      <w:r w:rsidRPr="00504139">
        <w:tab/>
        <w:t>ker posledice izkoriščanja in zlorab delovne sile ne zajemajo le delavcev, ki so izpostavljeni nepravičnim in nevarnim delovnim pogojem, neustreznim plačam, nevzdržnim nastanitvam in prekarnim zaposlitvam, temveč vplivajo tudi na podjetja, zlasti mala in srednja, ki so izpostavljena nepošteni konkurenci in izkrivljanju enotnega trga;</w:t>
      </w:r>
    </w:p>
    <w:p w14:paraId="7D9B6C14" w14:textId="77777777" w:rsidR="004D0D0B" w:rsidRPr="00504139" w:rsidRDefault="004D0D0B" w:rsidP="004D0D0B">
      <w:pPr>
        <w:pStyle w:val="NormalHanging12a"/>
      </w:pPr>
      <w:r w:rsidRPr="00504139">
        <w:t>F.</w:t>
      </w:r>
      <w:r w:rsidRPr="00504139">
        <w:tab/>
        <w:t>ker Europol poudarja, da 86 % najškodljivejših kriminalnih mrež kot del svoje kriminalne dejavnosti uporablja zakonite poslovne strukture, kar je resna grožnja pošteni konkurenci na enotnem trgu; ker analiza Komisije in operativni vpogledi ELA kažejo na povečana tveganja izkoriščanja in zlorab delovne sile, povezana z dolgimi in zapletenimi podizvajalskimi verigami ter nepoštenim posredovanjem delovne sile</w:t>
      </w:r>
      <w:r w:rsidRPr="00504139">
        <w:rPr>
          <w:rStyle w:val="FootnoteReference"/>
        </w:rPr>
        <w:footnoteReference w:id="18"/>
      </w:r>
      <w:r w:rsidRPr="00504139">
        <w:t>;</w:t>
      </w:r>
    </w:p>
    <w:p w14:paraId="4E8E4715" w14:textId="77777777" w:rsidR="004D0D0B" w:rsidRPr="00504139" w:rsidRDefault="004D0D0B" w:rsidP="004D0D0B">
      <w:pPr>
        <w:pStyle w:val="NormalHanging12a"/>
      </w:pPr>
      <w:r w:rsidRPr="00504139">
        <w:t>G.</w:t>
      </w:r>
      <w:r w:rsidRPr="00504139">
        <w:tab/>
        <w:t>ker je skupna spremenljivka v večini sektorjev z visokim tveganjem izkoriščanja delovne sile visoka intenzivnost dela skupaj z dolgimi in zapletenimi verigami podizvajalcev, in sicer tako vertikalno kot horizontalno</w:t>
      </w:r>
      <w:r w:rsidRPr="00504139">
        <w:rPr>
          <w:rStyle w:val="FootnoteReference"/>
        </w:rPr>
        <w:footnoteReference w:id="19"/>
      </w:r>
      <w:r w:rsidRPr="00504139">
        <w:t>, kar spodkopava preglednost, vlogo socialnih partnerjev, veljavne kolektivne pogodbe in demokracijo na delovnem mestu; ker so sektorji z visokim tveganjem pogosto povezani tudi z močno odvisnostjo od posrednikov na trgu dela, napotenih delavcev, mobilnih delavcev EU in državljanov tretjih držav; ker se lahko pri nekaterih nestandardnih oblikah zaposlitve in zapletenih čezmejnih ureditvah zabrišejo odgovornosti, ovira ozaveščanje ter zaplete izvrševanje veljavne delovne zakonodaje in kolektivnih pogodb, kot tudi nadzor nad delovnimi dovoljenji, prispevki za socialno varnost, plačevanjem davkov in identiteto delavcev;</w:t>
      </w:r>
    </w:p>
    <w:p w14:paraId="4349C85F" w14:textId="77777777" w:rsidR="004D0D0B" w:rsidRPr="00504139" w:rsidRDefault="004D0D0B" w:rsidP="004D0D0B">
      <w:pPr>
        <w:pStyle w:val="NormalHanging12a"/>
      </w:pPr>
      <w:r w:rsidRPr="00504139">
        <w:t>H.</w:t>
      </w:r>
      <w:r w:rsidRPr="00504139">
        <w:tab/>
        <w:t>ker je eden od sestavnih delov izkoriščanja delovne sile nespoštovanje zakonodaje o zdravju in varnosti pri delu, kar spodkopava pristop „vizija nič“ k smrtnim primerom, povezanim z delom, kot ga je Komisija določila v strateškem okviru EU za zdravje in varnost pri delu za obdobje 2021–2027; ker imajo v skladu s Konvencijo Mednarodne organizacije dela (MOD) št. 167 glavni izvajalci dolžnost, da usklajujejo ukrepe za varnost in zdravje pri delu;</w:t>
      </w:r>
    </w:p>
    <w:p w14:paraId="0098B2E4" w14:textId="77777777" w:rsidR="004D0D0B" w:rsidRPr="00504139" w:rsidRDefault="004D0D0B" w:rsidP="004D0D0B">
      <w:pPr>
        <w:pStyle w:val="NormalHanging12a"/>
      </w:pPr>
      <w:r w:rsidRPr="00504139">
        <w:t>I.</w:t>
      </w:r>
      <w:r w:rsidRPr="00504139">
        <w:tab/>
        <w:t xml:space="preserve">ker prisotnost nepoštenih in kriminalnih akterjev na evropskih delovnih mestih pomeni tudi varnostna tveganja, zlasti kadar vpliva na ključne sektorje, kot so promet in </w:t>
      </w:r>
      <w:r w:rsidRPr="00504139">
        <w:lastRenderedPageBreak/>
        <w:t>logistika, gradbeništvo, energetika in zdravstvena oskrba, ali dejavnosti z dostopom do varnostno občutljivih delovišč, zlasti čiščenje in vzdrževanje;</w:t>
      </w:r>
    </w:p>
    <w:p w14:paraId="7D138827" w14:textId="77777777" w:rsidR="004D0D0B" w:rsidRPr="00504139" w:rsidRDefault="004D0D0B" w:rsidP="004D0D0B">
      <w:pPr>
        <w:pStyle w:val="NormalHanging12a"/>
      </w:pPr>
      <w:r w:rsidRPr="00504139">
        <w:t>J.</w:t>
      </w:r>
      <w:r w:rsidRPr="00504139">
        <w:tab/>
        <w:t>ker po podatkih Komisije</w:t>
      </w:r>
      <w:r w:rsidRPr="00504139">
        <w:rPr>
          <w:rStyle w:val="FootnoteReference"/>
        </w:rPr>
        <w:footnoteReference w:id="20"/>
      </w:r>
      <w:r w:rsidRPr="00504139">
        <w:t xml:space="preserve"> in ugotovitvah iz poročila študije primera ELA</w:t>
      </w:r>
      <w:r w:rsidRPr="00504139">
        <w:rPr>
          <w:rStyle w:val="FootnoteReference"/>
        </w:rPr>
        <w:footnoteReference w:id="21"/>
      </w:r>
      <w:r w:rsidRPr="00504139">
        <w:t xml:space="preserve"> število napotenih delavcev iz tretjih držav narašča, pri čemer je vsak četrti napoten delavec državljan tretje države; ker so mobilni delavci in delavci migranti, vključno z delavci iz tretjih držav, posebno ranljivi za izkoriščanje in kazniva dejanja, povezana z delom, ter se pogosto znajdejo v spirali odvisnosti, povezani z vizami, prekomernimi pristojbinami za zaposlovanje, potovalnimi ureditvami in nastanitvijo; ker je za državljane tretjih držav navadno manj verjetno, da se bodo organizirali in pridružili sindikatu, obenem pa imajo več težav pri dostopu do pravosodnega sistema in uveljavljanju svojih pravic;</w:t>
      </w:r>
    </w:p>
    <w:p w14:paraId="715B2A44" w14:textId="77777777" w:rsidR="004D0D0B" w:rsidRPr="00504139" w:rsidRDefault="004D0D0B" w:rsidP="004D0D0B">
      <w:pPr>
        <w:pStyle w:val="NormalHanging12a"/>
      </w:pPr>
      <w:r w:rsidRPr="00504139">
        <w:t>K.</w:t>
      </w:r>
      <w:r w:rsidRPr="00504139">
        <w:tab/>
        <w:t>ker nepoštena praksa „zaposlovanja za napotitev“, pri kateri se državljani tretjih držav ne zaposlijo za delo v državi članici zaposlitve, temveč izključno z namenom, da se napotijo v drugo državo članico, postaja vse pogostejša; ker je ELA to opredelil kot vse večji izziv pri izvrševanju zakonodaje</w:t>
      </w:r>
      <w:r w:rsidRPr="00504139">
        <w:rPr>
          <w:rStyle w:val="FootnoteReference"/>
        </w:rPr>
        <w:footnoteReference w:id="22"/>
      </w:r>
      <w:r w:rsidRPr="00504139">
        <w:t>;</w:t>
      </w:r>
    </w:p>
    <w:p w14:paraId="51715FDF" w14:textId="77777777" w:rsidR="004D0D0B" w:rsidRPr="00504139" w:rsidRDefault="004D0D0B" w:rsidP="004D0D0B">
      <w:pPr>
        <w:pStyle w:val="NormalHanging12a"/>
      </w:pPr>
      <w:r w:rsidRPr="00504139">
        <w:t>L.</w:t>
      </w:r>
      <w:r w:rsidRPr="00504139">
        <w:tab/>
        <w:t>ker je horizontalna in vertikalna oddaja naročil podizvajalcem ključna praksa v številnih sektorjih, zlasti pri obsežnih projektih, saj omogoča prožen dostop do specializiranega znanja in stroškovno učinkovito zadovoljevanje specifičnih potreb; ker je sklepanje pogodb s podizvajalci pomemben element na področju zaposlovanja, zlasti za mala in srednja podjetja ter mikropodjetja; ker lahko oddaja naročil podizvajalcem ustvarja dodano vrednost za naročnike ter povečuje učinkovitost in spodbujа inovacije, zlasti v sektorjih, izpostavljenih globalni konkurenci; ker sama oddaja naročil podizvajalcem ni problematična, zlasti kadar so potrebne specifične kompetence; ker je dobro delujoče oddajanje naročil podizvajalcem pomembno za pošteno konkurenco v EU, pri čemer še zlasti koristi malim in srednjim podjetjem; ker se obseg oddaje naročil podizvajalcem med sektorji in podjetji znatno razlikuje;</w:t>
      </w:r>
    </w:p>
    <w:p w14:paraId="0577E0E1" w14:textId="77777777" w:rsidR="004D0D0B" w:rsidRPr="00504139" w:rsidRDefault="004D0D0B" w:rsidP="004D0D0B">
      <w:pPr>
        <w:pStyle w:val="NormalHanging12a"/>
      </w:pPr>
      <w:r w:rsidRPr="00504139">
        <w:t>M.</w:t>
      </w:r>
      <w:r w:rsidRPr="00504139">
        <w:tab/>
        <w:t>ker lahko dolge in zapletene podizvajalske verige izkrivijo pošteno konkurenco, zabrišejo odgovornost, spodkopavajo pravice delavcev ter povečajo tveganja, povezana z goljufijami, izkoriščanjem delavcev, infiltracijo kriminala ter varnostjo in zdravjem pri delu, zlasti v sektorjih z visokim tveganjem in čezmejnih okoliščinah; ker lahko v nekaterih primerih pomanjkanje preglednosti in nadzora v razširjenih podizvajalskih ureditvah javnim naročnikom oteži zagotavljanje skladnosti z veljavno zakonodajo EU in nacionalno zakonodajo;</w:t>
      </w:r>
    </w:p>
    <w:p w14:paraId="43E51695" w14:textId="7E7372BD" w:rsidR="004D0D0B" w:rsidRPr="00504139" w:rsidRDefault="00FA4FD9" w:rsidP="004D0D0B">
      <w:pPr>
        <w:pStyle w:val="NormalHanging12a"/>
      </w:pPr>
      <w:r w:rsidRPr="00504139">
        <w:t>N</w:t>
      </w:r>
      <w:r w:rsidR="004D0D0B" w:rsidRPr="00504139">
        <w:t>.</w:t>
      </w:r>
      <w:r w:rsidR="004D0D0B" w:rsidRPr="00504139">
        <w:tab/>
        <w:t xml:space="preserve">ker bi pravila, ki omejujejo oddajo naročil podizvajalcem, lahko vplivala na vrednostne verige podjetij, zlasti v sektorjih, izpostavljenih svetovni konkurenci; ker je take ukrepe treba uravnotežiti s potrebo po zaščiti malih in srednjih podjetij, ki delujejo v sektorjih z </w:t>
      </w:r>
      <w:r w:rsidR="004D0D0B" w:rsidRPr="00504139">
        <w:lastRenderedPageBreak/>
        <w:t>nizkim tveganjem za zlorabo pri oddaji naročil podizvajalcem, kjer za razliko od sektorjev z visokim tveganjem ni potrebe po omejevanju podizvajalskih verig; ker solidarna odgovornost v podizvajalskih verigah izpolnjuje dvojni cilj, da se izkoriščanim delavcem omogoči pravno sredstvo in da se izvajalce po celotni verigi spodbudi, naj prostovoljno omejijo dolžino in zapletenost oddaje naročil podizvajalcem;</w:t>
      </w:r>
    </w:p>
    <w:p w14:paraId="46A02AEB" w14:textId="2E05BD63" w:rsidR="004D0D0B" w:rsidRPr="00504139" w:rsidRDefault="00FA4FD9" w:rsidP="004D0D0B">
      <w:pPr>
        <w:pStyle w:val="NormalHanging12a"/>
      </w:pPr>
      <w:r w:rsidRPr="00504139">
        <w:t>O</w:t>
      </w:r>
      <w:r w:rsidR="004D0D0B" w:rsidRPr="00504139">
        <w:t>.</w:t>
      </w:r>
      <w:r w:rsidR="004D0D0B" w:rsidRPr="00504139">
        <w:tab/>
        <w:t>ker so nekatere države članice sprejele zakonodajo, ki omejuje dolžino podizvajalskih verig ali v določenih sektorjih popolnoma prepoveduje oddajo naročil podizvajalcem</w:t>
      </w:r>
      <w:r w:rsidR="004D0D0B" w:rsidRPr="00504139">
        <w:rPr>
          <w:rStyle w:val="FootnoteReference"/>
        </w:rPr>
        <w:footnoteReference w:id="23"/>
      </w:r>
      <w:r w:rsidR="004D0D0B" w:rsidRPr="00504139">
        <w:t>, s čimer se je povečalo število neposredno zaposlenih delavcev; ker Komisija ocenjuje, da bi omejitev števila ravni v podizvajalskih verigah in/ali razširitev odgovornosti podizvajalcev na celotno verigo lahko pomagala državam članicam kot glavnim odgovornim akterjem za izvrševanje pravil o napotitvi delavcev, po potrebi pa tudi socialnim partnerjem, da na sorazmeren in nediskriminatoren način povečajo preglednost in odgovornost v podizvajalskih verigah</w:t>
      </w:r>
      <w:r w:rsidR="004D0D0B" w:rsidRPr="00504139">
        <w:rPr>
          <w:rStyle w:val="FootnoteReference"/>
        </w:rPr>
        <w:footnoteReference w:id="24"/>
      </w:r>
      <w:r w:rsidR="004D0D0B" w:rsidRPr="00504139">
        <w:t>; ker so nekatera podjetja prostovoljno omejila dolžino svojih podizvajalskih verig;</w:t>
      </w:r>
    </w:p>
    <w:p w14:paraId="099B5C94" w14:textId="2D3F5B34" w:rsidR="004D0D0B" w:rsidRPr="00504139" w:rsidRDefault="00FA4FD9" w:rsidP="004D0D0B">
      <w:pPr>
        <w:pStyle w:val="NormalHanging12a"/>
      </w:pPr>
      <w:r w:rsidRPr="00504139">
        <w:t>P</w:t>
      </w:r>
      <w:r w:rsidR="004D0D0B" w:rsidRPr="00504139">
        <w:t>.</w:t>
      </w:r>
      <w:r w:rsidR="004D0D0B" w:rsidRPr="00504139">
        <w:tab/>
        <w:t>ker praksa posredovanja delovne sile, z izjemo začasnega agencijskega dela, v zakonodaji EU ni opredeljena</w:t>
      </w:r>
      <w:r w:rsidR="004D0D0B" w:rsidRPr="00504139">
        <w:rPr>
          <w:rStyle w:val="FootnoteReference"/>
        </w:rPr>
        <w:footnoteReference w:id="25"/>
      </w:r>
      <w:r w:rsidR="004D0D0B" w:rsidRPr="00504139">
        <w:t>; ker ima lahko posredovanje delovne sile številne oblike, ki segajo od uveljavljenih podjetij do posameznih delodajalcev; ker se lahko za posrednike na trgu dela izdajajo celo neformalni posredniki in vodje tolp;</w:t>
      </w:r>
    </w:p>
    <w:p w14:paraId="283B6020" w14:textId="729AA45E" w:rsidR="004D0D0B" w:rsidRPr="00504139" w:rsidRDefault="00FA4FD9" w:rsidP="004D0D0B">
      <w:pPr>
        <w:pStyle w:val="NormalHanging12a"/>
      </w:pPr>
      <w:r w:rsidRPr="00504139">
        <w:t>Q</w:t>
      </w:r>
      <w:r w:rsidR="004D0D0B" w:rsidRPr="00504139">
        <w:t>.</w:t>
      </w:r>
      <w:r w:rsidR="004D0D0B" w:rsidRPr="00504139">
        <w:tab/>
        <w:t>ker nepoštene trgovinske prakse, vključno z nakupovanjem po ceni, ki je nižja od stroškov trajnostne proizvodnje, določitvijo kratkih dobavnih rokov in plačilnimi zamudami, veljajo za ključne dejavnike, ki spodbujajo zlorabo pri oddaji naročil podizvajalcem; ker so mala in srednja podjetja, ki pri javnih naročilih sodelujejo kot podizvajalci, pogosto prikrajšana, ker glavni izvajalci zamujajo s plačili;</w:t>
      </w:r>
    </w:p>
    <w:p w14:paraId="08E3749C" w14:textId="31A0991E" w:rsidR="004D0D0B" w:rsidRPr="00504139" w:rsidRDefault="00FA4FD9" w:rsidP="004D0D0B">
      <w:pPr>
        <w:pStyle w:val="NormalHanging12a"/>
      </w:pPr>
      <w:r w:rsidRPr="00504139">
        <w:t>R</w:t>
      </w:r>
      <w:r w:rsidR="004D0D0B" w:rsidRPr="00504139">
        <w:t>.</w:t>
      </w:r>
      <w:r w:rsidR="004D0D0B" w:rsidRPr="00504139">
        <w:tab/>
        <w:t>ker je v sektorjih, kjer je oddajanje naročil podizvajalcem razširjeno, praksa zagotavljanja, da delavci ob prenosu zaradi zamenjave izvajalca ohranijo svoje pravice in delovne pogoje, bistven zaščitni ukrep, da se poskrbi za stabilnost zaposlitve, zagotovijo standardi zdravja in varnosti ter prepreči socialni damping;</w:t>
      </w:r>
    </w:p>
    <w:p w14:paraId="18FD3501" w14:textId="791EEE2F" w:rsidR="004D0D0B" w:rsidRPr="00504139" w:rsidRDefault="00FA4FD9" w:rsidP="004D0D0B">
      <w:pPr>
        <w:pStyle w:val="NormalHanging12a"/>
      </w:pPr>
      <w:r w:rsidRPr="00504139">
        <w:t>S</w:t>
      </w:r>
      <w:r w:rsidR="004D0D0B" w:rsidRPr="00504139">
        <w:t>.</w:t>
      </w:r>
      <w:r w:rsidR="004D0D0B" w:rsidRPr="00504139">
        <w:tab/>
        <w:t xml:space="preserve">ker se neregulirani ali prikriti posredniki na trgu dela v nekaterih primerih uporabljajo za prikrivanje delovne zakonodaje in odgovornosti delodajalca ter izogibanje slednjima, zlasti v sektorjih z visokim tveganjem; ker je zloraba zaposlovanja in posredovanja pogosto povezana s ponarejanjem ali zadrževanjem informacij, neizdajo pisnih pogodb, nalaganjem nelegitimnih pristojbin za zaposlovanje, odtegovanjem pretiranih stroškov nastanitve od plač, zaračunavanjem stroškov prevoza, usposabljanja, opreme ali </w:t>
      </w:r>
      <w:r w:rsidR="004D0D0B" w:rsidRPr="00504139">
        <w:lastRenderedPageBreak/>
        <w:t>delovnih dovoljenj, zasegom potnih listov ali z izvajanjem prisilnega dela oziroma preprečevanjem sindikalnega organiziranja; ker lahko boljše in ciljno usmerjene inšpekcije dela prispevajo k boju proti takim kršitvam;</w:t>
      </w:r>
    </w:p>
    <w:p w14:paraId="44E720E9" w14:textId="32A47C8F" w:rsidR="004D0D0B" w:rsidRPr="00504139" w:rsidRDefault="00FA4FD9" w:rsidP="004D0D0B">
      <w:pPr>
        <w:pStyle w:val="NormalHanging12a"/>
      </w:pPr>
      <w:r w:rsidRPr="00504139">
        <w:t>T</w:t>
      </w:r>
      <w:r w:rsidR="004D0D0B" w:rsidRPr="00504139">
        <w:t>.</w:t>
      </w:r>
      <w:r w:rsidR="004D0D0B" w:rsidRPr="00504139">
        <w:tab/>
        <w:t>ker je v odziv na te izzive več držav članic EU sprejelo nacionalne akcijske načrte in politike za boj proti izkoriščanju delavcev, tudi z ukrepi za obravnavo zlorab v podizvajalskih verigah in pri posrednikih na trgu dela</w:t>
      </w:r>
      <w:r w:rsidR="004D0D0B" w:rsidRPr="00504139">
        <w:rPr>
          <w:rStyle w:val="FootnoteReference"/>
        </w:rPr>
        <w:footnoteReference w:id="26"/>
      </w:r>
      <w:r w:rsidR="004D0D0B" w:rsidRPr="00504139">
        <w:t>;</w:t>
      </w:r>
    </w:p>
    <w:p w14:paraId="71E6514D" w14:textId="6B4B3A9C" w:rsidR="004D0D0B" w:rsidRPr="00504139" w:rsidRDefault="00FA4FD9" w:rsidP="004D0D0B">
      <w:pPr>
        <w:pStyle w:val="NormalHanging12a"/>
      </w:pPr>
      <w:r w:rsidRPr="00504139">
        <w:t>U</w:t>
      </w:r>
      <w:r w:rsidR="004D0D0B" w:rsidRPr="00504139">
        <w:t>.</w:t>
      </w:r>
      <w:r w:rsidR="004D0D0B" w:rsidRPr="00504139">
        <w:tab/>
        <w:t>ker so socialni partnerji na ravni EU, nacionalni in lokalni ravni, pa tudi na sektorski in medsektorski ravni sprejeli ukrepe za reševanje vprašanj, povezanih z zlorabo pri oddaji naročil podizvajalcem in posredovanju dela, tudi prek kolektivnih pogajanj, ter z izvedbo skupnih pobud, ki varujejo resna podjetja in ščitijo pravice delavcev;</w:t>
      </w:r>
    </w:p>
    <w:p w14:paraId="2BC9DBD4" w14:textId="40146982" w:rsidR="004D0D0B" w:rsidRPr="00504139" w:rsidRDefault="00FA4FD9" w:rsidP="004D0D0B">
      <w:pPr>
        <w:pStyle w:val="NormalHanging12a"/>
      </w:pPr>
      <w:r w:rsidRPr="00504139">
        <w:t>V</w:t>
      </w:r>
      <w:r w:rsidR="004D0D0B" w:rsidRPr="00504139">
        <w:t>.</w:t>
      </w:r>
      <w:r w:rsidR="004D0D0B" w:rsidRPr="00504139">
        <w:tab/>
        <w:t>ker že obstaja posebna zakonodaja, ki ureja oddajo naročil podizvajalcem v civilnem letalstvu, vključno z zakupom zrakoplovov, posadke, vzdrževanjem in zavarovanjem, znanim tudi kot „zakup s posadko“; ker se je uporaba zakupa s posadko povečala in obenem presegla svojo namembnost, da zapolni zmogljivosti med konicami; ker bi Komisija težave, povezane z zakupom s posadko, morala obravnavati v prihodnji reviziji uredbe o zračnih prevozih</w:t>
      </w:r>
      <w:r w:rsidR="004D0D0B" w:rsidRPr="00504139">
        <w:rPr>
          <w:rStyle w:val="FootnoteReference"/>
        </w:rPr>
        <w:footnoteReference w:id="27"/>
      </w:r>
      <w:r w:rsidR="004D0D0B" w:rsidRPr="00504139">
        <w:t>;</w:t>
      </w:r>
    </w:p>
    <w:p w14:paraId="7A031A5F" w14:textId="6A207D5C" w:rsidR="004D0D0B" w:rsidRPr="00504139" w:rsidRDefault="00FA4FD9" w:rsidP="004D0D0B">
      <w:pPr>
        <w:pStyle w:val="NormalHanging12a"/>
      </w:pPr>
      <w:r w:rsidRPr="00504139">
        <w:t>W</w:t>
      </w:r>
      <w:r w:rsidR="004D0D0B" w:rsidRPr="00504139">
        <w:t>.</w:t>
      </w:r>
      <w:r w:rsidR="004D0D0B" w:rsidRPr="00504139">
        <w:tab/>
        <w:t>ker Komisija poudarja norveški model Skien</w:t>
      </w:r>
      <w:r w:rsidR="004D0D0B" w:rsidRPr="00504139">
        <w:rPr>
          <w:rStyle w:val="FootnoteReference"/>
        </w:rPr>
        <w:footnoteReference w:id="28"/>
      </w:r>
      <w:r w:rsidR="004D0D0B" w:rsidRPr="00504139">
        <w:t>, ki so ga skupaj razvili občina Skien, sindikati in organizacije delodajalcev ter ki vključuje stroge omejitve za dolge podizvajalske verige in predhodno odobritev začasnega dela, s čimer naj bi se v sektorjih z visokim tveganjem zagotovili odgovornost in ustrezni delovni pogoji;</w:t>
      </w:r>
    </w:p>
    <w:p w14:paraId="64179DDA" w14:textId="7B762A27" w:rsidR="004D0D0B" w:rsidRPr="00504139" w:rsidRDefault="00FA4FD9" w:rsidP="004D0D0B">
      <w:pPr>
        <w:pStyle w:val="NormalHanging12a"/>
      </w:pPr>
      <w:r w:rsidRPr="00504139">
        <w:t>X</w:t>
      </w:r>
      <w:r w:rsidR="004D0D0B" w:rsidRPr="00504139">
        <w:t>.</w:t>
      </w:r>
      <w:r w:rsidR="004D0D0B" w:rsidRPr="00504139">
        <w:tab/>
        <w:t>ker so se države članice, Komisija in socialni partnerji v izjavi iz La Hulpa zavezali, da bodo posebno pozornost namenili ukrepom na področjih oddaje naročil podizvajalcem in agencijskega dela, pri čemer so priznali skupne izzive, ki ju ta pojava pomenita za evropske trge dela; ker je v poročilu Lette poudarjeno, da je treba za preprečevanje izkoriščanja in zlorab nujno urediti prakse oddaje naročil podizvajalcem; ker je v poročilu opozorjeno, da lahko nenadzorovane podizvajalske verige povzročijo krčenje delovnih standardov, socialni damping in spodkopavanje poštene konkurence ter kršitve obveznosti glede varnosti in zdravja pri delu;</w:t>
      </w:r>
    </w:p>
    <w:p w14:paraId="790FB166" w14:textId="7F3C2468" w:rsidR="004D0D0B" w:rsidRPr="00504139" w:rsidRDefault="00FA4FD9" w:rsidP="004D0D0B">
      <w:pPr>
        <w:pStyle w:val="NormalHanging12a"/>
      </w:pPr>
      <w:r w:rsidRPr="00504139">
        <w:t>Y</w:t>
      </w:r>
      <w:r w:rsidR="004D0D0B" w:rsidRPr="00504139">
        <w:t>.</w:t>
      </w:r>
      <w:r w:rsidR="004D0D0B" w:rsidRPr="00504139">
        <w:tab/>
        <w:t xml:space="preserve">ker morajo države članice v skladu s členom 12(2) Direktive 2014/67/EU v okviru napotitve delavcev v gradbenem sektorju uvesti odgovornost podizvajalcev, člen 12(1) </w:t>
      </w:r>
      <w:r w:rsidR="004D0D0B" w:rsidRPr="00504139">
        <w:lastRenderedPageBreak/>
        <w:t>pa jim omogoča, da to odgovornost razširijo tudi na druge sektorje in uvedejo strožja pravila odgovornosti;</w:t>
      </w:r>
    </w:p>
    <w:p w14:paraId="6A1583E6" w14:textId="414DAEEE" w:rsidR="004D0D0B" w:rsidRPr="00504139" w:rsidRDefault="00FA4FD9" w:rsidP="004D0D0B">
      <w:pPr>
        <w:pStyle w:val="NormalHanging12a"/>
      </w:pPr>
      <w:r w:rsidRPr="00504139">
        <w:t>Z</w:t>
      </w:r>
      <w:r w:rsidR="004D0D0B" w:rsidRPr="00504139">
        <w:t>.</w:t>
      </w:r>
      <w:r w:rsidR="004D0D0B" w:rsidRPr="00504139">
        <w:tab/>
        <w:t>ker je večina držav uvedla določena pravila glede podizvajalskih verig in posrednikov na trgu dela, ob upoštevanju nacionalnih posebnosti; ker se raven regulacije med posameznimi državami članicami sicer znatno razlikuje, kar povzroča razdrobljenost enotnega trga; ker so še vedno prisotni izzivi zaradi različnih razlag glede uporabe pravil notranjega trga pri regulaciji podizvajalskih verig in posrednikov na trgu dela; ker Direktiva 2014/24/EU javnim naročnikom ne zagotavlja ustreznih orodij, s katerimi bi lahko učinkovito obravnavali neizvajanje pogodb o javnem naročilu, v nekaterih primerih pa organe, ki želijo sprejeti proaktivne ukrepe, celo ovira;</w:t>
      </w:r>
    </w:p>
    <w:p w14:paraId="5671F37B" w14:textId="5C3CB1C2" w:rsidR="004D0D0B" w:rsidRPr="00504139" w:rsidRDefault="00FA4FD9" w:rsidP="004D0D0B">
      <w:pPr>
        <w:pStyle w:val="NormalHanging12a"/>
      </w:pPr>
      <w:r w:rsidRPr="00504139">
        <w:t>AA</w:t>
      </w:r>
      <w:r w:rsidR="004D0D0B" w:rsidRPr="00504139">
        <w:t>.</w:t>
      </w:r>
      <w:r w:rsidR="004D0D0B" w:rsidRPr="00504139">
        <w:tab/>
        <w:t>ker so za boj proti neprijavljenemu delu, trgovini z ljudmi in izkoriščanju delovne sile potrebne stroge inšpekcije dela, čezmejni pregledi ter učinkovito izdajanje dovoljenj ali registracija posrednikov na trgu dela; ker lahko izvrševanje veljavnih pravil in boljše sodelovanje med državami članicami prispevata k reševanju težav, povezanih z zlorabami na področju oddaje naročil podizvajalcem in posredovanja dela;</w:t>
      </w:r>
    </w:p>
    <w:p w14:paraId="6C96A938" w14:textId="77777777" w:rsidR="004D0D0B" w:rsidRPr="00504139" w:rsidRDefault="004D0D0B" w:rsidP="004D0D0B">
      <w:pPr>
        <w:pStyle w:val="NormalHanging12a"/>
        <w:rPr>
          <w:b/>
          <w:i/>
          <w:iCs/>
        </w:rPr>
      </w:pPr>
      <w:r w:rsidRPr="00504139">
        <w:rPr>
          <w:b/>
          <w:i/>
        </w:rPr>
        <w:t>Preprečevanje izkoriščanja delovne sile</w:t>
      </w:r>
    </w:p>
    <w:p w14:paraId="6AE6CCFE" w14:textId="77777777" w:rsidR="004D0D0B" w:rsidRPr="00504139" w:rsidRDefault="004D0D0B" w:rsidP="004D0D0B">
      <w:pPr>
        <w:pStyle w:val="NormalHanging12a"/>
      </w:pPr>
      <w:r w:rsidRPr="00504139">
        <w:t>1.</w:t>
      </w:r>
      <w:r w:rsidRPr="00504139">
        <w:tab/>
        <w:t>poudarja, da je potreben celovit pristop EU k obravnavi izkoriščanja delovne sile, vključno z nezakonitim delom in z njim povezanim organiziranim kriminalom, ter nepoštenih oblik poslovnih praks, zlasti zlorab pri oddaji naročil podizvajalcem in posredovanju dela; zato poziva k strategiji EU za boj proti tem težavam, katerih vpliv se lahko med državami članicami in sektorji razlikuje; poudarja, da izkoriščanje delovne sile ni le kršitev pravic delavcev in človekovih pravic, temveč tudi spodkopava pošteno konkurenco za podjetja; v zvezi s tem pozdravlja zavezo Komisije, da bo v letu 2026 predstavila sveženj za pravično mobilnost delovne sile; opozarja, da splošni cilji krepitve konkurenčnosti evropskih podjetij ter poenostavitve in zmanjševanja nepotrebnih upravnih bremen ne smejo povzročiti znižanja ravni varstva delavcev; poudarja, da je treba strožje izvrševati veljavno delovno zakonodajo, da bi se zagotovili učinkovito varstvo pravic delavcev in enaki konkurenčni pogoji na enotnem trgu;</w:t>
      </w:r>
    </w:p>
    <w:p w14:paraId="33530BA9" w14:textId="77777777" w:rsidR="004D0D0B" w:rsidRPr="00504139" w:rsidRDefault="004D0D0B" w:rsidP="004D0D0B">
      <w:pPr>
        <w:pStyle w:val="NormalHanging12a"/>
      </w:pPr>
      <w:r w:rsidRPr="00504139">
        <w:t>2.</w:t>
      </w:r>
      <w:r w:rsidRPr="00504139">
        <w:tab/>
        <w:t>opozarja na izzive, s katerimi se nekatere države članice spoprijemajo zaradi različnih razlag pravil enotnega trga pri urejanju oddaje naročil podizvajalcem na nacionalni ravni, na primer z omejevanjem dolžine podizvajalskih verig, solidarno odgovornostjo in zahtevami po neposredni zaposlitvi; poziva Komisijo, naj pojasni možnosti, da države članice sprejmejo zakonodajo, ki bo primerna za reševanje tveganj in težav, ki izhajajo iz dolgih in zapletenih podizvajalskih verig; poziva Komisijo, naj okrepi prizadevanja za boj proti izkoriščanju delovne sile;</w:t>
      </w:r>
    </w:p>
    <w:p w14:paraId="6E883E6C" w14:textId="38700BF0" w:rsidR="004D0D0B" w:rsidRPr="00504139" w:rsidRDefault="00504139" w:rsidP="004D0D0B">
      <w:pPr>
        <w:pStyle w:val="NormalHanging12a"/>
      </w:pPr>
      <w:r w:rsidRPr="00504139">
        <w:t>3</w:t>
      </w:r>
      <w:r w:rsidR="004D0D0B" w:rsidRPr="00504139">
        <w:t>.</w:t>
      </w:r>
      <w:r w:rsidR="004D0D0B" w:rsidRPr="00504139">
        <w:tab/>
        <w:t xml:space="preserve">poziva Komisijo, naj </w:t>
      </w:r>
      <w:r w:rsidR="009E00BA" w:rsidRPr="00504139">
        <w:t>poveča preglednost in odgovornost v celotni dobavni verigi, da bi prekinili zlorabo na področju oddaje naročil podizvajalcem in zaščitili pravice delavcev</w:t>
      </w:r>
      <w:r w:rsidR="004D0D0B" w:rsidRPr="00504139">
        <w:rPr>
          <w:rStyle w:val="FootnoteReference"/>
        </w:rPr>
        <w:footnoteReference w:id="29"/>
      </w:r>
      <w:r w:rsidR="004D0D0B" w:rsidRPr="00504139">
        <w:t>;</w:t>
      </w:r>
    </w:p>
    <w:p w14:paraId="7BCF9B0F" w14:textId="3D86D7E5" w:rsidR="004D0D0B" w:rsidRPr="00504139" w:rsidRDefault="00504139" w:rsidP="004D0D0B">
      <w:pPr>
        <w:pStyle w:val="NormalHanging12a"/>
      </w:pPr>
      <w:r w:rsidRPr="00504139">
        <w:t>4</w:t>
      </w:r>
      <w:r w:rsidR="004D0D0B" w:rsidRPr="00504139">
        <w:t>.</w:t>
      </w:r>
      <w:r w:rsidR="004D0D0B" w:rsidRPr="00504139">
        <w:tab/>
        <w:t xml:space="preserve">poudarja, da bi bilo treba pri vsaki pobudi na ravni EU, katere cilj je obravnavati izkoriščanje delovne sile in zapletene podizvajalske verige, upoštevati najboljše prakse držav članic, razvita bi morala biti v tesnem sodelovanju s socialnimi partnerji, vključno z evropskimi odbori za sektorski socialni dialog, ter prilagojena realnosti specifičnih sektorjev; ponovno poudarja, da morajo biti vsi ukrepi in pobude za posamezne </w:t>
      </w:r>
      <w:r w:rsidR="004D0D0B" w:rsidRPr="00504139">
        <w:lastRenderedPageBreak/>
        <w:t>sektorje, vključno s solidarno odgovornostjo v sektorjih z visokim tveganjem, skladni z zakonodajo EU in ne smejo ustvarjati nepotrebnih ovir za čezmejne gospodarske dejavnosti; poudarja, da lahko ukrepi in pobude za posamezne sektorje prav tako določajo nižje regulativne zahteve za podjetja v sektorjih z nizkim tveganjem;</w:t>
      </w:r>
    </w:p>
    <w:p w14:paraId="667C88F4" w14:textId="791540A2" w:rsidR="004D0D0B" w:rsidRPr="00504139" w:rsidRDefault="00504139" w:rsidP="004D0D0B">
      <w:pPr>
        <w:pStyle w:val="NormalHanging12a"/>
      </w:pPr>
      <w:r w:rsidRPr="00504139">
        <w:t>5</w:t>
      </w:r>
      <w:r w:rsidR="004D0D0B" w:rsidRPr="00504139">
        <w:t>.</w:t>
      </w:r>
      <w:r w:rsidR="004D0D0B" w:rsidRPr="00504139">
        <w:tab/>
        <w:t>poudarja, da je načelo solidarne odgovornosti način za zagotovitev, da glavni izvajalec nosi skupno odgovornost za storitve, ki se zagotavljajo v celotni podizvajalski verigi; meni, da lahko tako načelo zagotovi, da so kakovost, uspešnost in skladnost z delovnimi, socialnimi in varnostnimi standardi pogodbeno zagotovljeni na vseh ravneh podizvajalske verige; ugotavlja, da so številne države članice sklenile sprejeti pravila odgovornosti v podizvajalskih verigah, ki so strožja od minimuma, določenega v členu 12 Direktive 2014/67/EU;</w:t>
      </w:r>
    </w:p>
    <w:p w14:paraId="529EF83E" w14:textId="3F5D7BE4" w:rsidR="004D0D0B" w:rsidRPr="00504139" w:rsidRDefault="00504139" w:rsidP="004D0D0B">
      <w:pPr>
        <w:pStyle w:val="NormalHanging12a"/>
      </w:pPr>
      <w:r w:rsidRPr="00504139">
        <w:t>6</w:t>
      </w:r>
      <w:r w:rsidR="004D0D0B" w:rsidRPr="00504139">
        <w:t>.</w:t>
      </w:r>
      <w:r w:rsidR="004D0D0B" w:rsidRPr="00504139">
        <w:tab/>
        <w:t>poziva Komisijo in države članice, naj obravnavajo prakse, pri katerih glavni izvajalec vse delo odda podizvajalcem, ne da bi sam opravljal kakršno koli delo, kar je znano tudi kot „finančno podizvajalstvo“; poudarja, da bi glavni izvajalci morali določen del pogodbe izvajati sami; v zvezi s tem ponovno poziva Komisijo, naj oceni učinek javnih naročil, ki jih izvajajo predvsem izbrani ponudniki z neposrednimi delavci, in priporoča, naj pravila o javnem naročanju spodbujajo podjetja, da imajo dovolj lastnega osebja za izvajanje projektov, za katere so jim dodeljena javna naročila</w:t>
      </w:r>
      <w:r w:rsidR="004D0D0B" w:rsidRPr="00504139">
        <w:rPr>
          <w:rStyle w:val="FootnoteReference"/>
        </w:rPr>
        <w:footnoteReference w:id="30"/>
      </w:r>
      <w:r w:rsidR="004D0D0B" w:rsidRPr="00504139">
        <w:t>;</w:t>
      </w:r>
    </w:p>
    <w:p w14:paraId="37A6492D" w14:textId="60C18803" w:rsidR="004D0D0B" w:rsidRPr="00504139" w:rsidRDefault="00504139" w:rsidP="004D0D0B">
      <w:pPr>
        <w:pStyle w:val="NormalHanging12a"/>
      </w:pPr>
      <w:r w:rsidRPr="00504139">
        <w:t>7</w:t>
      </w:r>
      <w:r w:rsidR="004D0D0B" w:rsidRPr="00504139">
        <w:t>.</w:t>
      </w:r>
      <w:r w:rsidR="004D0D0B" w:rsidRPr="00504139">
        <w:tab/>
      </w:r>
      <w:r w:rsidR="001E7ADD" w:rsidRPr="00504139">
        <w:t>p</w:t>
      </w:r>
      <w:r w:rsidR="004D0D0B" w:rsidRPr="00504139">
        <w:t>oziva Komisijo in države članice, naj obravnavajo nezakonite prakse v podizvajalskih verigah, da se zagotovijo konkurenčnost podjetij ter pošteni in varni delovni pogoji; v zvezi s tem spodbuja neposredna delovna razmerja v sektorjih z visokim tveganjem, kjer je to izvedljivo, utemeljeno, sorazmerno in temelji na prevladujočih razlogih javnega interesa, kot je varstvo delavcev in njihovih pravic;</w:t>
      </w:r>
    </w:p>
    <w:p w14:paraId="01521759" w14:textId="7B8BC9AE" w:rsidR="004D0D0B" w:rsidRPr="00504139" w:rsidRDefault="00504139" w:rsidP="004D0D0B">
      <w:pPr>
        <w:pStyle w:val="NormalHanging12a"/>
      </w:pPr>
      <w:r w:rsidRPr="00504139">
        <w:t>8</w:t>
      </w:r>
      <w:r w:rsidR="004D0D0B" w:rsidRPr="00504139">
        <w:t>.</w:t>
      </w:r>
      <w:r w:rsidR="004D0D0B" w:rsidRPr="00504139">
        <w:tab/>
        <w:t>poziva Komisijo in države članice, naj spodbujajo vključevanje določb o koristih za skupnost v javna naročila in projekte, financirane s sredstvi EU, na primer z zahtevami, da izvajalci in podizvajalci prispevajo k razvoju lokalnih spretnosti ali k pobudam za socialno vključevanje, s čimer bi se z javnimi naložbami ustvarili pozitivni učinki prelivanja;</w:t>
      </w:r>
    </w:p>
    <w:p w14:paraId="45565632" w14:textId="3CC51C4F" w:rsidR="004D0D0B" w:rsidRPr="00504139" w:rsidRDefault="00504139" w:rsidP="004D0D0B">
      <w:pPr>
        <w:pStyle w:val="NormalHanging12a"/>
      </w:pPr>
      <w:r w:rsidRPr="00504139">
        <w:t>9</w:t>
      </w:r>
      <w:r w:rsidR="004D0D0B" w:rsidRPr="00504139">
        <w:t>.</w:t>
      </w:r>
      <w:r w:rsidR="004D0D0B" w:rsidRPr="00504139">
        <w:tab/>
        <w:t>poudarja, da so nacionalne in regionalne pobude, ki omejujejo število ravni podizvajanja, pogosto skupaj uvedli socialni partnerji, med drugim predstavniki malih in srednjih podjetij; poudarja, da je take pobude treba spoštovati, omejitve oddaje naročil podizvajalcem pa morajo biti sorazmerne;</w:t>
      </w:r>
    </w:p>
    <w:p w14:paraId="1C35A418" w14:textId="3F015C49" w:rsidR="004D0D0B" w:rsidRPr="00504139" w:rsidRDefault="00504139" w:rsidP="004D0D0B">
      <w:pPr>
        <w:pStyle w:val="NormalHanging12a"/>
      </w:pPr>
      <w:r w:rsidRPr="00504139">
        <w:t>10</w:t>
      </w:r>
      <w:r w:rsidR="004D0D0B" w:rsidRPr="00504139">
        <w:t>.</w:t>
      </w:r>
      <w:r w:rsidR="004D0D0B" w:rsidRPr="00504139">
        <w:tab/>
        <w:t>ugotavlja, da sta dolžina in zapletenost podizvajalskih verig pomemben izziv za inšpektorate za delo pri ugotavljanju pravne odgovornosti za kršitve delovne zakonodaje, kar je treba odpraviti;</w:t>
      </w:r>
    </w:p>
    <w:p w14:paraId="50E4E92F" w14:textId="323E3A42" w:rsidR="004D0D0B" w:rsidRPr="00504139" w:rsidRDefault="00504139" w:rsidP="004D0D0B">
      <w:pPr>
        <w:pStyle w:val="NormalHanging12a"/>
      </w:pPr>
      <w:r w:rsidRPr="00504139">
        <w:t>11</w:t>
      </w:r>
      <w:r w:rsidR="004D0D0B" w:rsidRPr="00504139">
        <w:t>.</w:t>
      </w:r>
      <w:r w:rsidR="004D0D0B" w:rsidRPr="00504139">
        <w:tab/>
        <w:t>poudarja, kako pomembno je, da se v vsak nov okvir vključijo določbe, pri katerih se upošteva enakost spolov;</w:t>
      </w:r>
    </w:p>
    <w:p w14:paraId="78D2A050" w14:textId="184DB25F" w:rsidR="004D0D0B" w:rsidRPr="00504139" w:rsidRDefault="00504139" w:rsidP="004D0D0B">
      <w:pPr>
        <w:pStyle w:val="NormalHanging12a"/>
      </w:pPr>
      <w:r w:rsidRPr="00504139">
        <w:t>12</w:t>
      </w:r>
      <w:r w:rsidR="004D0D0B" w:rsidRPr="00504139">
        <w:t>.</w:t>
      </w:r>
      <w:r w:rsidR="004D0D0B" w:rsidRPr="00504139">
        <w:tab/>
        <w:t xml:space="preserve">poudarja, da bi morala Komisija v tesnem sodelovanju z državami članicami in socialnimi partnerji, tudi z evropskimi odbori za sektorski socialni dialog, opredeliti sektorje z visokim tveganjem, da bi omejila razdrobljenost enotnega trga; poudarja, da lahko države članice Komisijo zaprosijo, naj jim dovoli, da skupni seznam sektorjev z visokim tveganjem prilagodijo svojim posebnim nacionalnim razmeram, kjer je to </w:t>
      </w:r>
      <w:r w:rsidR="004D0D0B" w:rsidRPr="00504139">
        <w:lastRenderedPageBreak/>
        <w:t>potrebno, da se zagotovi kar najboljši pristop k spoprijemanju z zlorabami pri oddaji naročil podizvajalcem, izkoriščanjem delovne sile in kaznivimi dejanji, povezanimi z delom; poudarja, da mora vsaka opredelitev in prilagoditev sektorjev z visokim tveganjem temeljiti na natančnih in najnovejših podatkih;</w:t>
      </w:r>
    </w:p>
    <w:p w14:paraId="435D2103" w14:textId="77C0A96B" w:rsidR="004D0D0B" w:rsidRPr="00504139" w:rsidRDefault="00504139" w:rsidP="004D0D0B">
      <w:pPr>
        <w:pStyle w:val="NormalHanging12a"/>
      </w:pPr>
      <w:r w:rsidRPr="00504139">
        <w:t>13</w:t>
      </w:r>
      <w:r w:rsidR="004D0D0B" w:rsidRPr="00504139">
        <w:t>.</w:t>
      </w:r>
      <w:r w:rsidR="004D0D0B" w:rsidRPr="00504139">
        <w:tab/>
        <w:t>Ugotavlja, da lahko oddaja naročil, povezanih s ključnimi poslovnimi dejavnosti, podizvajalcem vodi do razdrobljenih in nevarnih delovnih mest, zmanjšane preglednosti in odgovornosti ter večje izpostavljenosti delavcev daljšemu delovnemu času, nižjim plačam in drugim kršitvam delovne zakonodaje, pa tudi negotovosti in prekarnosti zaposlitve</w:t>
      </w:r>
      <w:r w:rsidR="004D0D0B" w:rsidRPr="00504139">
        <w:rPr>
          <w:rStyle w:val="FootnoteReference"/>
        </w:rPr>
        <w:footnoteReference w:id="31"/>
      </w:r>
      <w:r w:rsidR="004D0D0B" w:rsidRPr="00504139">
        <w:t>; poudarja, da je treba v skladu z Direktivo 2002/14/ES</w:t>
      </w:r>
      <w:r w:rsidR="004D0D0B" w:rsidRPr="00504139">
        <w:rPr>
          <w:rStyle w:val="FootnoteReference"/>
        </w:rPr>
        <w:footnoteReference w:id="32"/>
      </w:r>
      <w:r w:rsidR="004D0D0B" w:rsidRPr="00504139">
        <w:t xml:space="preserve"> predstavnike delavcev obveščati in se z njimi posvetovati o odločitvah, ki bi lahko privedle do bistvenih sprememb v organizaciji dela ali pogodbenih razmerjih; poziva Komisijo in države članice, naj zagotovijo načelo enake obravnave ter dostojne delovne pogoje za vse delavce;</w:t>
      </w:r>
    </w:p>
    <w:p w14:paraId="66C844FB" w14:textId="353075F1" w:rsidR="004D0D0B" w:rsidRPr="00504139" w:rsidRDefault="00504139" w:rsidP="004D0D0B">
      <w:pPr>
        <w:pStyle w:val="NormalHanging12a"/>
      </w:pPr>
      <w:r w:rsidRPr="00504139">
        <w:t>14</w:t>
      </w:r>
      <w:r w:rsidR="004D0D0B" w:rsidRPr="00504139">
        <w:t>.</w:t>
      </w:r>
      <w:r w:rsidR="004D0D0B" w:rsidRPr="00504139">
        <w:tab/>
        <w:t>izraža zaskrbljenost zaradi pravne nejasnosti glede razlikovanja med dejanskimi in goljufivimi napotitvami državljanov tretjih držav ter zlorab zakonodaje EU o opravljanju storitev zaradi izogibanja pravilom na področju migracij in nacionalni delovni zakonodaji; poudarja, da goljufive napotitve spodkopavajo socialno tkivo enotnega trga in izkoriščajo položaj najbolj ranljivih ljudi; v skladu sporočilom Lette poziva Komisijo, naj preuči izzive v zvezi z izvrševanjem, zlasti glede čezmejnega sodelovanja, in sprejme ustrezne ukrepe za preprečitev napotitev, pri katerih delavci nimajo nobene dejanske povezave z državo članico pošiljateljico; opozarja na splošno ugotovitev iz poročila Lette in Draghijevega poročila, da je treba povečati konkurenčnost enotnega trga;</w:t>
      </w:r>
    </w:p>
    <w:p w14:paraId="2C0B49AB" w14:textId="1F2972FF" w:rsidR="004D0D0B" w:rsidRPr="00504139" w:rsidRDefault="00504139" w:rsidP="004D0D0B">
      <w:pPr>
        <w:pStyle w:val="NormalHanging12a"/>
      </w:pPr>
      <w:r w:rsidRPr="00504139">
        <w:t>15</w:t>
      </w:r>
      <w:r w:rsidR="004D0D0B" w:rsidRPr="00504139">
        <w:t>.</w:t>
      </w:r>
      <w:r w:rsidR="004D0D0B" w:rsidRPr="00504139">
        <w:tab/>
        <w:t>z zaskrbljenostjo opaža tveganja, povezana z napotitvijo delavcev, v kombinaciji z nepoštenimi oblikami oddajanja naročil podizvajalcem in posredovanja dela; poziva ELA, naj preveri uporabo posrednikov na trgu dela pri napotitvah, vključno s tveganjem, da bi se te ureditve uporabljale za izogibanje odgovornostim in obveznostim glede socialne varnosti ter za spodkopavanje standardov zdravja in varnosti; poziva Komisijo, naj obravnava morebitne zlorabe direktive o delu prek agencij za zagotavljanje začasnega dela</w:t>
      </w:r>
      <w:r w:rsidR="004D0D0B" w:rsidRPr="00504139">
        <w:rPr>
          <w:rStyle w:val="FootnoteReference"/>
        </w:rPr>
        <w:footnoteReference w:id="33"/>
      </w:r>
      <w:r w:rsidR="004D0D0B" w:rsidRPr="00504139">
        <w:t xml:space="preserve"> v okviru napotitve delavcev;</w:t>
      </w:r>
    </w:p>
    <w:p w14:paraId="481601F5" w14:textId="142D6F50" w:rsidR="004D0D0B" w:rsidRPr="00504139" w:rsidRDefault="00504139" w:rsidP="004D0D0B">
      <w:pPr>
        <w:pStyle w:val="NormalHanging12a"/>
      </w:pPr>
      <w:r w:rsidRPr="00504139">
        <w:t>16</w:t>
      </w:r>
      <w:r w:rsidR="004D0D0B" w:rsidRPr="00504139">
        <w:t>.</w:t>
      </w:r>
      <w:r w:rsidR="004D0D0B" w:rsidRPr="00504139">
        <w:tab/>
        <w:t xml:space="preserve">poudarja, da mora nastanitev, ki jo delavcu zagotovi delodajalec ali posrednik na trgu dela, izpolnjevati veljavne standarde kakovosti, higiene in varnosti; poudarja, da mora biti najemnina za tako nastanitev sorazmerna in nediskriminatorna; poziva, naj se pregledi nastanitve vključijo v inšpekcije dela v sektorjih z visokim tveganjem, da se prepreči, da bi delodajalci ali posredniki delavcem zagotavljali ponižujoče, nevarne ali </w:t>
      </w:r>
      <w:r w:rsidR="004D0D0B" w:rsidRPr="00504139">
        <w:lastRenderedPageBreak/>
        <w:t>prenatrpane nastanitve; poudarja, da določbe pogodb, ki urejajo nastanitev delavca, v primeru prenehanja delovnega razmerja ne smejo povzročiti negotovih bivalnih razmer;</w:t>
      </w:r>
    </w:p>
    <w:p w14:paraId="0F55EFDF" w14:textId="2E141F43" w:rsidR="004D0D0B" w:rsidRPr="00504139" w:rsidRDefault="00504139" w:rsidP="004D0D0B">
      <w:pPr>
        <w:pStyle w:val="NormalHanging12a"/>
      </w:pPr>
      <w:r w:rsidRPr="00504139">
        <w:t>17</w:t>
      </w:r>
      <w:r w:rsidR="004D0D0B" w:rsidRPr="00504139">
        <w:t>.</w:t>
      </w:r>
      <w:r w:rsidR="004D0D0B" w:rsidRPr="00504139">
        <w:tab/>
        <w:t>poziva Komisijo, naj sodeluje z državami članicami, da bi zagotovila učinkovito izvajanje in izvrševanje veljavne zakonodaje o napotitvi delavcev; opozarja, da je EU sprejela več pravnih instrumentov za boj proti izkoriščanju delovne sile in nezakonitemu delu, katerih izvrševanje je treba izboljšati na nacionalni ravni; poziva Komisijo, naj oceni razmere, poskrbi, da bodo države članice učinkovito in uspešno izvajale in izvrševale ustrezne pravne instrumente ter, kjer je potrebno, sproži postopke za kršitev prava proti državam članicam, ki ne spoštujejo veljavne zakonodaje EU;</w:t>
      </w:r>
    </w:p>
    <w:p w14:paraId="6EDFE5A5" w14:textId="01E341C6" w:rsidR="004D0D0B" w:rsidRPr="00504139" w:rsidRDefault="00504139" w:rsidP="004D0D0B">
      <w:pPr>
        <w:pStyle w:val="NormalHanging12a"/>
      </w:pPr>
      <w:r w:rsidRPr="00504139">
        <w:t>18</w:t>
      </w:r>
      <w:r w:rsidR="004D0D0B" w:rsidRPr="00504139">
        <w:t>.</w:t>
      </w:r>
      <w:r w:rsidR="004D0D0B" w:rsidRPr="00504139">
        <w:tab/>
        <w:t>poudarja dodano vrednost javnih, interoperabilnih registrov posrednikov na trgu dela z licenco; poudarja, da morajo za vsako licenco ali registracijo veljati minimalna merila integritete; poziva Komisijo, naj oceni nacionalne prakse in zakonodaje o posrednikih dela ter poskrbi, da posredniki na trgu dela, ki delujejo v EU, ne zaračunavajo morebitnih pristojbin in ne prenašajo stroškov na delavce, in sicer niti neposredno niti posredno in niti v celoti niti delno; poudarja, da bi bilo treba posrednikom na trgu dela, ki kršijo veljavno zakonodajo ali kolektivne pogodbe, naložiti odvračilne sankcije, kot so odstranitev iz javnih registrov in izključitev iz javnih pogodb;</w:t>
      </w:r>
    </w:p>
    <w:p w14:paraId="1E79EE85" w14:textId="065F0853" w:rsidR="004D0D0B" w:rsidRPr="00504139" w:rsidRDefault="00504139" w:rsidP="004D0D0B">
      <w:pPr>
        <w:pStyle w:val="NormalHanging12a"/>
      </w:pPr>
      <w:r w:rsidRPr="00504139">
        <w:t>19</w:t>
      </w:r>
      <w:r w:rsidR="004D0D0B" w:rsidRPr="00504139">
        <w:t>.</w:t>
      </w:r>
      <w:r w:rsidR="004D0D0B" w:rsidRPr="00504139">
        <w:tab/>
        <w:t>poziva, naj se pri prihodnji reviziji direktiv o javnem naročanju poskrbi, da bodo v merilih za izključitev bolje obravnavana specifična področna tveganja, povezana z goljufijami, korupcijo in infiltracijo kriminala; poudarja, da različni sektorji potrebujejo ločena prilagojena merila za izključitev, ki odražajo njihove posebne ranljivosti; poudarja, da je treba naročnikom omogočiti, naj prilagodijo postopke javnega naročanja, da bodo lahko preprečevali in obravnavali kriminalne dejavnosti; poudarja, da je treba za spodbujanje večje učinkovitosti in poenostavitve poskrbeti, da bodo določbe, ki se nanašajo na razloge za izključitev, učinkovitejše; dodaja, da bi moral biti vsak gospodarski subjekt, ki krši svoje obveznosti iz veljavne delovne in okoljske zakonodaje, v skladu s členom 18(2) Direktive 2014/24/EU dejansko izključen iz zadevnega postopka javnega naročanja;</w:t>
      </w:r>
    </w:p>
    <w:p w14:paraId="46C0164B" w14:textId="06CEFEE5" w:rsidR="004D0D0B" w:rsidRPr="00504139" w:rsidRDefault="00504139" w:rsidP="004D0D0B">
      <w:pPr>
        <w:pStyle w:val="NormalHanging12a"/>
      </w:pPr>
      <w:r w:rsidRPr="00504139">
        <w:t>20</w:t>
      </w:r>
      <w:r w:rsidR="004D0D0B" w:rsidRPr="00504139">
        <w:t>.</w:t>
      </w:r>
      <w:r w:rsidR="004D0D0B" w:rsidRPr="00504139">
        <w:tab/>
        <w:t>Poudarja, kako dragoceni so nacionalni poslovni registri in evropski sistem povezovanja poslovnih registrov (European Business Registers Interconnection System) za podjetja, ki iščejo informacije o podizvajalcih, za sindikate, ki želijo sodelovati v kolektivnih pogajanjih, ter za nadzorne organe; obžaluje, da se raven informacij, dostopnih v nacionalnih poslovnih registrih, zelo razlikuje; poziva Komisijo, naj na podlagi dobre prakse v državah članicah preveri, kako bi lahko izboljšali raven javno dostopnih informacij;</w:t>
      </w:r>
    </w:p>
    <w:p w14:paraId="52241B01" w14:textId="4E155E23" w:rsidR="004D0D0B" w:rsidRPr="00504139" w:rsidRDefault="00504139" w:rsidP="004D0D0B">
      <w:pPr>
        <w:pStyle w:val="NormalHanging12a"/>
      </w:pPr>
      <w:r w:rsidRPr="00504139">
        <w:t>21</w:t>
      </w:r>
      <w:r w:rsidR="004D0D0B" w:rsidRPr="00504139">
        <w:t>.</w:t>
      </w:r>
      <w:r w:rsidR="004D0D0B" w:rsidRPr="00504139">
        <w:tab/>
        <w:t>izraža zaskrbljenost, da so napoteni delavci in delavci v podizvajalskih verigah zaradi razdrobljenih verig odgovornosti in nejasne usklajenosti izpostavljeni nesorazmernim tveganjem za varnost in zdravje pri delu, zlasti v gradbenem sektorju; v zvezi s tem poudarja, kako pomembni so obveščanje in posvetovanje z napotenimi delavci ter delavci v podizvajalskih verigah, kot tudi učinkovito izvrševanje določb o varnosti in zdravju pri delu, kot jih določa Konvencija Mednarodne organizacije dela št. 167; v zvezi s tem ocenjuje za pomembno, da se okrepi vloga socialnih partnerjev pri razvoju orodij in usposabljanju delavcev ter da se še naprej spodbuja zdravo delovno okolje v naslednjem strateškem okviru EU za varnost in zdravje pri delu; poziva Komisijo, naj oceni, ali sedanja zakonodaja s področja varnosti in zdravja pri delu ustrezno zajema izvajanje minimalnih zahtev glede varnosti in zdravja v podizvajalskih verigah;</w:t>
      </w:r>
    </w:p>
    <w:p w14:paraId="4E2CD472" w14:textId="77777777" w:rsidR="004D0D0B" w:rsidRPr="00504139" w:rsidRDefault="004D0D0B" w:rsidP="004D0D0B">
      <w:pPr>
        <w:pStyle w:val="NormalHanging12a"/>
        <w:rPr>
          <w:b/>
          <w:i/>
          <w:iCs/>
        </w:rPr>
      </w:pPr>
      <w:r w:rsidRPr="00504139">
        <w:rPr>
          <w:b/>
          <w:i/>
        </w:rPr>
        <w:lastRenderedPageBreak/>
        <w:t>Izvrševanje in nadzor</w:t>
      </w:r>
    </w:p>
    <w:p w14:paraId="28DF0683" w14:textId="24C95630" w:rsidR="004D0D0B" w:rsidRPr="00504139" w:rsidRDefault="00504139" w:rsidP="004D0D0B">
      <w:pPr>
        <w:pStyle w:val="NormalHanging12a"/>
      </w:pPr>
      <w:r w:rsidRPr="00504139">
        <w:t>22</w:t>
      </w:r>
      <w:r w:rsidR="004D0D0B" w:rsidRPr="00504139">
        <w:t>.</w:t>
      </w:r>
      <w:r w:rsidR="004D0D0B" w:rsidRPr="00504139">
        <w:tab/>
        <w:t>opozarja, kako pomembni so čezmejno sodelovanje, učinkovito izvrševanje in preglednost v boju proti kriminalnim mrežam, ki sodelujejo pri kaznivih dejanjih, povezanih z delom; v zvezi s tem podpira okrepljeno sodelovanje med ELA, Europolom, nacionalnimi organi in socialnimi partnerji; poudarja, da so potrebni učinkoviti in ustrezno financirani izvršilni sistemi za boj proti izkoriščanju delovne sile ter spodbujanje poštene konkurence na enotnem trgu; poudarja, da se je treba boriti proti goljufivemu oddajanju naročil podizvajalcem, kjer se uporabljajo umetne ureditve, kot so navidezna podjetja in navidezno delo prek agencij za zagotavljanje začasnega dela; poudarja, da morajo države članice v skladu z Direktivo 2009/52/ES zagotoviti učinkovite in ustrezne inšpekcije za nadzor zaposlovanja nezakonito prebivajočih državljanov tretjih držav, ter poziva Komisijo in države članice, naj zagotovijo ustrezno izvrševanje;</w:t>
      </w:r>
    </w:p>
    <w:p w14:paraId="0F09950D" w14:textId="5AFC2A7B" w:rsidR="004D0D0B" w:rsidRPr="00504139" w:rsidRDefault="00504139" w:rsidP="004D0D0B">
      <w:pPr>
        <w:pStyle w:val="NormalHanging12a"/>
      </w:pPr>
      <w:r w:rsidRPr="00504139">
        <w:t>23</w:t>
      </w:r>
      <w:r w:rsidR="004D0D0B" w:rsidRPr="00504139">
        <w:t>.</w:t>
      </w:r>
      <w:r w:rsidR="004D0D0B" w:rsidRPr="00504139">
        <w:tab/>
        <w:t>pozdravlja evalvacijsko poročilo Komisije o ELA in Komisijo ponovno poziva</w:t>
      </w:r>
      <w:r w:rsidR="004D0D0B" w:rsidRPr="00504139">
        <w:rPr>
          <w:rStyle w:val="FootnoteReference"/>
        </w:rPr>
        <w:footnoteReference w:id="34"/>
      </w:r>
      <w:r w:rsidR="004D0D0B" w:rsidRPr="00504139">
        <w:t>, naj se pooblastila ELA zelo povečajo, tako da se mu omogoči preiskovanje domnevnih kršitev delovnega prava EU ter da na lastno pobudo začne in opravlja preglede čezmejnih primerov, naj se področje uporabe pooblastil Agencije razširi tako, da bo zajemalo delovno mobilnost delavcev, ki so državljani tretjih držav, naj se okrepi njena zmogljivost za analize operativnih tveganj ter naj se ji zagotovijo zadostni viri, da bo lahko opravljala svoje naloge; poudarja, da je treba pod vodstvom ELA dodatno uskladiti in poenostaviti predpise o mobilnosti delavcev ter postopke nadzora, vključno z enotnimi standardi nadzora in boljšo izmenjavo informacij; priporoča, naj se v ELA vzpostavijo sektorske izvršilne enote, zlasti za gradbeništvo, promet in kmetijstvo, ter okrepi sodelovanje s socialnimi partnerji v posameznih sektorjih;</w:t>
      </w:r>
    </w:p>
    <w:p w14:paraId="7DA7D5CE" w14:textId="16F68F9F" w:rsidR="004D0D0B" w:rsidRPr="00504139" w:rsidRDefault="00504139" w:rsidP="004D0D0B">
      <w:pPr>
        <w:pStyle w:val="NormalHanging12a"/>
      </w:pPr>
      <w:r w:rsidRPr="00504139">
        <w:t>24</w:t>
      </w:r>
      <w:r w:rsidR="004D0D0B" w:rsidRPr="00504139">
        <w:t>.</w:t>
      </w:r>
      <w:r w:rsidR="004D0D0B" w:rsidRPr="00504139">
        <w:tab/>
        <w:t>poudarja ključno vlogo, ki jo imajo inšpekcije dela tako pri odkrivanju kot pri preprečevanju izkoriščanja delovne sile ter pri splošnem zagotavljanju skladnosti z delovno zakonodajo; poziva države članice, naj povečajo število inšpektorjev za delo ter okrepijo podporo inšpektoratom za delo; opozarja, da Direktiva 2006/22/ES</w:t>
      </w:r>
      <w:r w:rsidR="004D0D0B" w:rsidRPr="00504139">
        <w:rPr>
          <w:rStyle w:val="FootnoteReference"/>
        </w:rPr>
        <w:footnoteReference w:id="35"/>
      </w:r>
      <w:r w:rsidR="004D0D0B" w:rsidRPr="00504139">
        <w:t xml:space="preserve"> že določa minimalna pravila za preverjanje skladnosti s socialno zakonodajo v cestnem prometu, ter poziva Komisijo in države članice, naj izboljšajo kakovost in pogostost inšpekcij dela ter poskrbijo za ustrezno minimalno zmogljivost inšpekcij dela v skladu z merilom MOD, ki določa najmanj enega inšpektorja za delo na 10 000 delavcev; poudarja, da se pritožbeni mehanizmi kljub svoji pomembnosti za uvedbo ciljno usmerjenih inšpekcij še vedno premalo uporabljajo in so nedostopni, zlasti za mobilne delavce in delavce iz držav zunaj EU; opozarja, da morajo države članice v skladu z Direktivo 2009/52/ES zagotoviti učinkovite mehanizme, prek katerih lahko nezakonito zaposleni državljani tretjih držav vložijo pritožbe zoper svoje delodajalce;</w:t>
      </w:r>
    </w:p>
    <w:p w14:paraId="2AC247FB" w14:textId="0BF07F90" w:rsidR="004D0D0B" w:rsidRPr="00504139" w:rsidRDefault="00504139" w:rsidP="004D0D0B">
      <w:pPr>
        <w:pStyle w:val="NormalHanging12a"/>
      </w:pPr>
      <w:r w:rsidRPr="00504139">
        <w:t>25</w:t>
      </w:r>
      <w:r w:rsidR="004D0D0B" w:rsidRPr="00504139">
        <w:t>.</w:t>
      </w:r>
      <w:r w:rsidR="004D0D0B" w:rsidRPr="00504139">
        <w:tab/>
        <w:t xml:space="preserve">poudarja, kako pomembni so točni in posodobljeni podatki; ugotavlja, da se raven informacij o sestavi podizvajalskih verig in kaznivih dejanjih, povezanih z delom, razlikuje po Evropi, kar je izziv tako za izvrševanje kot za oblikovanje politik; poziva </w:t>
      </w:r>
      <w:r w:rsidR="004D0D0B" w:rsidRPr="00504139">
        <w:lastRenderedPageBreak/>
        <w:t>Komisijo, naj okrepi zbiranje podatkov na tem področju, ter poudarja vlogo, ki jo ima ELA pri zagotavljanju zanesljivih informacij o splošnih trendih in zlorabah v čezmejnih okoliščinah;</w:t>
      </w:r>
    </w:p>
    <w:p w14:paraId="7A5043AB" w14:textId="245A5EA7" w:rsidR="004D0D0B" w:rsidRPr="00504139" w:rsidRDefault="00504139" w:rsidP="004D0D0B">
      <w:pPr>
        <w:pStyle w:val="NormalHanging12a"/>
      </w:pPr>
      <w:r w:rsidRPr="00504139">
        <w:t>26</w:t>
      </w:r>
      <w:r w:rsidR="004D0D0B" w:rsidRPr="00504139">
        <w:t>.</w:t>
      </w:r>
      <w:r w:rsidR="004D0D0B" w:rsidRPr="00504139">
        <w:tab/>
        <w:t>poudarja uspeh pobud za identifikacijo na deloviščih na nacionalni in sektorski ravni, kot so socialne osebne izkaznice; v zvezi s tem pozdravlja vključitev evropske izkaznice socialnega zavarovanja (ESSPASS) v delovni program Komisije za leto 2026; ponovno poziva</w:t>
      </w:r>
      <w:r w:rsidR="004D0D0B" w:rsidRPr="00504139">
        <w:rPr>
          <w:rStyle w:val="FootnoteReference"/>
        </w:rPr>
        <w:footnoteReference w:id="36"/>
      </w:r>
      <w:r w:rsidR="004D0D0B" w:rsidRPr="00504139">
        <w:t xml:space="preserve"> k hitri uvedbi sistema ESSPASS ter k izboljšani zaščiti in digitalnemu izvrševanju pravic socialne varnosti in pravične mobilnosti, vključno s preverjanjem v realnem času in izmenjavo informacij med izvršilnimi organi; poziva, naj se ESSPASS združi z nacionalnimi in sektorskimi sistemi delovnih izkaznic, da bi se zagotovili interoperabilnost in čim manjše motnje; poudarja, da naj bi se z ESSPASS zmanjšale nepotrebne upravne obremenitve, poenostavilo zagotavljanje skladnosti za podjetja, pri čemer bi morali biti stroški zagotavljanja skladnosti za mala in srednja podjetja minimalni, ter podpirali ELA in nacionalni organi v boju proti zlorabam in kriminalnim dejavnostim; poudarja, kako pomembna sta visoka raven varstva in zaščite podatkov za ESSPASS ter vključevanje socialnih partnerjev pri oblikovanju in uvajanju sistema; poudarja tudi tekoče delo pri drugih pobudah EU, kot je denarnica za digitalno identiteto, ki bi lahko izboljšala sposobnost organov za boj proti kriminalnemu vedenju, ne da bi pri tem obremenjevala mala in srednja podjetja ali povečala stroške za potrošnike;</w:t>
      </w:r>
    </w:p>
    <w:p w14:paraId="7440EF01" w14:textId="77777777" w:rsidR="004D0D0B" w:rsidRPr="00504139" w:rsidRDefault="004D0D0B" w:rsidP="004D0D0B">
      <w:pPr>
        <w:pStyle w:val="NormalHanging12a"/>
        <w:rPr>
          <w:b/>
          <w:i/>
          <w:iCs/>
        </w:rPr>
      </w:pPr>
      <w:r w:rsidRPr="00504139">
        <w:rPr>
          <w:b/>
          <w:i/>
        </w:rPr>
        <w:t>Sankcioniranje izkoriščanja delovne sile</w:t>
      </w:r>
    </w:p>
    <w:p w14:paraId="7A1DEB2D" w14:textId="39EDEE02" w:rsidR="004D0D0B" w:rsidRPr="00504139" w:rsidRDefault="00504139" w:rsidP="004D0D0B">
      <w:pPr>
        <w:pStyle w:val="NormalHanging12a"/>
      </w:pPr>
      <w:r w:rsidRPr="00504139">
        <w:t>27</w:t>
      </w:r>
      <w:r w:rsidR="004D0D0B" w:rsidRPr="00504139">
        <w:t>.</w:t>
      </w:r>
      <w:r w:rsidR="004D0D0B" w:rsidRPr="00504139">
        <w:tab/>
        <w:t>z zaskrbljenostjo ugotavlja, da se lahko posamezniki, za katere veljajo prepovedi trgovanja v eni državi članici, izognejo nacionalnim omejitvam z registracijo in poslovanjem podjetja v drugi državi članici, kar ogroža boj proti izkoriščanju delovne sile na vsem enotnem trgu; poziva Komisijo, naj poskrbi za učinkovitejšo izmenjavo informacij in sodelovanje med državami članicami ter za medsebojno priznanje prepovedi trgovanja in kazenskih sankcij v skladu s Pogodbama, da bi se preprečilo izogibanje omejitvam; poudarja, kako pomembni so skladnost z vladavino prava in zagotovila za pošteno sojenje v zvezi s tem; priporoča, naj se uporabi informacijski sistem za notranji trg za pravočasno in varno izmenjavo ustreznih informacij med državami članicami;</w:t>
      </w:r>
    </w:p>
    <w:p w14:paraId="68D41A40" w14:textId="77D0852F" w:rsidR="004D0D0B" w:rsidRPr="00504139" w:rsidRDefault="00504139" w:rsidP="004D0D0B">
      <w:pPr>
        <w:pStyle w:val="NormalHanging12a"/>
      </w:pPr>
      <w:r w:rsidRPr="00504139">
        <w:t>28</w:t>
      </w:r>
      <w:r w:rsidR="004D0D0B" w:rsidRPr="00504139">
        <w:t>.</w:t>
      </w:r>
      <w:r w:rsidR="004D0D0B" w:rsidRPr="00504139">
        <w:tab/>
        <w:t>ugotavlja, da se v različnih politikah EU pojavljajo neskladja glede kazni in režimov sankcioniranja; poudarja, da morajo biti kazni in sankcije za kazniva dejanja, povezana z delom, ter kršitve pravic delavcev učinkovite, odvračilne in sorazmerne z naravo, resnostjo in trajanjem kršitve podjetja ter z številom prizadetih delavcev; poziva Komisijo, naj preuči možnost, da se sankcije povežejo z velikostjo podjetja ali njegovim prometom, da bi se zagotovili sorazmernost, odvračilni učinek in enaki konkurenčni pogoji; poudarja, da je potreben mehanizem za izterjavo neplačanih plač, prispevkov za socialno varnost, glob in odškodnin v čezmejnih primerih;</w:t>
      </w:r>
    </w:p>
    <w:p w14:paraId="2C0001A9" w14:textId="159260B3" w:rsidR="004D0D0B" w:rsidRPr="00504139" w:rsidRDefault="00504139" w:rsidP="004D0D0B">
      <w:pPr>
        <w:pStyle w:val="NormalHanging12a"/>
      </w:pPr>
      <w:r w:rsidRPr="00504139">
        <w:t>29</w:t>
      </w:r>
      <w:r w:rsidR="004D0D0B" w:rsidRPr="00504139">
        <w:t>.</w:t>
      </w:r>
      <w:r w:rsidR="004D0D0B" w:rsidRPr="00504139">
        <w:tab/>
        <w:t xml:space="preserve">opozarja na težavo zaradi goljufivih in kriminalnih akterjev na trgu dela, ki se z uporabo strateških stečajev in izginjanja podjetij izogibajo odgovornosti za neporavnane obveznosti in sankcije; poziva Komisijo in države članice, naj analizirajo težave, povezane s strateškimi stečaji in izginjanjem podjetij, zlasti v čezmejnih primerih, ter </w:t>
      </w:r>
      <w:r w:rsidR="004D0D0B" w:rsidRPr="00504139">
        <w:lastRenderedPageBreak/>
        <w:t>sprejmejo potrebne pobude za zmanjšanje njihove pogostosti;</w:t>
      </w:r>
    </w:p>
    <w:p w14:paraId="174C8644" w14:textId="2B9479FC" w:rsidR="004D0D0B" w:rsidRPr="00504139" w:rsidRDefault="00504139" w:rsidP="004D0D0B">
      <w:pPr>
        <w:pStyle w:val="NormalHanging12a"/>
      </w:pPr>
      <w:r w:rsidRPr="00504139">
        <w:t>30</w:t>
      </w:r>
      <w:r w:rsidR="004D0D0B" w:rsidRPr="00504139">
        <w:t>.</w:t>
      </w:r>
      <w:r w:rsidR="004D0D0B" w:rsidRPr="00504139">
        <w:tab/>
        <w:t>opozarja, da je povezovanje javnih izdatkov s spoštovanjem pravic delavcev in dostojnih delovnih pogojev eno izmed razpoložljivih sredstev za boj proti zlorabam v podizvajalskih verigah in kaznivim dejanjem, povezanim z delom;</w:t>
      </w:r>
    </w:p>
    <w:p w14:paraId="6DC79852" w14:textId="77777777" w:rsidR="004D0D0B" w:rsidRPr="00504139" w:rsidRDefault="004D0D0B" w:rsidP="004D0D0B">
      <w:pPr>
        <w:pStyle w:val="NormalHanging12a"/>
        <w:jc w:val="center"/>
      </w:pPr>
      <w:r w:rsidRPr="00504139">
        <w:t>°</w:t>
      </w:r>
    </w:p>
    <w:p w14:paraId="1D2B75C8" w14:textId="77777777" w:rsidR="004D0D0B" w:rsidRPr="00504139" w:rsidRDefault="004D0D0B" w:rsidP="004D0D0B">
      <w:pPr>
        <w:pStyle w:val="NormalHanging12a"/>
        <w:jc w:val="center"/>
      </w:pPr>
      <w:r w:rsidRPr="00504139">
        <w:t>°</w:t>
      </w:r>
      <w:r w:rsidRPr="00504139">
        <w:tab/>
        <w:t>°</w:t>
      </w:r>
    </w:p>
    <w:p w14:paraId="66F93ADA" w14:textId="7A1892E8" w:rsidR="00E365E1" w:rsidRPr="00504139" w:rsidRDefault="00504139" w:rsidP="00C02C4C">
      <w:pPr>
        <w:pStyle w:val="NormalHanging12a"/>
      </w:pPr>
      <w:r w:rsidRPr="00504139">
        <w:t>31</w:t>
      </w:r>
      <w:r w:rsidR="004D0D0B" w:rsidRPr="00504139">
        <w:t>.</w:t>
      </w:r>
      <w:r w:rsidR="004D0D0B" w:rsidRPr="00504139">
        <w:tab/>
        <w:t>naroči svoji predsednici, naj to resolucijo posreduje Svetu in Komisiji.</w:t>
      </w:r>
    </w:p>
    <w:sectPr w:rsidR="00E365E1" w:rsidRPr="00504139" w:rsidSect="001F235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E030B" w14:textId="77777777" w:rsidR="003B27FF" w:rsidRPr="001F235C" w:rsidRDefault="003B27FF">
      <w:r w:rsidRPr="001F235C">
        <w:separator/>
      </w:r>
    </w:p>
  </w:endnote>
  <w:endnote w:type="continuationSeparator" w:id="0">
    <w:p w14:paraId="1C160422" w14:textId="77777777" w:rsidR="003B27FF" w:rsidRPr="001F235C" w:rsidRDefault="003B27FF">
      <w:r w:rsidRPr="001F23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C7BEA" w14:textId="77777777" w:rsidR="003B27FF" w:rsidRPr="001F235C" w:rsidRDefault="003B27FF">
      <w:r w:rsidRPr="001F235C">
        <w:separator/>
      </w:r>
    </w:p>
  </w:footnote>
  <w:footnote w:type="continuationSeparator" w:id="0">
    <w:p w14:paraId="6C628A36" w14:textId="77777777" w:rsidR="003B27FF" w:rsidRPr="001F235C" w:rsidRDefault="003B27FF">
      <w:r w:rsidRPr="001F235C">
        <w:continuationSeparator/>
      </w:r>
    </w:p>
  </w:footnote>
  <w:footnote w:id="1">
    <w:p w14:paraId="58582482" w14:textId="2C4C7174"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 xml:space="preserve">UL L 18, 21.1.1997, str. 1, ELI: </w:t>
      </w:r>
      <w:hyperlink r:id="rId1" w:history="1">
        <w:r w:rsidRPr="001F235C">
          <w:rPr>
            <w:rStyle w:val="Hyperlink"/>
            <w:sz w:val="24"/>
            <w:lang w:val="sl-SI"/>
          </w:rPr>
          <w:t>http://data.europa.eu/eli/dir/1996/71/oj</w:t>
        </w:r>
      </w:hyperlink>
      <w:r w:rsidRPr="001F235C">
        <w:rPr>
          <w:sz w:val="24"/>
          <w:lang w:val="sl-SI"/>
        </w:rPr>
        <w:t>.</w:t>
      </w:r>
    </w:p>
  </w:footnote>
  <w:footnote w:id="2">
    <w:p w14:paraId="487D7FEB" w14:textId="781C99F5"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UL L 159, 28.5.2014, str. 11,</w:t>
      </w:r>
      <w:r w:rsidRPr="001F235C">
        <w:rPr>
          <w:color w:val="333333"/>
          <w:sz w:val="24"/>
          <w:shd w:val="clear" w:color="auto" w:fill="FFFFFF"/>
          <w:lang w:val="sl-SI"/>
        </w:rPr>
        <w:t xml:space="preserve"> </w:t>
      </w:r>
      <w:r w:rsidRPr="001F235C">
        <w:rPr>
          <w:sz w:val="24"/>
          <w:lang w:val="sl-SI"/>
        </w:rPr>
        <w:t>ELI: </w:t>
      </w:r>
      <w:hyperlink r:id="rId2" w:tooltip="Povezava ELI na ta dokument." w:history="1">
        <w:r w:rsidRPr="001F235C">
          <w:rPr>
            <w:rStyle w:val="Hyperlink"/>
            <w:sz w:val="24"/>
            <w:lang w:val="sl-SI"/>
          </w:rPr>
          <w:t>http://data.europa.eu/eli/dir/2014/67/oj</w:t>
        </w:r>
      </w:hyperlink>
      <w:r w:rsidRPr="001F235C">
        <w:rPr>
          <w:sz w:val="24"/>
          <w:lang w:val="sl-SI"/>
        </w:rPr>
        <w:t>.</w:t>
      </w:r>
    </w:p>
  </w:footnote>
  <w:footnote w:id="3">
    <w:p w14:paraId="11A13B68" w14:textId="6D393BB5"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 xml:space="preserve">UL L 101, 15.4.2011, str. 1, ELI: </w:t>
      </w:r>
      <w:hyperlink r:id="rId3" w:history="1">
        <w:r w:rsidRPr="001F235C">
          <w:rPr>
            <w:rStyle w:val="Hyperlink"/>
            <w:sz w:val="24"/>
            <w:lang w:val="sl-SI"/>
          </w:rPr>
          <w:t>http://data.europa.eu/eli/dir/2011/36/oj.</w:t>
        </w:r>
      </w:hyperlink>
    </w:p>
  </w:footnote>
  <w:footnote w:id="4">
    <w:p w14:paraId="7170C0DF" w14:textId="62D7D7F0"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 xml:space="preserve">UL L 168, 30.6.2009, </w:t>
      </w:r>
      <w:r w:rsidR="004A37AB">
        <w:rPr>
          <w:sz w:val="24"/>
          <w:lang w:val="sl-SI"/>
        </w:rPr>
        <w:t>str</w:t>
      </w:r>
      <w:r w:rsidRPr="001F235C">
        <w:rPr>
          <w:sz w:val="24"/>
          <w:lang w:val="sl-SI"/>
        </w:rPr>
        <w:t>. 24, ELI: </w:t>
      </w:r>
      <w:hyperlink r:id="rId4" w:tooltip="Povezava ELI na ta dokument." w:history="1">
        <w:r w:rsidRPr="001F235C">
          <w:rPr>
            <w:rStyle w:val="Hyperlink"/>
            <w:sz w:val="24"/>
            <w:lang w:val="sl-SI"/>
          </w:rPr>
          <w:t>http://data.europa.eu/eli/dir/2009/52/oj</w:t>
        </w:r>
      </w:hyperlink>
      <w:r w:rsidRPr="001F235C">
        <w:rPr>
          <w:sz w:val="24"/>
          <w:lang w:val="sl-SI"/>
        </w:rPr>
        <w:t>.</w:t>
      </w:r>
    </w:p>
  </w:footnote>
  <w:footnote w:id="5">
    <w:p w14:paraId="0DA41EC8" w14:textId="2B93FA4E"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UL L 94, 28.3.2014, str. 65, ELI: </w:t>
      </w:r>
      <w:hyperlink r:id="rId5" w:tooltip="Povezava ELI na ta dokument." w:history="1">
        <w:r w:rsidRPr="001F235C">
          <w:rPr>
            <w:rStyle w:val="Hyperlink"/>
            <w:sz w:val="24"/>
            <w:lang w:val="sl-SI"/>
          </w:rPr>
          <w:t>http://data.europa.eu/eli/dir/2014/24/oj</w:t>
        </w:r>
      </w:hyperlink>
      <w:r w:rsidRPr="001F235C">
        <w:rPr>
          <w:sz w:val="24"/>
          <w:lang w:val="sl-SI"/>
        </w:rPr>
        <w:t>.</w:t>
      </w:r>
    </w:p>
  </w:footnote>
  <w:footnote w:id="6">
    <w:p w14:paraId="6C3D8431" w14:textId="12A5AE42"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UL L, 2024/1760, 5.7.2024, ELI: </w:t>
      </w:r>
      <w:hyperlink r:id="rId6" w:tgtFrame="_blank" w:tooltip="Povezava ELI na ta dokument." w:history="1">
        <w:r w:rsidRPr="001F235C">
          <w:rPr>
            <w:rStyle w:val="Hyperlink"/>
            <w:sz w:val="24"/>
            <w:lang w:val="sl-SI"/>
          </w:rPr>
          <w:t>http://data.europa.eu/eli/dir/2024/1760/oj</w:t>
        </w:r>
      </w:hyperlink>
      <w:r w:rsidRPr="001F235C">
        <w:rPr>
          <w:sz w:val="24"/>
          <w:lang w:val="sl-SI"/>
        </w:rPr>
        <w:t>.</w:t>
      </w:r>
    </w:p>
  </w:footnote>
  <w:footnote w:id="7">
    <w:p w14:paraId="0F054C15" w14:textId="150F03E4"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hyperlink r:id="rId7" w:history="1">
        <w:r w:rsidRPr="001F235C">
          <w:rPr>
            <w:rStyle w:val="Hyperlink"/>
            <w:sz w:val="24"/>
            <w:lang w:val="sl-SI"/>
          </w:rPr>
          <w:t>https://data.europa.eu/doi/10.2826/844552</w:t>
        </w:r>
      </w:hyperlink>
      <w:r w:rsidRPr="001F235C">
        <w:rPr>
          <w:sz w:val="24"/>
          <w:lang w:val="sl-SI"/>
        </w:rPr>
        <w:t>.</w:t>
      </w:r>
    </w:p>
  </w:footnote>
  <w:footnote w:id="8">
    <w:p w14:paraId="594473E8" w14:textId="4E665CBA"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hyperlink r:id="rId8" w:history="1">
        <w:r w:rsidRPr="001F235C">
          <w:rPr>
            <w:rStyle w:val="Hyperlink"/>
            <w:sz w:val="24"/>
            <w:lang w:val="sl-SI"/>
          </w:rPr>
          <w:t>https://www.ela.europa.eu/sites/default/files/2025-03/ELA-posting-third-country-nationals-report.pdf</w:t>
        </w:r>
      </w:hyperlink>
      <w:r w:rsidRPr="001F235C">
        <w:rPr>
          <w:sz w:val="24"/>
          <w:lang w:val="sl-SI"/>
        </w:rPr>
        <w:t>.</w:t>
      </w:r>
    </w:p>
  </w:footnote>
  <w:footnote w:id="9">
    <w:p w14:paraId="321F608D" w14:textId="49C771E2"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hyperlink r:id="rId9" w:history="1">
        <w:r w:rsidRPr="001F235C">
          <w:rPr>
            <w:rStyle w:val="Hyperlink"/>
            <w:sz w:val="24"/>
            <w:lang w:val="sl-SI"/>
          </w:rPr>
          <w:t>https://www.ela.europa.eu/sites/default/files/2023-04/ela-report-posting-third-country-nationals.pdf</w:t>
        </w:r>
      </w:hyperlink>
      <w:r w:rsidRPr="001F235C">
        <w:rPr>
          <w:sz w:val="24"/>
          <w:lang w:val="sl-SI"/>
        </w:rPr>
        <w:t>.</w:t>
      </w:r>
    </w:p>
  </w:footnote>
  <w:footnote w:id="10">
    <w:p w14:paraId="78C7CFD2" w14:textId="66C252ED"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hyperlink r:id="rId10" w:history="1">
        <w:r w:rsidRPr="001F235C">
          <w:rPr>
            <w:rStyle w:val="Hyperlink"/>
            <w:sz w:val="24"/>
            <w:lang w:val="sl-SI"/>
          </w:rPr>
          <w:t>https://www.ela.europa.eu/en/publications/construction-sector-issues-information-provision-enforcement-labour-mobility-law</w:t>
        </w:r>
      </w:hyperlink>
      <w:r w:rsidRPr="001F235C">
        <w:rPr>
          <w:sz w:val="24"/>
          <w:lang w:val="sl-SI"/>
        </w:rPr>
        <w:t>.</w:t>
      </w:r>
    </w:p>
  </w:footnote>
  <w:footnote w:id="11">
    <w:p w14:paraId="247C99E3" w14:textId="7F47D5DA"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UL C 224, 8.6.2022, str. 81.</w:t>
      </w:r>
    </w:p>
  </w:footnote>
  <w:footnote w:id="12">
    <w:p w14:paraId="5B2850D6" w14:textId="251E3268"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 xml:space="preserve">UL C, C/2025/3156, 20.6.2025, </w:t>
      </w:r>
      <w:hyperlink r:id="rId11" w:history="1">
        <w:r w:rsidRPr="001F235C">
          <w:rPr>
            <w:rStyle w:val="Hyperlink"/>
            <w:sz w:val="24"/>
            <w:lang w:val="sl-SI"/>
          </w:rPr>
          <w:t>ELI:</w:t>
        </w:r>
      </w:hyperlink>
      <w:hyperlink r:id="rId12" w:history="1">
        <w:r w:rsidRPr="001F235C">
          <w:rPr>
            <w:rStyle w:val="Hyperlink"/>
            <w:sz w:val="24"/>
            <w:lang w:val="sl-SI"/>
          </w:rPr>
          <w:t xml:space="preserve"> http://data.europa.eu/eli/C/2025/3156/oj</w:t>
        </w:r>
      </w:hyperlink>
      <w:r w:rsidRPr="001F235C">
        <w:rPr>
          <w:sz w:val="24"/>
          <w:lang w:val="sl-SI"/>
        </w:rPr>
        <w:t>.</w:t>
      </w:r>
    </w:p>
  </w:footnote>
  <w:footnote w:id="13">
    <w:p w14:paraId="34B20480" w14:textId="67CC5161"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 xml:space="preserve">UL C, C/2024/5741, 17.10.2024, ELI: </w:t>
      </w:r>
      <w:hyperlink r:id="rId13" w:history="1">
        <w:r w:rsidRPr="001F235C">
          <w:rPr>
            <w:rStyle w:val="Hyperlink"/>
            <w:sz w:val="24"/>
            <w:lang w:val="sl-SI"/>
          </w:rPr>
          <w:t>http://data.europa.eu/eli/C/2024/5741/oj</w:t>
        </w:r>
      </w:hyperlink>
      <w:r w:rsidRPr="001F235C">
        <w:rPr>
          <w:sz w:val="24"/>
          <w:lang w:val="sl-SI"/>
        </w:rPr>
        <w:t>.</w:t>
      </w:r>
    </w:p>
  </w:footnote>
  <w:footnote w:id="14">
    <w:p w14:paraId="2C63656A" w14:textId="4C910E0E"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Sprejeta besedila, P10_TA(2025)0174.</w:t>
      </w:r>
    </w:p>
  </w:footnote>
  <w:footnote w:id="15">
    <w:p w14:paraId="7C364ED9" w14:textId="5084A998"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 xml:space="preserve">Sodba Sodišča z dne 5. aprila 2017, </w:t>
      </w:r>
      <w:r w:rsidRPr="001F235C">
        <w:rPr>
          <w:i/>
          <w:sz w:val="24"/>
          <w:lang w:val="sl-SI"/>
        </w:rPr>
        <w:t>‘Borta’ UAB</w:t>
      </w:r>
      <w:r w:rsidRPr="001F235C">
        <w:rPr>
          <w:sz w:val="24"/>
          <w:lang w:val="sl-SI"/>
        </w:rPr>
        <w:t>/</w:t>
      </w:r>
      <w:r w:rsidRPr="001F235C">
        <w:rPr>
          <w:i/>
          <w:sz w:val="24"/>
          <w:lang w:val="sl-SI"/>
        </w:rPr>
        <w:t>Klaipėdos valstybinio jūrų uosto direkcija VĮ</w:t>
      </w:r>
      <w:r w:rsidRPr="001F235C">
        <w:rPr>
          <w:sz w:val="24"/>
          <w:lang w:val="sl-SI"/>
        </w:rPr>
        <w:t>, C-298/15, ECLI:EU:C:2017:266.</w:t>
      </w:r>
    </w:p>
  </w:footnote>
  <w:footnote w:id="16">
    <w:p w14:paraId="4A7BD5A4" w14:textId="6346B876"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Glej na primer</w:t>
      </w:r>
      <w:r w:rsidRPr="001F235C">
        <w:rPr>
          <w:i/>
          <w:iCs/>
          <w:sz w:val="24"/>
          <w:lang w:val="sl-SI"/>
        </w:rPr>
        <w:t xml:space="preserve"> Nationaler Aktionsplan gegen Arbeitsausbeutung und Zwangsarbeit</w:t>
      </w:r>
      <w:r w:rsidRPr="001F235C">
        <w:rPr>
          <w:sz w:val="24"/>
          <w:lang w:val="sl-SI"/>
        </w:rPr>
        <w:t xml:space="preserve"> (Nacionalni akcijski načrt proti izkoriščanju delavcev in prisilnemu delu) (2025) nemškega zveznega ministrstva za delo in socialne zadeve, </w:t>
      </w:r>
      <w:r w:rsidRPr="001F235C">
        <w:rPr>
          <w:i/>
          <w:iCs/>
          <w:sz w:val="24"/>
          <w:lang w:val="sl-SI"/>
        </w:rPr>
        <w:t>Piano nazionale per la lotta al lavoro sommerso</w:t>
      </w:r>
      <w:r w:rsidRPr="001F235C">
        <w:rPr>
          <w:sz w:val="24"/>
          <w:lang w:val="sl-SI"/>
        </w:rPr>
        <w:t xml:space="preserve"> (Nacionalni načrt za boj proti delu na črno) (2022) italijanskega ministrstva za delo in socialno politiko, </w:t>
      </w:r>
      <w:r w:rsidRPr="001F235C">
        <w:rPr>
          <w:i/>
          <w:iCs/>
          <w:sz w:val="24"/>
          <w:lang w:val="sl-SI"/>
        </w:rPr>
        <w:t>Plan de Acción contra el Trabajo Forzoso</w:t>
      </w:r>
      <w:r w:rsidRPr="001F235C">
        <w:rPr>
          <w:sz w:val="24"/>
          <w:lang w:val="sl-SI"/>
        </w:rPr>
        <w:t xml:space="preserve"> (Akcijski načrt proti prisilnemu delu) (2021) španskega ministrstva za vključenost, socialno varnost in migracije, </w:t>
      </w:r>
      <w:r w:rsidRPr="001F235C">
        <w:rPr>
          <w:i/>
          <w:iCs/>
          <w:sz w:val="24"/>
          <w:lang w:val="sl-SI"/>
        </w:rPr>
        <w:t>Nationell strategi mot arbetslivskriminalitet</w:t>
      </w:r>
      <w:r w:rsidRPr="001F235C">
        <w:rPr>
          <w:sz w:val="24"/>
          <w:lang w:val="sl-SI"/>
        </w:rPr>
        <w:t xml:space="preserve"> (Nacionalna strategija proti kriminaliteti na delovnem mestu) (2022) švedske vlade in </w:t>
      </w:r>
      <w:r w:rsidRPr="001F235C">
        <w:rPr>
          <w:i/>
          <w:iCs/>
          <w:sz w:val="24"/>
          <w:lang w:val="sl-SI"/>
        </w:rPr>
        <w:t>Strategi mot arbeidslivskriminalitet</w:t>
      </w:r>
      <w:r w:rsidRPr="001F235C">
        <w:rPr>
          <w:sz w:val="24"/>
          <w:lang w:val="sl-SI"/>
        </w:rPr>
        <w:t xml:space="preserve"> (Strategija proti kriminaliteti na delovnem mestu) (2021).</w:t>
      </w:r>
    </w:p>
  </w:footnote>
  <w:footnote w:id="17">
    <w:p w14:paraId="0BBFC355" w14:textId="6F22AA3A"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Evropska komisija, četrto poročilo o napredku v boju proti trgovini z ljudmi (COM(2022)0736); Evropska komisija, peto poročilo o napredku v boju proti trgovini z ljudmi (COM(2025)0008).</w:t>
      </w:r>
    </w:p>
  </w:footnote>
  <w:footnote w:id="18">
    <w:p w14:paraId="56B543AF" w14:textId="55776A1C"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 xml:space="preserve">ELA, </w:t>
      </w:r>
      <w:r w:rsidRPr="001F235C">
        <w:rPr>
          <w:i/>
          <w:sz w:val="24"/>
          <w:lang w:val="sl-SI"/>
        </w:rPr>
        <w:t>Posting of third-country nationals: Contracting chains, recruitment patterns, and enforcement issues</w:t>
      </w:r>
      <w:r w:rsidRPr="001F235C">
        <w:rPr>
          <w:sz w:val="24"/>
          <w:lang w:val="sl-SI"/>
        </w:rPr>
        <w:t xml:space="preserve"> (Napotitev državljanov tretjih držav: pogodbene verige, vzorci zaposlovanja in težave pri izvrševanju predpisov) (2025); ELA, </w:t>
      </w:r>
      <w:r w:rsidRPr="001F235C">
        <w:rPr>
          <w:i/>
          <w:sz w:val="24"/>
          <w:lang w:val="sl-SI"/>
        </w:rPr>
        <w:t>Counteracting undeclared work and labour exploitation of third-country national workers</w:t>
      </w:r>
      <w:r w:rsidRPr="001F235C">
        <w:rPr>
          <w:sz w:val="24"/>
          <w:lang w:val="sl-SI"/>
        </w:rPr>
        <w:t xml:space="preserve"> (Preprečevanje neprijavljenega dela in izkoriščanja delovne sile pri delavcih, ki so državljani tretjih držav) (2021); ELA, </w:t>
      </w:r>
      <w:r w:rsidRPr="001F235C">
        <w:rPr>
          <w:i/>
          <w:sz w:val="24"/>
          <w:lang w:val="sl-SI"/>
        </w:rPr>
        <w:t>Tackling undeclared work in supply chains – Learning Resource Paper</w:t>
      </w:r>
      <w:r w:rsidRPr="001F235C">
        <w:rPr>
          <w:sz w:val="24"/>
          <w:lang w:val="sl-SI"/>
        </w:rPr>
        <w:t xml:space="preserve"> (Boj proti neprijavljenemu delu v dobavnih verigah – Učni vir) (2022); Poročilo Komisije o uporabi in izvajanju Direktive (EU) 2018/957 Evropskega parlamenta in Sveta z dne 28. junija 2018 o spremembi Direktive 96/71/ES o napotitvi delavcev na delo v okviru opravljanja storitev (COM(2024)0320).</w:t>
      </w:r>
    </w:p>
  </w:footnote>
  <w:footnote w:id="19">
    <w:p w14:paraId="02F26612" w14:textId="54805E70"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Sporočilo Komisije z naslovom Smernice o uporabi člena 101 Pogodbe o delovanju Evropske unije za sporazume o horizontalnem sodelovanju (UL C 259, 21.7.2023, str. 1).</w:t>
      </w:r>
    </w:p>
  </w:footnote>
  <w:footnote w:id="20">
    <w:p w14:paraId="28427DAF" w14:textId="1DC9F611"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Evropska komisija: Generalni direktorat za zaposlovanje, socialne zadeve in vključevanje, EFTHEIA, HIVA-KU Leuven, IRIS, Milieu in WIIW, </w:t>
      </w:r>
      <w:hyperlink r:id="rId14" w:history="1">
        <w:r w:rsidRPr="001F235C">
          <w:rPr>
            <w:rStyle w:val="Hyperlink"/>
            <w:i/>
            <w:sz w:val="24"/>
            <w:lang w:val="sl-SI"/>
          </w:rPr>
          <w:t>Posting of workers – Collection of data from the prior declaration tools – Reference year 2022</w:t>
        </w:r>
      </w:hyperlink>
      <w:r w:rsidRPr="001F235C">
        <w:rPr>
          <w:sz w:val="24"/>
          <w:lang w:val="sl-SI"/>
        </w:rPr>
        <w:t xml:space="preserve"> (Napotitev delavcev – Zbiranje podatkov iz prejšnjih orodij za predhodno izjavo – Referenčno leto 2022), Urad za publikacije Evropske unije, 2024.</w:t>
      </w:r>
    </w:p>
  </w:footnote>
  <w:footnote w:id="21">
    <w:p w14:paraId="19DC5E72" w14:textId="3E44DE4B"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Poročilo ELA o pogodbenih verigah in vzorcih zaposlovanja napotenih državljanov tretjih držav, marec 2025, ter poročilo ELA o praksah sodelovanja, možnostih in izzivih med državami članicami – zlasti v zvezi z napotitvijo državljanov tretjih držav, februar 2023.</w:t>
      </w:r>
    </w:p>
  </w:footnote>
  <w:footnote w:id="22">
    <w:p w14:paraId="36200AEA" w14:textId="637DAECF"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 xml:space="preserve">Poročilo ELA z naslovom </w:t>
      </w:r>
      <w:r w:rsidRPr="001F235C">
        <w:rPr>
          <w:i/>
          <w:iCs/>
          <w:sz w:val="24"/>
          <w:lang w:val="sl-SI"/>
        </w:rPr>
        <w:t>Posting of third‑country nationals:</w:t>
      </w:r>
      <w:r w:rsidRPr="001F235C">
        <w:rPr>
          <w:sz w:val="24"/>
          <w:lang w:val="sl-SI"/>
        </w:rPr>
        <w:t xml:space="preserve"> </w:t>
      </w:r>
      <w:r w:rsidRPr="001F235C">
        <w:rPr>
          <w:i/>
          <w:iCs/>
          <w:sz w:val="24"/>
          <w:lang w:val="sl-SI"/>
        </w:rPr>
        <w:t>contracting chains, recruitment patterns, and enforcement issues</w:t>
      </w:r>
      <w:r w:rsidRPr="001F235C">
        <w:rPr>
          <w:sz w:val="24"/>
          <w:lang w:val="sl-SI"/>
        </w:rPr>
        <w:t xml:space="preserve"> (Napotitev državljanov tretjih držav: pogodbene verige, vzorci zaposlovanja in težave pri izvrševanju predpisov), 2025.</w:t>
      </w:r>
    </w:p>
  </w:footnote>
  <w:footnote w:id="23">
    <w:p w14:paraId="33402500" w14:textId="5F85D191"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Evropska komisija: Generalni direktorat za zaposlovanje, socialne zadeve in vključevanje, ECORYS, HIVA-KU Leuven, Spark Legal and Policy Consulting in wmp consult, </w:t>
      </w:r>
      <w:proofErr w:type="spellStart"/>
      <w:r w:rsidRPr="001F235C">
        <w:fldChar w:fldCharType="begin"/>
      </w:r>
      <w:r w:rsidRPr="001F235C">
        <w:rPr>
          <w:sz w:val="24"/>
          <w:lang w:val="sl-SI"/>
        </w:rPr>
        <w:instrText>HYPERLINK "https://op.europa.eu/en/publication-detail/-/publication/d06f8af4-02bd-11ef-a251-01aa75ed71a1/language-sl"</w:instrText>
      </w:r>
      <w:r w:rsidRPr="001F235C">
        <w:fldChar w:fldCharType="separate"/>
      </w:r>
      <w:r w:rsidRPr="001F235C">
        <w:rPr>
          <w:rStyle w:val="Hyperlink"/>
          <w:i/>
          <w:sz w:val="24"/>
          <w:lang w:val="sl-SI"/>
        </w:rPr>
        <w:t>Study</w:t>
      </w:r>
      <w:proofErr w:type="spellEnd"/>
      <w:r w:rsidRPr="001F235C">
        <w:rPr>
          <w:rStyle w:val="Hyperlink"/>
          <w:i/>
          <w:sz w:val="24"/>
          <w:lang w:val="sl-SI"/>
        </w:rPr>
        <w:t xml:space="preserve"> </w:t>
      </w:r>
      <w:proofErr w:type="spellStart"/>
      <w:r w:rsidRPr="001F235C">
        <w:rPr>
          <w:rStyle w:val="Hyperlink"/>
          <w:i/>
          <w:sz w:val="24"/>
          <w:lang w:val="sl-SI"/>
        </w:rPr>
        <w:t>supporting</w:t>
      </w:r>
      <w:proofErr w:type="spellEnd"/>
      <w:r w:rsidRPr="001F235C">
        <w:rPr>
          <w:rStyle w:val="Hyperlink"/>
          <w:i/>
          <w:sz w:val="24"/>
          <w:lang w:val="sl-SI"/>
        </w:rPr>
        <w:t xml:space="preserve"> the Monitoring of the </w:t>
      </w:r>
      <w:proofErr w:type="spellStart"/>
      <w:r w:rsidRPr="001F235C">
        <w:rPr>
          <w:rStyle w:val="Hyperlink"/>
          <w:i/>
          <w:sz w:val="24"/>
          <w:lang w:val="sl-SI"/>
        </w:rPr>
        <w:t>Posting</w:t>
      </w:r>
      <w:proofErr w:type="spellEnd"/>
      <w:r w:rsidRPr="001F235C">
        <w:rPr>
          <w:rStyle w:val="Hyperlink"/>
          <w:i/>
          <w:sz w:val="24"/>
          <w:lang w:val="sl-SI"/>
        </w:rPr>
        <w:t xml:space="preserve"> of </w:t>
      </w:r>
      <w:proofErr w:type="spellStart"/>
      <w:r w:rsidRPr="001F235C">
        <w:rPr>
          <w:rStyle w:val="Hyperlink"/>
          <w:i/>
          <w:sz w:val="24"/>
          <w:lang w:val="sl-SI"/>
        </w:rPr>
        <w:t>Workers</w:t>
      </w:r>
      <w:proofErr w:type="spellEnd"/>
      <w:r w:rsidRPr="001F235C">
        <w:rPr>
          <w:rStyle w:val="Hyperlink"/>
          <w:i/>
          <w:sz w:val="24"/>
          <w:lang w:val="sl-SI"/>
        </w:rPr>
        <w:t xml:space="preserve"> </w:t>
      </w:r>
      <w:proofErr w:type="spellStart"/>
      <w:r w:rsidRPr="001F235C">
        <w:rPr>
          <w:rStyle w:val="Hyperlink"/>
          <w:i/>
          <w:sz w:val="24"/>
          <w:lang w:val="sl-SI"/>
        </w:rPr>
        <w:t>Directive</w:t>
      </w:r>
      <w:proofErr w:type="spellEnd"/>
      <w:r w:rsidRPr="001F235C">
        <w:rPr>
          <w:rStyle w:val="Hyperlink"/>
          <w:i/>
          <w:sz w:val="24"/>
          <w:lang w:val="sl-SI"/>
        </w:rPr>
        <w:t xml:space="preserve"> 2018/957/EU and of the </w:t>
      </w:r>
      <w:proofErr w:type="spellStart"/>
      <w:r w:rsidRPr="001F235C">
        <w:rPr>
          <w:rStyle w:val="Hyperlink"/>
          <w:i/>
          <w:sz w:val="24"/>
          <w:lang w:val="sl-SI"/>
        </w:rPr>
        <w:t>Enforceme</w:t>
      </w:r>
      <w:r w:rsidRPr="001F235C">
        <w:rPr>
          <w:rStyle w:val="Hyperlink"/>
          <w:i/>
          <w:sz w:val="24"/>
          <w:lang w:val="sl-SI"/>
        </w:rPr>
        <w:t>n</w:t>
      </w:r>
      <w:r w:rsidRPr="001F235C">
        <w:rPr>
          <w:rStyle w:val="Hyperlink"/>
          <w:i/>
          <w:sz w:val="24"/>
          <w:lang w:val="sl-SI"/>
        </w:rPr>
        <w:t>t</w:t>
      </w:r>
      <w:proofErr w:type="spellEnd"/>
      <w:r w:rsidRPr="001F235C">
        <w:rPr>
          <w:rStyle w:val="Hyperlink"/>
          <w:i/>
          <w:sz w:val="24"/>
          <w:lang w:val="sl-SI"/>
        </w:rPr>
        <w:t xml:space="preserve"> </w:t>
      </w:r>
      <w:proofErr w:type="spellStart"/>
      <w:r w:rsidRPr="001F235C">
        <w:rPr>
          <w:rStyle w:val="Hyperlink"/>
          <w:i/>
          <w:sz w:val="24"/>
          <w:lang w:val="sl-SI"/>
        </w:rPr>
        <w:t>Directive</w:t>
      </w:r>
      <w:proofErr w:type="spellEnd"/>
      <w:r w:rsidRPr="001F235C">
        <w:rPr>
          <w:rStyle w:val="Hyperlink"/>
          <w:i/>
          <w:sz w:val="24"/>
          <w:lang w:val="sl-SI"/>
        </w:rPr>
        <w:t xml:space="preserve"> 2014/67/EU – The </w:t>
      </w:r>
      <w:proofErr w:type="spellStart"/>
      <w:r w:rsidRPr="001F235C">
        <w:rPr>
          <w:rStyle w:val="Hyperlink"/>
          <w:i/>
          <w:sz w:val="24"/>
          <w:lang w:val="sl-SI"/>
        </w:rPr>
        <w:t>situation</w:t>
      </w:r>
      <w:proofErr w:type="spellEnd"/>
      <w:r w:rsidRPr="001F235C">
        <w:rPr>
          <w:rStyle w:val="Hyperlink"/>
          <w:i/>
          <w:sz w:val="24"/>
          <w:lang w:val="sl-SI"/>
        </w:rPr>
        <w:t xml:space="preserve"> of </w:t>
      </w:r>
      <w:proofErr w:type="spellStart"/>
      <w:r w:rsidRPr="001F235C">
        <w:rPr>
          <w:rStyle w:val="Hyperlink"/>
          <w:i/>
          <w:sz w:val="24"/>
          <w:lang w:val="sl-SI"/>
        </w:rPr>
        <w:t>temporary</w:t>
      </w:r>
      <w:proofErr w:type="spellEnd"/>
      <w:r w:rsidRPr="001F235C">
        <w:rPr>
          <w:rStyle w:val="Hyperlink"/>
          <w:i/>
          <w:sz w:val="24"/>
          <w:lang w:val="sl-SI"/>
        </w:rPr>
        <w:t xml:space="preserve"> </w:t>
      </w:r>
      <w:proofErr w:type="spellStart"/>
      <w:proofErr w:type="gramStart"/>
      <w:r w:rsidRPr="001F235C">
        <w:rPr>
          <w:rStyle w:val="Hyperlink"/>
          <w:i/>
          <w:sz w:val="24"/>
          <w:lang w:val="sl-SI"/>
        </w:rPr>
        <w:t>cross</w:t>
      </w:r>
      <w:proofErr w:type="spellEnd"/>
      <w:proofErr w:type="gramEnd"/>
      <w:r w:rsidRPr="001F235C">
        <w:rPr>
          <w:rStyle w:val="Hyperlink"/>
          <w:i/>
          <w:sz w:val="24"/>
          <w:lang w:val="sl-SI"/>
        </w:rPr>
        <w:t xml:space="preserve">-border </w:t>
      </w:r>
      <w:proofErr w:type="spellStart"/>
      <w:r w:rsidRPr="001F235C">
        <w:rPr>
          <w:rStyle w:val="Hyperlink"/>
          <w:i/>
          <w:sz w:val="24"/>
          <w:lang w:val="sl-SI"/>
        </w:rPr>
        <w:t>mobile</w:t>
      </w:r>
      <w:proofErr w:type="spellEnd"/>
      <w:r w:rsidRPr="001F235C">
        <w:rPr>
          <w:rStyle w:val="Hyperlink"/>
          <w:i/>
          <w:sz w:val="24"/>
          <w:lang w:val="sl-SI"/>
        </w:rPr>
        <w:t xml:space="preserve"> </w:t>
      </w:r>
      <w:proofErr w:type="spellStart"/>
      <w:r w:rsidRPr="001F235C">
        <w:rPr>
          <w:rStyle w:val="Hyperlink"/>
          <w:i/>
          <w:sz w:val="24"/>
          <w:lang w:val="sl-SI"/>
        </w:rPr>
        <w:t>workers</w:t>
      </w:r>
      <w:proofErr w:type="spellEnd"/>
      <w:r w:rsidRPr="001F235C">
        <w:rPr>
          <w:rStyle w:val="Hyperlink"/>
          <w:i/>
          <w:sz w:val="24"/>
          <w:lang w:val="sl-SI"/>
        </w:rPr>
        <w:t xml:space="preserve"> and </w:t>
      </w:r>
      <w:proofErr w:type="spellStart"/>
      <w:r w:rsidRPr="001F235C">
        <w:rPr>
          <w:rStyle w:val="Hyperlink"/>
          <w:i/>
          <w:sz w:val="24"/>
          <w:lang w:val="sl-SI"/>
        </w:rPr>
        <w:t>workers</w:t>
      </w:r>
      <w:proofErr w:type="spellEnd"/>
      <w:r w:rsidRPr="001F235C">
        <w:rPr>
          <w:rStyle w:val="Hyperlink"/>
          <w:i/>
          <w:sz w:val="24"/>
          <w:lang w:val="sl-SI"/>
        </w:rPr>
        <w:t xml:space="preserve"> in </w:t>
      </w:r>
      <w:proofErr w:type="spellStart"/>
      <w:r w:rsidRPr="001F235C">
        <w:rPr>
          <w:rStyle w:val="Hyperlink"/>
          <w:i/>
          <w:sz w:val="24"/>
          <w:lang w:val="sl-SI"/>
        </w:rPr>
        <w:t>subcontracting</w:t>
      </w:r>
      <w:proofErr w:type="spellEnd"/>
      <w:r w:rsidRPr="001F235C">
        <w:rPr>
          <w:rStyle w:val="Hyperlink"/>
          <w:i/>
          <w:sz w:val="24"/>
          <w:lang w:val="sl-SI"/>
        </w:rPr>
        <w:t xml:space="preserve"> </w:t>
      </w:r>
      <w:proofErr w:type="spellStart"/>
      <w:r w:rsidRPr="001F235C">
        <w:rPr>
          <w:rStyle w:val="Hyperlink"/>
          <w:i/>
          <w:sz w:val="24"/>
          <w:lang w:val="sl-SI"/>
        </w:rPr>
        <w:t>chains</w:t>
      </w:r>
      <w:proofErr w:type="spellEnd"/>
      <w:r w:rsidRPr="001F235C">
        <w:rPr>
          <w:rStyle w:val="Hyperlink"/>
          <w:i/>
          <w:sz w:val="24"/>
          <w:lang w:val="sl-SI"/>
        </w:rPr>
        <w:fldChar w:fldCharType="end"/>
      </w:r>
      <w:r w:rsidRPr="001F235C">
        <w:rPr>
          <w:sz w:val="24"/>
          <w:lang w:val="sl-SI"/>
        </w:rPr>
        <w:t xml:space="preserve"> (Podporna študija spremljanju Direktive </w:t>
      </w:r>
      <w:r w:rsidR="001018EC">
        <w:rPr>
          <w:sz w:val="24"/>
          <w:lang w:val="sl-SI"/>
        </w:rPr>
        <w:t xml:space="preserve">(EU) </w:t>
      </w:r>
      <w:r w:rsidRPr="001F235C">
        <w:rPr>
          <w:sz w:val="24"/>
          <w:lang w:val="sl-SI"/>
        </w:rPr>
        <w:t>2018/957</w:t>
      </w:r>
      <w:r w:rsidR="001018EC">
        <w:rPr>
          <w:sz w:val="24"/>
          <w:lang w:val="sl-SI"/>
        </w:rPr>
        <w:t xml:space="preserve"> </w:t>
      </w:r>
      <w:r w:rsidRPr="001F235C">
        <w:rPr>
          <w:sz w:val="24"/>
          <w:lang w:val="sl-SI"/>
        </w:rPr>
        <w:t>o napotitvi delavcev na delo in Direktive 2014/67/EU o izvrševanju – Položaj začasnih čezmejnih mobilnih delavcev in delavcev v podizvajalskih verigah), Urad za publikacije Evropske unije, 2024.</w:t>
      </w:r>
    </w:p>
  </w:footnote>
  <w:footnote w:id="24">
    <w:p w14:paraId="3ED831E3" w14:textId="55342F09"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Poročilo Komisije o uporabi in izvajanju Direktive (EU) 2018/957 Evropskega parlamenta in Sveta z dne 28. junija 2018 o spremembi Direktive 96/71/ES o napotitvi delavcev na delo v okviru opravljanja storitev (COM(2024)0320).</w:t>
      </w:r>
    </w:p>
  </w:footnote>
  <w:footnote w:id="25">
    <w:p w14:paraId="06FEB6D9" w14:textId="0A40944A"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Poročilo Komisije o uporabi in izvajanju Direktive (EU) 2018/957 Evropskega parlamenta in Sveta z dne 28. junija 2018 o spremembi Direktive 96/71/ES o napotitvi delavcev na delo v okviru opravljanja storitev (COM(2024)0320).</w:t>
      </w:r>
    </w:p>
  </w:footnote>
  <w:footnote w:id="26">
    <w:p w14:paraId="74B94D17" w14:textId="278F342B" w:rsidR="004D0D0B" w:rsidRPr="001F235C" w:rsidRDefault="004D0D0B" w:rsidP="001F235C">
      <w:pPr>
        <w:pStyle w:val="FootnoteText"/>
        <w:ind w:left="567" w:hanging="567"/>
        <w:rPr>
          <w:sz w:val="24"/>
          <w:vertAlign w:val="superscript"/>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Na primer Švedska (</w:t>
      </w:r>
      <w:hyperlink r:id="rId15" w:history="1">
        <w:r w:rsidRPr="006614BD">
          <w:rPr>
            <w:rStyle w:val="Hyperlink"/>
            <w:sz w:val="24"/>
            <w:lang w:val="sl-SI"/>
          </w:rPr>
          <w:t>https://www.regeringen.se/contentassets/f6f461b310984b598ee4f7a2d83350d0/nationell-strategi-mot-arbetslivskriminalitet.pdf</w:t>
        </w:r>
      </w:hyperlink>
      <w:r w:rsidRPr="001F235C">
        <w:rPr>
          <w:sz w:val="24"/>
          <w:lang w:val="sl-SI"/>
        </w:rPr>
        <w:t xml:space="preserve">), Finska (https://julkaisut.valtioneuvosto.fi/bitstream/handle/10024/165395/TEM_2024_5.pdf), Italija, </w:t>
      </w:r>
    </w:p>
    <w:p w14:paraId="03CF5648" w14:textId="04E785A4" w:rsidR="004D0D0B" w:rsidRPr="001F235C" w:rsidRDefault="001F235C" w:rsidP="001F235C">
      <w:pPr>
        <w:pStyle w:val="FootnoteText"/>
        <w:ind w:left="567" w:hanging="567"/>
        <w:rPr>
          <w:sz w:val="24"/>
          <w:lang w:val="sl-SI"/>
        </w:rPr>
      </w:pPr>
      <w:r w:rsidRPr="001F235C">
        <w:rPr>
          <w:sz w:val="24"/>
          <w:lang w:val="sl-SI"/>
        </w:rPr>
        <w:t xml:space="preserve"> </w:t>
      </w:r>
      <w:r w:rsidRPr="001F235C">
        <w:rPr>
          <w:sz w:val="24"/>
          <w:lang w:val="sl-SI"/>
        </w:rPr>
        <w:tab/>
      </w:r>
      <w:r w:rsidR="004D0D0B" w:rsidRPr="001F235C">
        <w:rPr>
          <w:sz w:val="24"/>
          <w:lang w:val="sl-SI"/>
        </w:rPr>
        <w:t>Nemčija (</w:t>
      </w:r>
      <w:hyperlink r:id="rId16" w:history="1">
        <w:r w:rsidR="004D0D0B" w:rsidRPr="001F235C">
          <w:rPr>
            <w:rStyle w:val="Hyperlink"/>
            <w:sz w:val="24"/>
            <w:lang w:val="sl-SI"/>
          </w:rPr>
          <w:t>https://www.bmas.de/DE/Service/Presse/Meldungen/2025/nationaler-aktionsplan-gegen-arbeitsausbeutung-und-zwangsarbeit-beschlossen.html</w:t>
        </w:r>
      </w:hyperlink>
      <w:r w:rsidR="004D0D0B" w:rsidRPr="001F235C">
        <w:rPr>
          <w:sz w:val="24"/>
          <w:lang w:val="sl-SI"/>
        </w:rPr>
        <w:t>), Španija in Norveška (</w:t>
      </w:r>
      <w:hyperlink r:id="rId17" w:history="1">
        <w:r w:rsidR="004D0D0B" w:rsidRPr="006614BD">
          <w:rPr>
            <w:rStyle w:val="Hyperlink"/>
            <w:sz w:val="24"/>
            <w:lang w:val="sl-SI"/>
          </w:rPr>
          <w:t>https://www.regjeringen.no/no/dokumenter/strategi-mot-arbeidslivskriminalitet-2021/id2831867/</w:t>
        </w:r>
      </w:hyperlink>
      <w:r w:rsidR="004D0D0B" w:rsidRPr="001F235C">
        <w:rPr>
          <w:sz w:val="24"/>
          <w:lang w:val="sl-SI"/>
        </w:rPr>
        <w:t>).</w:t>
      </w:r>
    </w:p>
  </w:footnote>
  <w:footnote w:id="27">
    <w:p w14:paraId="442DC36D" w14:textId="139735D2"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Uredba (ES) št. 1008/2008 Evropskega parlamenta in Sveta z dne 24. septembra 2008 o skupnih pravilih za opravljanje zračnih prevozov v Skupnosti (UL L 293, 31.10.2008, str. 3,</w:t>
      </w:r>
      <w:r w:rsidRPr="001F235C">
        <w:rPr>
          <w:sz w:val="24"/>
          <w:shd w:val="clear" w:color="auto" w:fill="FFFFFF"/>
          <w:lang w:val="sl-SI"/>
        </w:rPr>
        <w:t xml:space="preserve"> </w:t>
      </w:r>
      <w:r w:rsidRPr="001F235C">
        <w:rPr>
          <w:sz w:val="24"/>
          <w:lang w:val="sl-SI"/>
        </w:rPr>
        <w:t>ELI: </w:t>
      </w:r>
      <w:hyperlink r:id="rId18" w:tooltip="Povezava ELI na ta dokument." w:history="1">
        <w:r w:rsidRPr="001F235C">
          <w:rPr>
            <w:rStyle w:val="Hyperlink"/>
            <w:sz w:val="24"/>
            <w:lang w:val="sl-SI"/>
          </w:rPr>
          <w:t>http://data.europa.eu/eli/reg/2008/1008/oj</w:t>
        </w:r>
      </w:hyperlink>
      <w:r w:rsidRPr="001F235C">
        <w:rPr>
          <w:sz w:val="24"/>
          <w:lang w:val="sl-SI"/>
        </w:rPr>
        <w:t>).</w:t>
      </w:r>
    </w:p>
  </w:footnote>
  <w:footnote w:id="28">
    <w:p w14:paraId="2AAEFA13" w14:textId="16B69549"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Evropska komisija: Izvajalska agencija za mala in srednja podjetja, </w:t>
      </w:r>
      <w:hyperlink r:id="rId19" w:history="1">
        <w:r w:rsidRPr="001F235C">
          <w:rPr>
            <w:rStyle w:val="Hyperlink"/>
            <w:i/>
            <w:sz w:val="24"/>
            <w:lang w:val="sl-SI"/>
          </w:rPr>
          <w:t>Making socially responsible public procurement work – 71 good practice cases</w:t>
        </w:r>
      </w:hyperlink>
      <w:r w:rsidRPr="001F235C">
        <w:rPr>
          <w:sz w:val="24"/>
          <w:lang w:val="sl-SI"/>
        </w:rPr>
        <w:t xml:space="preserve"> (Zagotavljanje, da bo družbeno odgovorno javno naročanje resnično delovalo – 71 primerov dobre prakse), Urad za publikacije, 2020.</w:t>
      </w:r>
    </w:p>
  </w:footnote>
  <w:footnote w:id="29">
    <w:p w14:paraId="15BC7DB3" w14:textId="412C1E40"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Resolucija Evropskega parlamenta z dne 9. septembra 2025 o javnih naročilih.</w:t>
      </w:r>
    </w:p>
  </w:footnote>
  <w:footnote w:id="30">
    <w:p w14:paraId="7B2F0AD9" w14:textId="647C7968"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Resolucija Evropskega parlamenta z dne 9. septembra 2025 o javnih naročilih.</w:t>
      </w:r>
    </w:p>
  </w:footnote>
  <w:footnote w:id="31">
    <w:p w14:paraId="56C02A55" w14:textId="4432FDAF"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 xml:space="preserve">Študija Evropskega parlamenta, 2016, </w:t>
      </w:r>
      <w:r w:rsidRPr="001F235C">
        <w:rPr>
          <w:i/>
          <w:sz w:val="24"/>
          <w:lang w:val="sl-SI"/>
        </w:rPr>
        <w:t>Precarious Employment in Europe: Volume 1: Patterns, Trends and Policy Strategies</w:t>
      </w:r>
      <w:r w:rsidRPr="001F235C">
        <w:rPr>
          <w:sz w:val="24"/>
          <w:lang w:val="sl-SI"/>
        </w:rPr>
        <w:t xml:space="preserve"> (Prekarno zaposlovanje v Evropi: 1. zvezek: vzorci, gibanja in politične strategije); Eurofound, 2010, </w:t>
      </w:r>
      <w:r w:rsidRPr="001F235C">
        <w:rPr>
          <w:i/>
          <w:sz w:val="24"/>
          <w:lang w:val="sl-SI"/>
        </w:rPr>
        <w:t>Key elements of fair employment and decent work</w:t>
      </w:r>
      <w:r w:rsidRPr="001F235C">
        <w:rPr>
          <w:sz w:val="24"/>
          <w:lang w:val="sl-SI"/>
        </w:rPr>
        <w:t xml:space="preserve"> (Ključni elementi pravičnega zaposlovanja in dostojnega dela); Evropska komisija, Skupno raziskovalno središče, </w:t>
      </w:r>
      <w:hyperlink r:id="rId20" w:history="1">
        <w:r w:rsidRPr="001F235C">
          <w:rPr>
            <w:rStyle w:val="Hyperlink"/>
            <w:i/>
            <w:sz w:val="24"/>
            <w:lang w:val="sl-SI"/>
          </w:rPr>
          <w:t>Outsourcing, working conditions and inequality</w:t>
        </w:r>
      </w:hyperlink>
      <w:r w:rsidRPr="001F235C">
        <w:rPr>
          <w:sz w:val="24"/>
          <w:lang w:val="sl-SI"/>
        </w:rPr>
        <w:t xml:space="preserve"> (Zunanje izvajanje, delovni pogoji in neenakost)</w:t>
      </w:r>
      <w:r w:rsidRPr="001F235C">
        <w:rPr>
          <w:i/>
          <w:sz w:val="24"/>
          <w:lang w:val="sl-SI"/>
        </w:rPr>
        <w:t xml:space="preserve">, </w:t>
      </w:r>
      <w:r w:rsidRPr="001F235C">
        <w:rPr>
          <w:sz w:val="24"/>
          <w:lang w:val="sl-SI"/>
        </w:rPr>
        <w:t>2025.</w:t>
      </w:r>
    </w:p>
  </w:footnote>
  <w:footnote w:id="32">
    <w:p w14:paraId="2524D054" w14:textId="3B032862"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Direktiva 2002/14/ES Evropskega parlamenta in Sveta z dne 11. marca 2002 o določitvi splošnega okvira za obveščanje in posvetovanje z delavci v Evropski skupnosti – Skupna izjava Evropskega parlamenta, Sveta in Komisije o zastopanosti delavcev (UL L 80, 23.3.2002, str. 29, ELI: </w:t>
      </w:r>
      <w:hyperlink r:id="rId21" w:tooltip="Povezava ELI na ta dokument." w:history="1">
        <w:r w:rsidRPr="001F235C">
          <w:rPr>
            <w:rStyle w:val="Hyperlink"/>
            <w:sz w:val="24"/>
            <w:lang w:val="sl-SI"/>
          </w:rPr>
          <w:t>http://data.europa.eu/eli/dir/2002/14/oj</w:t>
        </w:r>
      </w:hyperlink>
      <w:r w:rsidRPr="001F235C">
        <w:rPr>
          <w:sz w:val="24"/>
          <w:lang w:val="sl-SI"/>
        </w:rPr>
        <w:t>).</w:t>
      </w:r>
    </w:p>
  </w:footnote>
  <w:footnote w:id="33">
    <w:p w14:paraId="1058EB01" w14:textId="0DC45EB9"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Direktiva 2008/104/ES Evropskega parlamenta in Sveta z dne 19. novembra 2008 o delu prek agencij za zagotavljanje začasnega dela (UL L 327, 5.12.2008, str. 9, ELI: </w:t>
      </w:r>
      <w:hyperlink r:id="rId22" w:tooltip="Povezava ELI na ta dokument." w:history="1">
        <w:r w:rsidRPr="001F235C">
          <w:rPr>
            <w:rStyle w:val="Hyperlink"/>
            <w:sz w:val="24"/>
            <w:lang w:val="sl-SI"/>
          </w:rPr>
          <w:t>http://data.europa.eu/eli/dir/2008/104/oj</w:t>
        </w:r>
      </w:hyperlink>
      <w:r w:rsidRPr="001F235C">
        <w:rPr>
          <w:sz w:val="24"/>
          <w:lang w:val="sl-SI"/>
        </w:rPr>
        <w:t>).</w:t>
      </w:r>
    </w:p>
  </w:footnote>
  <w:footnote w:id="34">
    <w:p w14:paraId="3E3C3997" w14:textId="667A4954"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Resolucija Evropskega parlamenta z dne 18. januarja 2024 o reviziji pooblastil Evropskega organa za delo.</w:t>
      </w:r>
    </w:p>
  </w:footnote>
  <w:footnote w:id="35">
    <w:p w14:paraId="277A207C" w14:textId="732D6432"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 xml:space="preserve">Direktiva 2006/22/ES Evropskega parlamenta in Sveta z dne 15. marca 2006 o minimalnih pogojih za izvajanje uredb Sveta (EGS) št. 3820/85 in (EGS) št. 3821/85 o socialni zakonodaji v zvezi z dejavnostmi v cestnem prometu in razveljavitvi Direktive Sveta 88/599/EGS (UL L 102, 11.4.2006, str. 35, ELI: </w:t>
      </w:r>
      <w:hyperlink r:id="rId23" w:history="1">
        <w:r w:rsidRPr="001F235C">
          <w:rPr>
            <w:rStyle w:val="Hyperlink"/>
            <w:sz w:val="24"/>
            <w:lang w:val="sl-SI"/>
          </w:rPr>
          <w:t>http://data.europa.eu/eli/dir/2006/22/oj</w:t>
        </w:r>
      </w:hyperlink>
      <w:r w:rsidRPr="001F235C">
        <w:rPr>
          <w:sz w:val="24"/>
          <w:lang w:val="sl-SI"/>
        </w:rPr>
        <w:t>).</w:t>
      </w:r>
    </w:p>
  </w:footnote>
  <w:footnote w:id="36">
    <w:p w14:paraId="133D0B98" w14:textId="08D7FBFC" w:rsidR="004D0D0B" w:rsidRPr="001F235C" w:rsidRDefault="004D0D0B" w:rsidP="001F235C">
      <w:pPr>
        <w:pStyle w:val="FootnoteText"/>
        <w:ind w:left="567" w:hanging="567"/>
        <w:rPr>
          <w:sz w:val="24"/>
          <w:lang w:val="sl-SI"/>
        </w:rPr>
      </w:pPr>
      <w:r w:rsidRPr="001F235C">
        <w:rPr>
          <w:rStyle w:val="FootnoteReference"/>
          <w:sz w:val="24"/>
          <w:lang w:val="sl-SI"/>
        </w:rPr>
        <w:footnoteRef/>
      </w:r>
      <w:r w:rsidR="001F235C" w:rsidRPr="001F235C">
        <w:rPr>
          <w:sz w:val="24"/>
          <w:lang w:val="sl-SI"/>
        </w:rPr>
        <w:t xml:space="preserve"> </w:t>
      </w:r>
      <w:r w:rsidR="001F235C" w:rsidRPr="001F235C">
        <w:rPr>
          <w:sz w:val="24"/>
          <w:lang w:val="sl-SI"/>
        </w:rPr>
        <w:tab/>
      </w:r>
      <w:r w:rsidRPr="001F235C">
        <w:rPr>
          <w:sz w:val="24"/>
          <w:lang w:val="sl-SI"/>
        </w:rPr>
        <w:t>Resolucija Evropskega parlamenta z dne 25. novembra 2021 o uvedbi evropske izkaznice socialnega zavarovanja za izboljšanje digitalnega uveljavljanja pravic socialne varnosti in pravično mobilnost.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4198512">
    <w:abstractNumId w:val="9"/>
  </w:num>
  <w:num w:numId="2" w16cid:durableId="1141264999">
    <w:abstractNumId w:val="9"/>
  </w:num>
  <w:num w:numId="3" w16cid:durableId="679506307">
    <w:abstractNumId w:val="7"/>
  </w:num>
  <w:num w:numId="4" w16cid:durableId="52850045">
    <w:abstractNumId w:val="7"/>
  </w:num>
  <w:num w:numId="5" w16cid:durableId="501236001">
    <w:abstractNumId w:val="6"/>
  </w:num>
  <w:num w:numId="6" w16cid:durableId="397023508">
    <w:abstractNumId w:val="6"/>
  </w:num>
  <w:num w:numId="7" w16cid:durableId="1542327437">
    <w:abstractNumId w:val="5"/>
  </w:num>
  <w:num w:numId="8" w16cid:durableId="218591663">
    <w:abstractNumId w:val="5"/>
  </w:num>
  <w:num w:numId="9" w16cid:durableId="1312053602">
    <w:abstractNumId w:val="4"/>
  </w:num>
  <w:num w:numId="10" w16cid:durableId="1580216045">
    <w:abstractNumId w:val="4"/>
  </w:num>
  <w:num w:numId="11" w16cid:durableId="1453866052">
    <w:abstractNumId w:val="8"/>
  </w:num>
  <w:num w:numId="12" w16cid:durableId="2064403166">
    <w:abstractNumId w:val="8"/>
  </w:num>
  <w:num w:numId="13" w16cid:durableId="289556903">
    <w:abstractNumId w:val="3"/>
  </w:num>
  <w:num w:numId="14" w16cid:durableId="379717491">
    <w:abstractNumId w:val="3"/>
  </w:num>
  <w:num w:numId="15" w16cid:durableId="1268580403">
    <w:abstractNumId w:val="2"/>
  </w:num>
  <w:num w:numId="16" w16cid:durableId="789279522">
    <w:abstractNumId w:val="2"/>
  </w:num>
  <w:num w:numId="17" w16cid:durableId="113407322">
    <w:abstractNumId w:val="1"/>
  </w:num>
  <w:num w:numId="18" w16cid:durableId="635531678">
    <w:abstractNumId w:val="1"/>
  </w:num>
  <w:num w:numId="19" w16cid:durableId="1058943216">
    <w:abstractNumId w:val="0"/>
  </w:num>
  <w:num w:numId="20" w16cid:durableId="860048759">
    <w:abstractNumId w:val="0"/>
  </w:num>
  <w:num w:numId="21" w16cid:durableId="448089939">
    <w:abstractNumId w:val="9"/>
  </w:num>
  <w:num w:numId="22" w16cid:durableId="508328317">
    <w:abstractNumId w:val="7"/>
  </w:num>
  <w:num w:numId="23" w16cid:durableId="301890634">
    <w:abstractNumId w:val="6"/>
  </w:num>
  <w:num w:numId="24" w16cid:durableId="1044521908">
    <w:abstractNumId w:val="5"/>
  </w:num>
  <w:num w:numId="25" w16cid:durableId="134417547">
    <w:abstractNumId w:val="4"/>
  </w:num>
  <w:num w:numId="26" w16cid:durableId="1065882199">
    <w:abstractNumId w:val="8"/>
  </w:num>
  <w:num w:numId="27" w16cid:durableId="80567085">
    <w:abstractNumId w:val="3"/>
  </w:num>
  <w:num w:numId="28" w16cid:durableId="918751761">
    <w:abstractNumId w:val="2"/>
  </w:num>
  <w:num w:numId="29" w16cid:durableId="414790824">
    <w:abstractNumId w:val="1"/>
  </w:num>
  <w:num w:numId="30" w16cid:durableId="291520493">
    <w:abstractNumId w:val="0"/>
  </w:num>
  <w:num w:numId="31" w16cid:durableId="2103794857">
    <w:abstractNumId w:val="9"/>
  </w:num>
  <w:num w:numId="32" w16cid:durableId="1887912992">
    <w:abstractNumId w:val="7"/>
  </w:num>
  <w:num w:numId="33" w16cid:durableId="788278770">
    <w:abstractNumId w:val="6"/>
  </w:num>
  <w:num w:numId="34" w16cid:durableId="1469277489">
    <w:abstractNumId w:val="5"/>
  </w:num>
  <w:num w:numId="35" w16cid:durableId="344209372">
    <w:abstractNumId w:val="4"/>
  </w:num>
  <w:num w:numId="36" w16cid:durableId="1199858627">
    <w:abstractNumId w:val="8"/>
  </w:num>
  <w:num w:numId="37" w16cid:durableId="1228998395">
    <w:abstractNumId w:val="3"/>
  </w:num>
  <w:num w:numId="38" w16cid:durableId="683097724">
    <w:abstractNumId w:val="2"/>
  </w:num>
  <w:num w:numId="39" w16cid:durableId="1582791847">
    <w:abstractNumId w:val="1"/>
  </w:num>
  <w:num w:numId="40" w16cid:durableId="867371867">
    <w:abstractNumId w:val="0"/>
  </w:num>
  <w:num w:numId="41" w16cid:durableId="1391657927">
    <w:abstractNumId w:val="10"/>
  </w:num>
  <w:num w:numId="42" w16cid:durableId="1450583040">
    <w:abstractNumId w:val="10"/>
  </w:num>
  <w:num w:numId="43" w16cid:durableId="983237123">
    <w:abstractNumId w:val="10"/>
  </w:num>
  <w:num w:numId="44" w16cid:durableId="1523930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SL"/>
    <w:docVar w:name="dvnumam" w:val="41"/>
    <w:docVar w:name="dvpe" w:val="775.631"/>
    <w:docVar w:name="dvrapporteur" w:val="Poročevalec: "/>
    <w:docVar w:name="dvtitre" w:val="Resolucija Evropskega parlamenta z dne xx. februarja 2026 o reševanju vprašanja podizvajalskih verig in vlogi posrednikov pri varstvu pravic delavcev(2025/2133(INI))"/>
  </w:docVars>
  <w:rsids>
    <w:rsidRoot w:val="003B27FF"/>
    <w:rsid w:val="00002272"/>
    <w:rsid w:val="00014BBF"/>
    <w:rsid w:val="00064002"/>
    <w:rsid w:val="000677B9"/>
    <w:rsid w:val="000831BA"/>
    <w:rsid w:val="000A28CE"/>
    <w:rsid w:val="000A42CC"/>
    <w:rsid w:val="000E7DD9"/>
    <w:rsid w:val="0010095E"/>
    <w:rsid w:val="001018EC"/>
    <w:rsid w:val="00125B37"/>
    <w:rsid w:val="00187494"/>
    <w:rsid w:val="001E7ADD"/>
    <w:rsid w:val="001F235C"/>
    <w:rsid w:val="001F32AE"/>
    <w:rsid w:val="002318D0"/>
    <w:rsid w:val="002767FF"/>
    <w:rsid w:val="002B18FE"/>
    <w:rsid w:val="002B5493"/>
    <w:rsid w:val="00343214"/>
    <w:rsid w:val="00361C00"/>
    <w:rsid w:val="00395FA1"/>
    <w:rsid w:val="003B27FF"/>
    <w:rsid w:val="003E15D4"/>
    <w:rsid w:val="003F2254"/>
    <w:rsid w:val="00411CCE"/>
    <w:rsid w:val="0041666E"/>
    <w:rsid w:val="00421060"/>
    <w:rsid w:val="00471C19"/>
    <w:rsid w:val="00483C5F"/>
    <w:rsid w:val="004867E3"/>
    <w:rsid w:val="00494A28"/>
    <w:rsid w:val="004A37AB"/>
    <w:rsid w:val="004C0004"/>
    <w:rsid w:val="004C5D52"/>
    <w:rsid w:val="004D0D0B"/>
    <w:rsid w:val="00504139"/>
    <w:rsid w:val="0050519A"/>
    <w:rsid w:val="005072A1"/>
    <w:rsid w:val="00514517"/>
    <w:rsid w:val="00545827"/>
    <w:rsid w:val="00560270"/>
    <w:rsid w:val="005C2568"/>
    <w:rsid w:val="005F1B17"/>
    <w:rsid w:val="006037C0"/>
    <w:rsid w:val="006614B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875"/>
    <w:rsid w:val="00930C23"/>
    <w:rsid w:val="0093193B"/>
    <w:rsid w:val="009509D8"/>
    <w:rsid w:val="00950B64"/>
    <w:rsid w:val="00981893"/>
    <w:rsid w:val="009E00BA"/>
    <w:rsid w:val="00A1687D"/>
    <w:rsid w:val="00A43E52"/>
    <w:rsid w:val="00A4678D"/>
    <w:rsid w:val="00A616FD"/>
    <w:rsid w:val="00A778C7"/>
    <w:rsid w:val="00AB441E"/>
    <w:rsid w:val="00AB6293"/>
    <w:rsid w:val="00AE0928"/>
    <w:rsid w:val="00AF3B82"/>
    <w:rsid w:val="00B12E95"/>
    <w:rsid w:val="00B22876"/>
    <w:rsid w:val="00B558F0"/>
    <w:rsid w:val="00BC42CE"/>
    <w:rsid w:val="00BD48FE"/>
    <w:rsid w:val="00BD7BD8"/>
    <w:rsid w:val="00BE6ADC"/>
    <w:rsid w:val="00C02C4C"/>
    <w:rsid w:val="00C05BFE"/>
    <w:rsid w:val="00C23CD4"/>
    <w:rsid w:val="00C61C0C"/>
    <w:rsid w:val="00C941CB"/>
    <w:rsid w:val="00CC2357"/>
    <w:rsid w:val="00CF071A"/>
    <w:rsid w:val="00D058B8"/>
    <w:rsid w:val="00D3770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4FD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78902"/>
  <w15:chartTrackingRefBased/>
  <w15:docId w15:val="{68E020FE-5B5C-495A-8C94-F80E16D14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D0D0B"/>
    <w:pPr>
      <w:spacing w:after="240"/>
      <w:ind w:left="567" w:hanging="567"/>
    </w:pPr>
  </w:style>
  <w:style w:type="paragraph" w:customStyle="1" w:styleId="EPComma">
    <w:name w:val="EPComma"/>
    <w:basedOn w:val="Normal"/>
    <w:rsid w:val="004D0D0B"/>
    <w:pPr>
      <w:spacing w:before="480" w:after="240"/>
    </w:pPr>
  </w:style>
  <w:style w:type="character" w:styleId="Hyperlink">
    <w:name w:val="Hyperlink"/>
    <w:basedOn w:val="DefaultParagraphFont"/>
    <w:rsid w:val="004D0D0B"/>
    <w:rPr>
      <w:color w:val="0563C1" w:themeColor="hyperlink"/>
      <w:u w:val="single"/>
    </w:rPr>
  </w:style>
  <w:style w:type="character" w:styleId="UnresolvedMention">
    <w:name w:val="Unresolved Mention"/>
    <w:basedOn w:val="DefaultParagraphFont"/>
    <w:uiPriority w:val="99"/>
    <w:semiHidden/>
    <w:unhideWhenUsed/>
    <w:rsid w:val="006614BD"/>
    <w:rPr>
      <w:color w:val="605E5C"/>
      <w:shd w:val="clear" w:color="auto" w:fill="E1DFDD"/>
    </w:rPr>
  </w:style>
  <w:style w:type="paragraph" w:styleId="Revision">
    <w:name w:val="Revision"/>
    <w:hidden/>
    <w:uiPriority w:val="99"/>
    <w:semiHidden/>
    <w:rsid w:val="001E7ADD"/>
    <w:rPr>
      <w:sz w:val="24"/>
      <w:lang w:val="sl-SI"/>
    </w:rPr>
  </w:style>
  <w:style w:type="character" w:styleId="FollowedHyperlink">
    <w:name w:val="FollowedHyperlink"/>
    <w:basedOn w:val="DefaultParagraphFont"/>
    <w:rsid w:val="001018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data.europa.eu/eli/reg/2008/1008/oj" TargetMode="External"/><Relationship Id="rId3" Type="http://schemas.openxmlformats.org/officeDocument/2006/relationships/hyperlink" Target="http://data.europa.eu/eli/dir/2011/36/oj" TargetMode="External"/><Relationship Id="rId21" Type="http://schemas.openxmlformats.org/officeDocument/2006/relationships/hyperlink" Target="http://data.europa.eu/eli/dir/2002/14/oj"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5/3156/oj" TargetMode="External"/><Relationship Id="rId17" Type="http://schemas.openxmlformats.org/officeDocument/2006/relationships/hyperlink" Target="https://www.regjeringen.no/no/dokumenter/strategi-mot-arbeidslivskriminalitet-2021/id2831867/" TargetMode="External"/><Relationship Id="rId2" Type="http://schemas.openxmlformats.org/officeDocument/2006/relationships/hyperlink" Target="http://data.europa.eu/eli/dir/2014/67/oj" TargetMode="External"/><Relationship Id="rId16" Type="http://schemas.openxmlformats.org/officeDocument/2006/relationships/hyperlink" Target="https://www.bmas.de/DE/Service/Presse/Meldungen/2025/nationaler-aktionsplan-gegen-arbeitsausbeutung-und-zwangsarbeit-beschlossen.html" TargetMode="External"/><Relationship Id="rId20" Type="http://schemas.openxmlformats.org/officeDocument/2006/relationships/hyperlink" Target="https://joint-research-centre.ec.europa.eu/projects-and-activities/employment/outsourcing-working-conditions-and-inequality_en"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s://www.regeringen.se/contentassets/f6f461b310984b598ee4f7a2d83350d0/nationell-strategi-mot-arbetslivskriminalitet.pdf" TargetMode="External"/><Relationship Id="rId23" Type="http://schemas.openxmlformats.org/officeDocument/2006/relationships/hyperlink" Target="http://data.europa.eu/eli/dir/2006/22/oj"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s://data.europa.eu/doi/10.2826/844552"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op.europa.eu/en/publication-detail/-/publication/384d8554-4e1c-11ef-acbc-01aa75ed71a1/language-sl" TargetMode="External"/><Relationship Id="rId22" Type="http://schemas.openxmlformats.org/officeDocument/2006/relationships/hyperlink" Target="http://data.europa.eu/eli/dir/2008/1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5414</Words>
  <Characters>33571</Characters>
  <Application>Microsoft Office Word</Application>
  <DocSecurity>0</DocSecurity>
  <Lines>279</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2026-03-19T07:50:00Z</dcterms:created>
  <dcterms:modified xsi:type="dcterms:W3CDTF">2026-03-19T07:50:00Z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A10-0256/2025</vt:lpwstr>
  </property>
  <property fmtid="{D5CDD505-2E9C-101B-9397-08002B2CF9AE}" pid="4" name="&lt;Type&gt;">
    <vt:lpwstr>RR</vt:lpwstr>
  </property>
</Properties>
</file>