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4C03" w14:paraId="10BBE25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AAF898" w14:textId="6E0BC543" w:rsidR="00751A4A" w:rsidRPr="008A4C03" w:rsidRDefault="00BA44AB" w:rsidP="0010095E">
            <w:pPr>
              <w:pStyle w:val="EPName"/>
            </w:pPr>
            <w:r w:rsidRPr="008A4C03">
              <w:t>Европейски</w:t>
            </w:r>
            <w:r w:rsidR="009D58B9" w:rsidRPr="008A4C03">
              <w:t xml:space="preserve"> парламент</w:t>
            </w:r>
          </w:p>
          <w:p w14:paraId="0A0F8AAE" w14:textId="674C8F22" w:rsidR="00751A4A" w:rsidRPr="008A4C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4C03">
              <w:t>2024</w:t>
            </w:r>
            <w:r w:rsidR="00BA44AB">
              <w:t> – </w:t>
            </w:r>
            <w:r w:rsidR="00817416" w:rsidRPr="008A4C03">
              <w:t>202</w:t>
            </w:r>
            <w:r w:rsidRPr="008A4C03">
              <w:t>9</w:t>
            </w:r>
          </w:p>
        </w:tc>
        <w:tc>
          <w:tcPr>
            <w:tcW w:w="2268" w:type="dxa"/>
            <w:shd w:val="clear" w:color="auto" w:fill="auto"/>
          </w:tcPr>
          <w:p w14:paraId="1147F62D" w14:textId="77777777" w:rsidR="00751A4A" w:rsidRPr="008A4C03" w:rsidRDefault="00187494" w:rsidP="0010095E">
            <w:pPr>
              <w:pStyle w:val="EPLogo"/>
            </w:pPr>
            <w:r w:rsidRPr="008A4C03">
              <w:rPr>
                <w:noProof/>
                <w:lang w:eastAsia="ja-JP"/>
              </w:rPr>
              <w:drawing>
                <wp:inline distT="0" distB="0" distL="0" distR="0" wp14:anchorId="03521792" wp14:editId="7F5EFA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E6A362" w14:textId="77777777" w:rsidR="00D058B8" w:rsidRPr="008A4C03" w:rsidRDefault="00D058B8" w:rsidP="004C5D52">
      <w:pPr>
        <w:pStyle w:val="LineTop"/>
      </w:pPr>
    </w:p>
    <w:p w14:paraId="3516AB89" w14:textId="0968A3F5" w:rsidR="00680577" w:rsidRPr="008A4C03" w:rsidRDefault="009D58B9" w:rsidP="00680577">
      <w:pPr>
        <w:pStyle w:val="EPBodyTA1"/>
      </w:pPr>
      <w:r w:rsidRPr="008A4C03">
        <w:t>ПРИЕТИ ТЕКСТОВЕ</w:t>
      </w:r>
    </w:p>
    <w:p w14:paraId="41BF84CE" w14:textId="77777777" w:rsidR="00D058B8" w:rsidRPr="008A4C03" w:rsidRDefault="00D058B8" w:rsidP="00D058B8">
      <w:pPr>
        <w:pStyle w:val="LineBottom"/>
      </w:pPr>
    </w:p>
    <w:p w14:paraId="4B304300" w14:textId="2D969B33" w:rsidR="009D58B9" w:rsidRPr="008A4C03" w:rsidRDefault="009D58B9" w:rsidP="009D58B9">
      <w:pPr>
        <w:pStyle w:val="ATHeading1"/>
      </w:pPr>
      <w:bookmarkStart w:id="0" w:name="TANumber"/>
      <w:r w:rsidRPr="008A4C03">
        <w:t>P10_TA(2026)00</w:t>
      </w:r>
      <w:r w:rsidR="00FD3A66">
        <w:rPr>
          <w:lang w:val="en-GB"/>
        </w:rPr>
        <w:t>51</w:t>
      </w:r>
      <w:bookmarkEnd w:id="0"/>
    </w:p>
    <w:p w14:paraId="1BF0439E" w14:textId="77777777" w:rsidR="009D58B9" w:rsidRPr="008A4C03" w:rsidRDefault="009D58B9" w:rsidP="009D58B9">
      <w:pPr>
        <w:pStyle w:val="ATHeading2"/>
      </w:pPr>
      <w:bookmarkStart w:id="1" w:name="title"/>
      <w:r w:rsidRPr="008A4C03">
        <w:t>Препоръка до Съвета относно приоритетите на ЕС за 70-ата сесия на Комисията на ООН за положението на жените</w:t>
      </w:r>
      <w:bookmarkEnd w:id="1"/>
    </w:p>
    <w:p w14:paraId="512179C4" w14:textId="77777777" w:rsidR="009D58B9" w:rsidRPr="008A4C03" w:rsidRDefault="009D58B9" w:rsidP="009D58B9">
      <w:pPr>
        <w:rPr>
          <w:i/>
          <w:vanish/>
        </w:rPr>
      </w:pPr>
      <w:r w:rsidRPr="008A4C03">
        <w:rPr>
          <w:i/>
        </w:rPr>
        <w:fldChar w:fldCharType="begin"/>
      </w:r>
      <w:r w:rsidRPr="008A4C03">
        <w:rPr>
          <w:i/>
        </w:rPr>
        <w:instrText xml:space="preserve"> TC"(</w:instrText>
      </w:r>
      <w:bookmarkStart w:id="2" w:name="DocNumber"/>
      <w:r w:rsidRPr="008A4C03">
        <w:rPr>
          <w:i/>
        </w:rPr>
        <w:instrText>A10-0010/2026</w:instrText>
      </w:r>
      <w:bookmarkEnd w:id="2"/>
      <w:r w:rsidRPr="008A4C03">
        <w:rPr>
          <w:i/>
        </w:rPr>
        <w:instrText xml:space="preserve"> - Докладчик: Лина Галвес)"\l3 \n&gt; \* MERGEFORMAT </w:instrText>
      </w:r>
      <w:r w:rsidRPr="008A4C03">
        <w:rPr>
          <w:i/>
        </w:rPr>
        <w:fldChar w:fldCharType="end"/>
      </w:r>
    </w:p>
    <w:p w14:paraId="1769B7BF" w14:textId="77777777" w:rsidR="009D58B9" w:rsidRPr="008A4C03" w:rsidRDefault="009D58B9" w:rsidP="009D58B9">
      <w:pPr>
        <w:rPr>
          <w:vanish/>
        </w:rPr>
      </w:pPr>
      <w:bookmarkStart w:id="3" w:name="Commission"/>
      <w:r w:rsidRPr="008A4C03">
        <w:rPr>
          <w:vanish/>
        </w:rPr>
        <w:t>Комисия по правата на жените и равенството между половете</w:t>
      </w:r>
      <w:bookmarkEnd w:id="3"/>
    </w:p>
    <w:p w14:paraId="0C317D89" w14:textId="77777777" w:rsidR="009D58B9" w:rsidRPr="008A4C03" w:rsidRDefault="009D58B9" w:rsidP="009D58B9">
      <w:pPr>
        <w:rPr>
          <w:vanish/>
        </w:rPr>
      </w:pPr>
      <w:bookmarkStart w:id="4" w:name="PE"/>
      <w:r w:rsidRPr="008A4C03">
        <w:rPr>
          <w:vanish/>
        </w:rPr>
        <w:t>PE776.895</w:t>
      </w:r>
      <w:bookmarkEnd w:id="4"/>
    </w:p>
    <w:p w14:paraId="234B0D65" w14:textId="4F1081D8" w:rsidR="009D58B9" w:rsidRPr="008A4C03" w:rsidRDefault="009D58B9" w:rsidP="009D58B9">
      <w:pPr>
        <w:pStyle w:val="ATHeading3"/>
      </w:pPr>
      <w:bookmarkStart w:id="5" w:name="Sujet"/>
      <w:r w:rsidRPr="008A4C03">
        <w:t xml:space="preserve">Препоръка на Европейския парламент </w:t>
      </w:r>
      <w:r w:rsidR="00BA44AB">
        <w:t xml:space="preserve">от 12 февруари 2026 г. </w:t>
      </w:r>
      <w:r w:rsidRPr="008A4C03">
        <w:t>до Съвета относно приоритетите на ЕС за 70-ата сесия на Комисията на ООН за положението на жените</w:t>
      </w:r>
      <w:bookmarkEnd w:id="5"/>
      <w:r w:rsidRPr="008A4C03">
        <w:t xml:space="preserve"> </w:t>
      </w:r>
      <w:bookmarkStart w:id="6" w:name="References"/>
      <w:r w:rsidRPr="008A4C03">
        <w:t>(2025/2240(INI))</w:t>
      </w:r>
      <w:bookmarkEnd w:id="6"/>
    </w:p>
    <w:p w14:paraId="6E77BD6E" w14:textId="77777777" w:rsidR="00E05898" w:rsidRPr="008A4C03" w:rsidRDefault="00E05898" w:rsidP="00E05898">
      <w:pPr>
        <w:pStyle w:val="EPComma"/>
      </w:pPr>
      <w:r w:rsidRPr="008A4C03">
        <w:rPr>
          <w:i/>
          <w:iCs/>
        </w:rPr>
        <w:t>Европейският парламент</w:t>
      </w:r>
      <w:r w:rsidRPr="008A4C03">
        <w:t>,</w:t>
      </w:r>
    </w:p>
    <w:p w14:paraId="02AB1D86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70-ата сесия на Комисията на ООН за положението на жените, насрочена за март 2026 г., нейната водеща тема „Гарантиране и укрепване на достъпа до правосъдие за всички жени и момичета, включително чрез насърчаване на приобщаващи и справедливи правни системи, премахване на дискриминационните закони, политики и практики и преодоляване на структурните пречки“, както и темата за преглед „Пълно и ефективно участие на жените във вземането на решения в обществения живот, както и премахване на насилието, за постигане на равенство между половете и овластяване на всички жени и момичета“,</w:t>
      </w:r>
    </w:p>
    <w:p w14:paraId="79985B31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Конвенцията на ООН от 18 декември 1979 г. за премахване на всички форми на дискриминация по отношение на жените,</w:t>
      </w:r>
    </w:p>
    <w:p w14:paraId="64EF6BE0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Конвенцията на ООН за правата на хората с увреждания от 12 декември 2006 г., и по-специално членове 6 и 13 от нея относно достъпа до правосъдие и множествената дискриминация, на която са подложени жените и момичетата с увреждания,</w:t>
      </w:r>
    </w:p>
    <w:p w14:paraId="500A51B5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Програмата на ООН до 2030 г. за устойчиво развитие, а именно принципа „да не се пренебрегва никой“, и по-конкретно цел за устойчиво развитие (ЦУР) № 5, чийто стремеж е да се постигне равенство между половете и да се гарантира, че жените имат равни права върху икономическите ресурси, както и достъп до собственост, контрол върху земя и други форми на собственост, финансови услуги, наследство и природни ресурси, и ЦУР № 10, насочена към премахване на дискриминационните закони, политики и практики и насърчаване на подходящо законодателство, политики и действия,</w:t>
      </w:r>
    </w:p>
    <w:p w14:paraId="36ED64B8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lastRenderedPageBreak/>
        <w:t>–</w:t>
      </w:r>
      <w:r w:rsidRPr="008A4C03">
        <w:tab/>
        <w:t>като взе предвид членове 20, 21, 23 и 47 от Хартата на Европейския съюз за основните права,</w:t>
      </w:r>
    </w:p>
    <w:p w14:paraId="4C3DCA20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соята резолюция от 11 април 2024 г. относно включването на правото на аборт в Хартата на основните права на ЕС</w:t>
      </w:r>
      <w:r w:rsidRPr="008A4C03">
        <w:rPr>
          <w:rStyle w:val="FootnoteReference"/>
          <w:bCs/>
          <w:iCs/>
        </w:rPr>
        <w:footnoteReference w:id="1"/>
      </w:r>
      <w:r w:rsidRPr="008A4C03">
        <w:t>,</w:t>
      </w:r>
    </w:p>
    <w:p w14:paraId="797FFAF3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съвместното съобщение на Комисията и върховния представител на Съюза по въпросите на външните работи и политиката на сигурност от 25 ноември 2020 г., озаглавено „План за действие на ЕС относно равенството между половете (GAP) III — амбициозна програма за равенство между половете и овластяване на жените във външната дейност на ЕС“ (JOIN(2020)0017), в което се очертава планът за действие на ЕС за равенство между половете за периода 2021—2025 г.,</w:t>
      </w:r>
    </w:p>
    <w:p w14:paraId="3DCB2780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съобщението на Комисията от 7 март 2025 г., озаглавено „Пътна карта за правата на жените“ (COM(2025)0097), в което се потвърждава ангажиментът на ЕС по отношение на равенството между половете;</w:t>
      </w:r>
    </w:p>
    <w:p w14:paraId="35B730A4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съобщението на Комисията от 5 март 2020 г., озаглавено „Съюз на равенство: Стратегия за равенство между половете (2020—2025 г.)“ (COM(2020)0152),</w:t>
      </w:r>
    </w:p>
    <w:p w14:paraId="4FD1E6EF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своята резолюция от 13 ноември 2025 г. относно равенството между половете за 2025 г.</w:t>
      </w:r>
      <w:r w:rsidRPr="008A4C03">
        <w:rPr>
          <w:rStyle w:val="FootnoteReference"/>
          <w:bCs/>
          <w:iCs/>
        </w:rPr>
        <w:footnoteReference w:id="2"/>
      </w:r>
      <w:r w:rsidRPr="008A4C03">
        <w:t>,</w:t>
      </w:r>
    </w:p>
    <w:p w14:paraId="4295331E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Директива 2012/29/ЕС на Европейския парламент и на Съвета от 25 октомври 2012 г. за установяване на минимални стандарти за правата, подкрепата и защитата на жертвите на престъпления и за замяна на Рамково решение 2001/220/ПВР на Съвета</w:t>
      </w:r>
      <w:r w:rsidRPr="008A4C03">
        <w:rPr>
          <w:bCs/>
          <w:iCs/>
          <w:vertAlign w:val="superscript"/>
        </w:rPr>
        <w:footnoteReference w:id="3"/>
      </w:r>
      <w:r w:rsidRPr="008A4C03">
        <w:t>, както и течащото понастоящем преработване на тази директива,</w:t>
      </w:r>
    </w:p>
    <w:p w14:paraId="70D6ECFF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Директива (ЕС) 2024/1385 на Европейския парламент и на Съвета от 14 май 2024 г. относно борбата с насилието над жени и домашното насилие</w:t>
      </w:r>
      <w:r w:rsidRPr="008A4C03">
        <w:rPr>
          <w:rStyle w:val="FootnoteReference"/>
          <w:bCs/>
          <w:iCs/>
        </w:rPr>
        <w:footnoteReference w:id="4"/>
      </w:r>
      <w:r w:rsidRPr="008A4C03">
        <w:t>,</w:t>
      </w:r>
    </w:p>
    <w:p w14:paraId="004EF072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Резолюция 1820 (2008) на Съвета за сигурност на ООН от 19 юни 2008 г. относно сексуалното насилие като средство за водене на война,</w:t>
      </w:r>
    </w:p>
    <w:p w14:paraId="6F6AF7FD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Принципите и ръководните насоки на ООН относно достъпа до правна помощ в системите за наказателно правосъдие, приети през декември 2012 г.,</w:t>
      </w:r>
    </w:p>
    <w:p w14:paraId="75B8960D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 xml:space="preserve">като взе предвид програмата „Правосъдие“ на Комисията за периода 2021—2027 г., която предоставя финансиране в подкрепа на съдебното сътрудничество по гражданскоправни и наказателноправни въпроси, като например обучение на съдии и други практикуващи юристи, както и ефективен достъп до правосъдие за </w:t>
      </w:r>
      <w:r w:rsidRPr="008A4C03">
        <w:lastRenderedPageBreak/>
        <w:t>граждани и предприятия,</w:t>
      </w:r>
    </w:p>
    <w:p w14:paraId="45616396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Конвенцията на Съвета на Европа за превенция и борба с насилието над жени и домашното насилие (Истанбулската конвенция),</w:t>
      </w:r>
    </w:p>
    <w:p w14:paraId="44365CDD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член 81, параграф 2 от Договора за функционирането на Европейския съюз,</w:t>
      </w:r>
    </w:p>
    <w:p w14:paraId="74956F49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член 121 от своя Правилник за дейността,</w:t>
      </w:r>
    </w:p>
    <w:p w14:paraId="23DB3E08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–</w:t>
      </w:r>
      <w:r w:rsidRPr="008A4C03">
        <w:tab/>
        <w:t>като взе предвид доклада на комисията по правата на жените и равенството между половете (A10-0010/2026),</w:t>
      </w:r>
    </w:p>
    <w:p w14:paraId="2CE76BC9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А.</w:t>
      </w:r>
      <w:r w:rsidRPr="008A4C03">
        <w:tab/>
        <w:t xml:space="preserve">като има предвид, че равенството между жените и мъжете е основен принцип, заложен в член 2 от Договора за Европейския съюз и член 23 от Хартата на основните права на Европейския съюз; като има предвид, че този принцип се прилага във всички области на живота и във всички политики, включително достъпа до правосъдие; като има предвид, че принципът на равенство между половете, отчитането на аспекта на равенството при планирането на бюджета и </w:t>
      </w:r>
      <w:proofErr w:type="spellStart"/>
      <w:r w:rsidRPr="008A4C03">
        <w:t>интерсекционалният</w:t>
      </w:r>
      <w:proofErr w:type="spellEnd"/>
      <w:r w:rsidRPr="008A4C03">
        <w:t xml:space="preserve"> подход следва да бъдат прилагани и интегрирани във всички съответни политики на ЕС и са от съществено значение за постигане на равенство между половете; като има предвид, че вътрешната и външната политика следва да останат единни и последователни, за да се гарантира ефективното и надеждно насърчаване на правата на човека и основните права, демокрацията и равенството между половете в световен мащаб;</w:t>
      </w:r>
    </w:p>
    <w:p w14:paraId="451EBE4F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Б.</w:t>
      </w:r>
      <w:r w:rsidRPr="008A4C03">
        <w:tab/>
        <w:t>като има предвид, че равенството между половете, демокрацията, основните права и принципите на правовата държава са неразривно свързани; като има предвид, че правата на жените и равенството между половете са обект на засилващи се атаки поради възхода на движенията срещу равенството между половете и срещу демокрацията; като има предвид, че неотдавнашните съкращения на помощта за развитие на САЩ оказват непропорционално въздействие върху жените и момичетата по целия свят, като увеличават уязвимостта им и нанасят вреда на общностите; като има предвид, че Общото събрание на ООН предупреди за активната съпротива срещу равенството между половете и враждебните реакции срещу правата на жените на транснационално равнище; като има предвид, че е налице спешна необходимост да се потвърдят истинското равенство и правата на жените и момичетата</w:t>
      </w:r>
      <w:r w:rsidRPr="008A4C03">
        <w:rPr>
          <w:bCs/>
          <w:iCs/>
          <w:vertAlign w:val="superscript"/>
        </w:rPr>
        <w:footnoteReference w:id="5"/>
      </w:r>
      <w:r w:rsidRPr="008A4C03">
        <w:t>;</w:t>
      </w:r>
    </w:p>
    <w:p w14:paraId="4777B0B2" w14:textId="77777777" w:rsidR="00E05898" w:rsidRPr="008A4C03" w:rsidRDefault="00E05898" w:rsidP="00E05898">
      <w:pPr>
        <w:pStyle w:val="NormalHanging12a"/>
      </w:pPr>
      <w:r w:rsidRPr="008A4C03">
        <w:t>В.</w:t>
      </w:r>
      <w:r w:rsidRPr="008A4C03">
        <w:tab/>
        <w:t xml:space="preserve">като има предвид, че правата на жените и момичетата и равенството между половете са основни права на човека и съществени предпоставки за човешкото развитие, социалната справедливост, демокрацията, принципите на правовата държава, подобряването на жизнените стандарти, намаляването на бедността, справянето с извънредната ситуация в областта на климата и изграждането на необходимата основа за мирен, справедлив, проспериращ и устойчив свят; като има предвид, че като цяло постигането на права за жените и момичетата по света подобрява конкурентоспособността чрез насърчаване на приобщаващ растеж, намаляване на неравенствата и осигуряване на пълноценно използване на </w:t>
      </w:r>
      <w:r w:rsidRPr="008A4C03">
        <w:lastRenderedPageBreak/>
        <w:t>уменията и потенциала на жените във всички сектори на обществото;</w:t>
      </w:r>
    </w:p>
    <w:p w14:paraId="55C267E4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Г.</w:t>
      </w:r>
      <w:r w:rsidRPr="008A4C03">
        <w:tab/>
        <w:t>като има предвид, че бедността и дискриминацията се задълбочават от пресичащи се фактори като расизъм, увреждане, миграционен статут, сексуална ориентация, полова идентичност и полови характеристики, както се посочва в член 21 от Хартата на основните права на Европейския съюз; като има предвид, че менструалната бедност продължава да бъде значителна пречка пред равенството между половете, като ограничава образованието, здравеопазването и икономическото участие на милиони жени и момичета по света, ограничавайки по този начин достъпа им до правосъдие, и подкопава тяхното представителство и участие в процесите на вземане на решения на всички равнища;</w:t>
      </w:r>
    </w:p>
    <w:p w14:paraId="1E187DC2" w14:textId="77777777" w:rsidR="00E05898" w:rsidRPr="008A4C03" w:rsidRDefault="00E05898" w:rsidP="00E05898">
      <w:pPr>
        <w:pStyle w:val="NormalHanging12a"/>
      </w:pPr>
      <w:r w:rsidRPr="008A4C03">
        <w:t>Д.</w:t>
      </w:r>
      <w:r w:rsidRPr="008A4C03">
        <w:tab/>
        <w:t xml:space="preserve">като има предвид, че достъпът до правосъдие е широко признат като основно право на човека съгласно международното право, основна концепция в по-широката област на правосъдието и стълб на правовата държава и демокрацията; като има предвид, че ЕС признава достъпа до правосъдие за основно право съгласно член 47 от Хартата на основните права на Европейския съюз; като има предвид, че за целите на ефективния достъп до правосъдие са необходими надеждни данни, прозрачни процедури, основано на факти изготвяне на политики и безпристрастни институции, които гарантират, че жените и момичетата могат да упражняват правата си без дискриминация; като има предвид, че достъпът до правосъдие е основно право на човека, основаващо се на справедливи закони, ефективно правоприлагане, финансово достъпна подкрепа, институции, отчитащи аспекта на равенство между половете, и механизми за отчетност; като има предвид, че дискриминационните закони, стереотипите, свързани с пола, финансовите пречки и институционалните предубеждения продължават да пречат на много жени и момичета, особено на тези, които се сблъскват с </w:t>
      </w:r>
      <w:proofErr w:type="spellStart"/>
      <w:r w:rsidRPr="008A4C03">
        <w:t>интерсекционална</w:t>
      </w:r>
      <w:proofErr w:type="spellEnd"/>
      <w:r w:rsidRPr="008A4C03">
        <w:t xml:space="preserve"> дискриминация; като има предвид, че жените и момичетата в уязвимо положение, включително тези с увреждания, жените и момичетата, живеещи в селски или отдалечени райони, и възрастните жени често се сблъскват с допълнителни пречки при достъпа до правосъдие и правна подкрепа; като има предвид, че цифровизацията и изкуственият интелект оказват все по-голямо влияние върху достъпа до правосъдие, което налага предприемането на мерки срещу алгоритмичната дискриминация, цифровото изключване и вредите в интернет; като има предвид, че правната помощ е от съществено значение за равния достъп до правосъдие, а обменът на най-добри практики допринася за повишаване на качеството и съгласуваността на системите за правна помощ;</w:t>
      </w:r>
    </w:p>
    <w:p w14:paraId="2C9D2C7B" w14:textId="77777777" w:rsidR="00E05898" w:rsidRPr="008A4C03" w:rsidRDefault="00E05898" w:rsidP="00E05898">
      <w:pPr>
        <w:pStyle w:val="NormalHanging12a"/>
      </w:pPr>
      <w:r w:rsidRPr="008A4C03">
        <w:t>Е.</w:t>
      </w:r>
      <w:r w:rsidRPr="008A4C03">
        <w:tab/>
        <w:t>като има предвид, че всеобщият и равен достъп до правосъдие за жените и момичетата продължава да бъде сложен и критичен въпрос във всички части на света и представлява особено предизвикателство в някои региони, особено в тези, където демократичните институции и принципите на правовата държава са слаби; като има предвид, че икономическите възпиращи мерки, ограниченият достъп до правна помощ, високите разходи, сложните правни процедури, цифровите и езиковите бариери, недоверието в съдебните системи, широко разпространените стереотипи, свързани с пола, расовите предразсъдъци, омразата към жените и системната дискриминация продължават да възпрепятстват ефективния достъп на жените и момичетата до правосъдие;</w:t>
      </w:r>
    </w:p>
    <w:p w14:paraId="24C03C95" w14:textId="66E5EB92" w:rsidR="00E05898" w:rsidRPr="008A4C03" w:rsidRDefault="00E05898" w:rsidP="00E05898">
      <w:pPr>
        <w:pStyle w:val="NormalHanging12a"/>
      </w:pPr>
      <w:r w:rsidRPr="008A4C03">
        <w:t>Ж.</w:t>
      </w:r>
      <w:r w:rsidRPr="008A4C03">
        <w:tab/>
        <w:t xml:space="preserve">като има предвид, че в световен мащаб жените продължават да бъдат значително по-малко представени на най-високите нива в съдебните и прокурорските органи, </w:t>
      </w:r>
      <w:r w:rsidRPr="008A4C03">
        <w:lastRenderedPageBreak/>
        <w:t>особено на ръководни длъжности като председатели на съдилища, старши съдии и главни прокурори; като има предвид, че постигането на балансирано представителство на половете в тези органи за вземане на решения трябва да бъде приоритет; като има предвид, че трябва да се придържаме към подход, който отчита аспектите на пола, дори когато присъствието на жени е било гарантирано; като има предвид, че интегрирането на перспективата за равенство между половете в съдебното вземане на решения е от съществено значение за осигуряването на равен достъп до правосъдие за жените и момичетата и изисква оценка на фактите и прилагане на закона без предубеждения по отношение на пола и вредните стереотипи, както в самото решение, така и в процеса на неговото вземане; като има предвид, че през 2024 г. Комитетът на ООН за премахване на дискриминацията по отношение на жените (CEDAW) издаде Обща препоръка № 40 относно равното и приобщаващо представителство на жените в системите за вземане на решения, както по отношение на равния достъп, така и по отношение на властта в тези системи;</w:t>
      </w:r>
    </w:p>
    <w:p w14:paraId="7DE0E80E" w14:textId="014F0628" w:rsidR="00E05898" w:rsidRPr="008A4C03" w:rsidRDefault="00E05898" w:rsidP="00E05898">
      <w:pPr>
        <w:pStyle w:val="NormalHanging12a"/>
      </w:pPr>
      <w:r w:rsidRPr="008A4C03">
        <w:t>З.</w:t>
      </w:r>
      <w:r w:rsidRPr="008A4C03">
        <w:tab/>
        <w:t>като има предвид, че ООН активно подкрепя по-голямото участие на жените в сектора на правосъдието чрез специални инициативи и кампании; като има предвид, че по-голямото представителство на жените в съдебните институции е свързано с подходи към правосъдието, ориентирани в по-голяма степен към жертвите, и е от съществено значение, за да се гарантира, че жертвите се чувстват подкрепяни и изслушвани, когато се обръщат за помощ и търсят достъп до правосъдие; като има предвид, че са необходими ясни правила и строги законодателни разпоредби, обучение за тяхното прилагане и инициативи за повишаване на осведомеността по въпросите на равенството между половете и правосъдието — както за професионалисти в сектора на правосъдието, така и за гражданското общество;</w:t>
      </w:r>
    </w:p>
    <w:p w14:paraId="38336FAD" w14:textId="77777777" w:rsidR="00E05898" w:rsidRPr="008A4C03" w:rsidRDefault="00E05898" w:rsidP="00E05898">
      <w:pPr>
        <w:pStyle w:val="NormalHanging12a"/>
      </w:pPr>
      <w:r w:rsidRPr="008A4C03">
        <w:t>И.</w:t>
      </w:r>
      <w:r w:rsidRPr="008A4C03">
        <w:tab/>
        <w:t xml:space="preserve">като има предвид, че насилието над жени, основаното на пола насилие и домашното насилие представляват нарушения на основните права; като има предвид, че правните системи трябва в пълна степен да отговорят на специфичните нужди на жертвите, като осигуряват подходяща защита, ефективни правни средства за защита, достъпни услуги за подкрепа и подходящо обучение на компетентните органи, които влизат в контакт с жертвите на насилие, основано на пола, за да се предотврати повторна </w:t>
      </w:r>
      <w:proofErr w:type="spellStart"/>
      <w:r w:rsidRPr="008A4C03">
        <w:t>виктимизация</w:t>
      </w:r>
      <w:proofErr w:type="spellEnd"/>
      <w:r w:rsidRPr="008A4C03">
        <w:t>; като има предвид, че много жени и момичета продължават да се сблъскват със значителни пречки при подаването на сигнали за насилие и получаването на правна помощ; като има предвид, че трябва да бъдат официално признати всички форми на насилие, включително психологически, емоционален и психически тормоз, както и принуда и финансов контрол; като има предвид, че устойчивостта на стереотипите, свързани с пола, омразата към жените и сексизмът в институциите, заедно със структурните и процедурните пречки, продължават да възпрепятстват жените, жертви на насилие, когато се опитват да получат достъп до правосъдие; като има предвид, че специализацията на юристите в областта на насилието, основано на пола, се оказа ефективно средство за съсредоточаване на експертен опит, подобряване на управлението на делата и насърчаване на среда, която е по-</w:t>
      </w:r>
      <w:r w:rsidRPr="008A4C03">
        <w:lastRenderedPageBreak/>
        <w:t>чувствителна към аспектите на пола и подкрепя жертвите</w:t>
      </w:r>
      <w:r w:rsidRPr="008A4C03">
        <w:rPr>
          <w:vertAlign w:val="superscript"/>
        </w:rPr>
        <w:footnoteReference w:id="6"/>
      </w:r>
      <w:r w:rsidRPr="008A4C03">
        <w:t>;</w:t>
      </w:r>
    </w:p>
    <w:p w14:paraId="28500CCD" w14:textId="77777777" w:rsidR="00E05898" w:rsidRPr="008A4C03" w:rsidRDefault="00E05898" w:rsidP="00E05898">
      <w:pPr>
        <w:pStyle w:val="NormalHanging12a"/>
        <w:rPr>
          <w:bCs/>
          <w:iCs/>
          <w:szCs w:val="24"/>
        </w:rPr>
      </w:pPr>
      <w:r w:rsidRPr="008A4C03">
        <w:t>Й.</w:t>
      </w:r>
      <w:r w:rsidRPr="008A4C03">
        <w:tab/>
        <w:t>като има предвид, че тормозът на работното място и в политическата, съдебната, академичната или онлайн среда пречи на жените да упражняват законните си права и да получат достъп или да останат на публични длъжности и позиции, свързани с вземането на решения; като има предвид, че широко разпространеното онлайн насилие, речта на омразата и престъпленията от омраза, които все по-често са насочени към жени и момичета, имат тежки последствия за тяхното ежедневие, ограничават участието им в обществения живот и подкопават равното им представителство;</w:t>
      </w:r>
    </w:p>
    <w:p w14:paraId="2207DCDB" w14:textId="4FABE9F9" w:rsidR="00E05898" w:rsidRPr="008A4C03" w:rsidRDefault="00E05898" w:rsidP="00E05898">
      <w:pPr>
        <w:pStyle w:val="NormalHanging12a"/>
        <w:rPr>
          <w:bCs/>
          <w:iCs/>
        </w:rPr>
      </w:pPr>
      <w:r w:rsidRPr="008A4C03">
        <w:t>К.</w:t>
      </w:r>
      <w:r w:rsidRPr="008A4C03">
        <w:tab/>
        <w:t>като има предвид, че въоръжените конфликти, принудителното разселване, последиците от изменението на климата и извънредните хуманитарни ситуации задълбочават неравенствата и отслабват системите за защита, което излага жените и момичетата на по-голям риск от насилие, основано на пола, включително принудителни бракове, сексуално насилие при транзитно преминаване, трафик, насилие, основано на пола, в центровете за приемане или за предоставяне на убежище, както и сексуално насилие и изтезания, използвани като оръжия за водене на война; като има предвид, че сексуалното насилие, свързано с конфликти, остава едно от най-разпространените нарушения на правата на човека, използвано за тероризиране на цивилното население, потискане на съпротивата и унищожаване на общности, и представлява военно престъпление, престъпление срещу човечеството или действия, допринасящи за геноцид съгласно международното право; като има предвид, че програмата на ООН за жените, мира и сигурността е от основно значение за справяне със съвременните глобални предизвикателства пред мира и сигурността; като има предвид, че продължаващите въоръжени конфликти, както и нововъзникващите и все по-сложни заплахи за сигурността засягат непропорционално жените и момичетата и са довели до влошаване на тяхното положение, което има пагубни последици за пълноценното упражняване на техните права на човека в световен мащаб;</w:t>
      </w:r>
    </w:p>
    <w:p w14:paraId="22B082DF" w14:textId="77777777" w:rsidR="00E05898" w:rsidRPr="008A4C03" w:rsidRDefault="00E05898" w:rsidP="00E05898">
      <w:pPr>
        <w:pStyle w:val="NormalHanging12a"/>
        <w:rPr>
          <w:bCs/>
          <w:iCs/>
          <w:szCs w:val="24"/>
        </w:rPr>
      </w:pPr>
      <w:r w:rsidRPr="008A4C03">
        <w:t>Л.</w:t>
      </w:r>
      <w:r w:rsidRPr="008A4C03">
        <w:tab/>
        <w:t>като има предвид, че Истанбулската конвенция е един от най-напредничавите международни правни инструменти, установяващи обвързващи задължения за предотвратяване и борба с насилието, основано на пола;</w:t>
      </w:r>
    </w:p>
    <w:p w14:paraId="68995929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М.</w:t>
      </w:r>
      <w:r w:rsidRPr="008A4C03">
        <w:tab/>
        <w:t xml:space="preserve">като има предвид, че нарушенията на сексуалното и репродуктивното здраве и права (СРЗП), включително отказът на услуги за безопасен и законен аборт и всички форми на акушерско и гинекологично насилие, представляват насилие, основано на пола, и нарушават основните права на човека; като има предвид, че съгласно устойчиви социални норми насилието, основано на пола, е легитимно, достъпът до здравни услуги, включително до сексуално и репродуктивно здравеопазване, е ограничен, неплатеният труд по полагане на грижи се възлага предимно на жени, а възможностите жени да заемат ръководни позиции са малко; като има предвид, че достъпът до сексуално и репродуктивно здравеопазване, включително безопасен и законен аборт, е основно право на човека, което трябва да се зачита в световен мащаб; като има предвид, че милиони жени все още нямат такъв достъп, което ги излага на физически увреждания и икономически и </w:t>
      </w:r>
      <w:r w:rsidRPr="008A4C03">
        <w:lastRenderedPageBreak/>
        <w:t>психологически стрес; като има предвид, че заплахите и нападенията срещу организации на гражданското общество и защитници на правата на човека, особено тези, които подкрепят СРЗП, се увеличават с тревожна скорост;</w:t>
      </w:r>
    </w:p>
    <w:p w14:paraId="5DFE63EB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Н.</w:t>
      </w:r>
      <w:r w:rsidRPr="008A4C03">
        <w:tab/>
        <w:t>като има предвид, че изнасилването продължава да бъде широко разпространено нарушение на правата на човека и често се използва като оръжие за водене на война, за да се тероризира цивилното население и да се унищожават общности; като има предвид, че са необходими спешни действия, за да се сложи край на безнаказаността в това отношение и да се осигури правосъдие за жертвите на изнасилване;</w:t>
      </w:r>
    </w:p>
    <w:p w14:paraId="034C090A" w14:textId="77777777" w:rsidR="00E05898" w:rsidRPr="008A4C03" w:rsidRDefault="00E05898" w:rsidP="00E05898">
      <w:pPr>
        <w:pStyle w:val="NormalHanging12a"/>
      </w:pPr>
      <w:r w:rsidRPr="008A4C03">
        <w:t>О.</w:t>
      </w:r>
      <w:r w:rsidRPr="008A4C03">
        <w:tab/>
        <w:t xml:space="preserve">като има предвид, че съдебните стереотипи и преобладаващите норми, свързани с пола, заедно с недостатъчната информация, могат да възпрепятстват ефективния достъп до правосъдие за жените и момичетата, които са жертви на насилие или са преживели насилие; като има предвид, че насилието, основано на пола, и пречките пред достъпа на жените до правосъдие могат да повлияят на пълноценното им участие в обществения живот; като има предвид, че тази ситуация подкопава доверието на жените и момичетата в правосъдната система и допринася за недостатъчното подаване на сигнали, особено в случаите на насилие, основано на пола; като има предвид, че много жени, преживели насилие, продължават да носят вината на жертвата, са </w:t>
      </w:r>
      <w:proofErr w:type="spellStart"/>
      <w:r w:rsidRPr="008A4C03">
        <w:t>стигматизирани</w:t>
      </w:r>
      <w:proofErr w:type="spellEnd"/>
      <w:r w:rsidRPr="008A4C03">
        <w:t xml:space="preserve">, страхуват се от отмъщение и повторна </w:t>
      </w:r>
      <w:proofErr w:type="spellStart"/>
      <w:r w:rsidRPr="008A4C03">
        <w:t>виктимизация</w:t>
      </w:r>
      <w:proofErr w:type="spellEnd"/>
      <w:r w:rsidRPr="008A4C03">
        <w:t>, което ги възпира още повече да търсят правосъдие;</w:t>
      </w:r>
    </w:p>
    <w:p w14:paraId="17036FDF" w14:textId="77777777" w:rsidR="00E05898" w:rsidRPr="008A4C03" w:rsidRDefault="00E05898" w:rsidP="00E05898">
      <w:pPr>
        <w:pStyle w:val="NormalHanging12a"/>
        <w:rPr>
          <w:bCs/>
          <w:iCs/>
        </w:rPr>
      </w:pPr>
      <w:r w:rsidRPr="008A4C03">
        <w:t>П.</w:t>
      </w:r>
      <w:r w:rsidRPr="008A4C03">
        <w:tab/>
        <w:t xml:space="preserve">като има предвид, че стереотипите, свързани с пола, омразата към жените и сексизмът в съдебната система продължават да засилват неравенството между половете, като затвърждават предубедени нагласи, дискриминационни практики и </w:t>
      </w:r>
      <w:proofErr w:type="spellStart"/>
      <w:r w:rsidRPr="008A4C03">
        <w:t>неравнопоставена</w:t>
      </w:r>
      <w:proofErr w:type="spellEnd"/>
      <w:r w:rsidRPr="008A4C03">
        <w:t xml:space="preserve"> динамика на силите; като има предвид, че тези системни пречки подкопават увереността на жените да търсят правосъдие, ограничават справедливото им представителство и допринасят за продължаващата несправедливост и маргинализация в съдебните процеси; като има предвид, че наличието на свързани с пола предубеждения и стереотипи в правосъдната система беше напълно разкрито и осъдено от движението „</w:t>
      </w:r>
      <w:proofErr w:type="spellStart"/>
      <w:r w:rsidRPr="008A4C03">
        <w:t>Me</w:t>
      </w:r>
      <w:proofErr w:type="spellEnd"/>
      <w:r w:rsidRPr="008A4C03">
        <w:t xml:space="preserve"> </w:t>
      </w:r>
      <w:proofErr w:type="spellStart"/>
      <w:r w:rsidRPr="008A4C03">
        <w:t>Too</w:t>
      </w:r>
      <w:proofErr w:type="spellEnd"/>
      <w:r w:rsidRPr="008A4C03">
        <w:t>“, което мобилизира жени и момичета от всички континенти, и показа, че въпреки различния социален, икономически и правен контекст предизвикателствата, пред които са изправени жените и момичетата в правосъдните системи, са много сходни и следователно изискват съгласувани действия;</w:t>
      </w:r>
    </w:p>
    <w:p w14:paraId="79E76A12" w14:textId="77777777" w:rsidR="00E05898" w:rsidRPr="008A4C03" w:rsidRDefault="00E05898" w:rsidP="00E05898">
      <w:pPr>
        <w:pStyle w:val="NormalHanging12a"/>
      </w:pPr>
      <w:r w:rsidRPr="008A4C03">
        <w:t>1.</w:t>
      </w:r>
      <w:r w:rsidRPr="008A4C03">
        <w:tab/>
        <w:t>препоръчва на Съвета:</w:t>
      </w:r>
    </w:p>
    <w:p w14:paraId="3DDD1DE4" w14:textId="77777777" w:rsidR="00E05898" w:rsidRPr="008A4C03" w:rsidRDefault="00E05898" w:rsidP="008A7AF6">
      <w:pPr>
        <w:pStyle w:val="NormalHanging12a"/>
        <w:ind w:left="1134"/>
      </w:pPr>
      <w:r w:rsidRPr="008A4C03">
        <w:t>a)</w:t>
      </w:r>
      <w:r w:rsidRPr="008A4C03">
        <w:tab/>
        <w:t xml:space="preserve">да потвърди твърдия ангажимент на ЕС за равенство между половете и да гарантира пълното прилагане на правата на жените и момичетата във всички аспекти на външната дейност на ЕС, включително в областта на развитието, търговията и външната политика, чрез адекватно финансиран, приобщаващ и </w:t>
      </w:r>
      <w:proofErr w:type="spellStart"/>
      <w:r w:rsidRPr="008A4C03">
        <w:t>интерсекционален</w:t>
      </w:r>
      <w:proofErr w:type="spellEnd"/>
      <w:r w:rsidRPr="008A4C03">
        <w:t xml:space="preserve"> подход, който се противопоставя на стереотипите, свързани с пола, и се основава на принципа на недискриминация, за да се постигне бърз напредък в областта на равенството между половете;</w:t>
      </w:r>
    </w:p>
    <w:p w14:paraId="66D0764A" w14:textId="77777777" w:rsidR="00E05898" w:rsidRPr="008A4C03" w:rsidRDefault="00E05898" w:rsidP="008A7AF6">
      <w:pPr>
        <w:pStyle w:val="NormalHanging12a"/>
        <w:ind w:left="1134"/>
      </w:pPr>
      <w:r w:rsidRPr="008A4C03">
        <w:t>б)</w:t>
      </w:r>
      <w:r w:rsidRPr="008A4C03">
        <w:tab/>
        <w:t xml:space="preserve">да гарантира пълноценното участие на Парламента и на неговата комисия по правата на жените и равенството между половете в процеса на вземане на решения относно позицията на ЕС в рамките на 70-рата сесия на Комисията </w:t>
      </w:r>
      <w:r w:rsidRPr="008A4C03">
        <w:lastRenderedPageBreak/>
        <w:t>на ООН за положението на жените; да гарантира, че Парламентът разполага с подходяща информация относно документа за позицията на ЕС и достъп до него преди преговорите; да подобри допълнително междуинституционалното сътрудничество, включително по време на преговорите, така че приоритетите на Парламента да бъдат включени по подходящ начин; да подчертае, че жените все още не участват в достатъчна степен и не заемат достатъчно ръководни позиции, свързани с вземането на решения, включително във външната политика и усилията за изграждане на мир; да признае, че проучванията показват, че мирните споразумения, постигнати с активното участие на жените, имат по-големи шансове да бъдат устойчиви и ефективни</w:t>
      </w:r>
      <w:r w:rsidRPr="008A4C03">
        <w:rPr>
          <w:vertAlign w:val="superscript"/>
        </w:rPr>
        <w:footnoteReference w:id="7"/>
      </w:r>
      <w:r w:rsidRPr="008A4C03">
        <w:t>; да заяви, че в неотдавнашни глобални оценки се подчертава, че въпреки настоящите ангажименти напредъкът в постигането на пълноценно, равноправно и съдържателно участие и лидерство на жените в процесите за мир и сигурност остава ограничен;</w:t>
      </w:r>
    </w:p>
    <w:p w14:paraId="6656D324" w14:textId="77777777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в)</w:t>
      </w:r>
      <w:r w:rsidRPr="008A4C03">
        <w:tab/>
        <w:t>да потвърди ангажимента на ЕС за равенство между половете като хоризонтален приоритет; да подкрепи и отстоява ценностите на многообразието, равенството и приобщаването; да подчертае необходимостта от разработване на всеобхватен инструмент за наблюдение и противодействие на отстъплението от демокрацията и отстъплението в областта на правата на жените, които са неразривно свързани; да поеме водеща роля в световната борба срещу враждебните реакции срещу равенството между половете и да осъди категорично атаките на движенията срещу равенството между половете и срещу правата, които разпространяват лъжи, подкопават демокрацията и са насочени срещу правата на жените и ЛГБТИК+ лицата;</w:t>
      </w:r>
    </w:p>
    <w:p w14:paraId="09DCD8AE" w14:textId="31148070" w:rsidR="00E05898" w:rsidRPr="008A4C03" w:rsidRDefault="00E05898" w:rsidP="008A7AF6">
      <w:pPr>
        <w:pStyle w:val="NormalHanging12a"/>
        <w:ind w:left="1134"/>
      </w:pPr>
      <w:r w:rsidRPr="008A4C03">
        <w:t>г)</w:t>
      </w:r>
      <w:r w:rsidRPr="008A4C03">
        <w:tab/>
        <w:t xml:space="preserve">да гарантира, че инструментите на ЕС и международните инструменти се допълват взаимно и са амбициозни, с твърди и съществени разпоредби за овластяване на жените и момичетата и гарантиране на достъп до правосъдие; да подчертае, че правото на правна помощ и правна защита е от съществено значение за гарантиране на всеобщ и равен достъп до правосъдие за всички и ефективно участие в съответните производства; да подчертае освен това, че хората с увреждания, особено жените и момичетата с увреждания, се сблъскват със структурни и практически пречки пред достъпа до правосъдие и публично участие; да подчертае необходимостта от конкретни мерки, за да се гарантира пълното им включване и всеобщ достъп до ефективна защита; да гарантира, че ЕС проявява силно лидерство и приема единна позиция по отношение на приобщаващите и безпристрастни правосъдни системи; да се застъпва за всеобхватни правни рамки, които защитават правата на жените и гарантират пълноценното и равноправно участие на жените, момичетата и хората в цялото им многообразие съгласно националното и международното право; да призовава за гарантиране и насърчаване на правото на жертвите на навременно обезщетение, изплащано от извършителя на престъплението в рамките на наказателното производство, и за обмен на най-добри практики за предотвратяване на повторна </w:t>
      </w:r>
      <w:proofErr w:type="spellStart"/>
      <w:r w:rsidRPr="008A4C03">
        <w:t>виктимизация</w:t>
      </w:r>
      <w:proofErr w:type="spellEnd"/>
      <w:r w:rsidRPr="008A4C03">
        <w:t xml:space="preserve">, включително чрез държавни механизми за </w:t>
      </w:r>
      <w:r w:rsidRPr="008A4C03">
        <w:lastRenderedPageBreak/>
        <w:t>суброгация;</w:t>
      </w:r>
    </w:p>
    <w:p w14:paraId="2D112581" w14:textId="046CFF08" w:rsidR="00E05898" w:rsidRDefault="005928E5">
      <w:pPr>
        <w:pStyle w:val="NormalHanging12a"/>
        <w:ind w:left="1134"/>
        <w:rPr>
          <w:lang w:val="en-GB"/>
        </w:rPr>
      </w:pPr>
      <w:r>
        <w:t>д</w:t>
      </w:r>
      <w:r w:rsidR="00E05898" w:rsidRPr="008A4C03">
        <w:t>)</w:t>
      </w:r>
      <w:r w:rsidR="00E05898" w:rsidRPr="008A4C03">
        <w:tab/>
        <w:t>да предприеме действия за цялостно изпълнение на съществуващите ангажименти в областта на равенството между половете и овластяването на жените, като гарантира защитата на равенството на правата на човека и основните свободи на жените без дискриминация, за да се постигне напредък по отношение на участието им в обществения живот;</w:t>
      </w:r>
    </w:p>
    <w:p w14:paraId="7C0419A4" w14:textId="03386BFE" w:rsidR="00FD3A66" w:rsidRPr="008A7AF6" w:rsidRDefault="005928E5" w:rsidP="008A7AF6">
      <w:pPr>
        <w:pStyle w:val="NormalHanging12a"/>
        <w:ind w:left="1134"/>
        <w:rPr>
          <w:lang w:val="en-GB"/>
        </w:rPr>
      </w:pPr>
      <w:r>
        <w:t>е</w:t>
      </w:r>
      <w:r w:rsidR="00FD3A66" w:rsidRPr="00FD3A66">
        <w:rPr>
          <w:lang w:val="en-GB"/>
        </w:rPr>
        <w:t>)</w:t>
      </w:r>
      <w:r w:rsidR="00FD3A66" w:rsidRPr="00FD3A66">
        <w:rPr>
          <w:lang w:val="en-GB"/>
        </w:rPr>
        <w:tab/>
      </w:r>
      <w:proofErr w:type="spellStart"/>
      <w:r w:rsidR="00FD3A66" w:rsidRPr="00FD3A66">
        <w:rPr>
          <w:lang w:val="en-GB"/>
        </w:rPr>
        <w:t>да</w:t>
      </w:r>
      <w:proofErr w:type="spellEnd"/>
      <w:r w:rsidR="00FD3A66" w:rsidRPr="00FD3A66">
        <w:rPr>
          <w:lang w:val="en-GB"/>
        </w:rPr>
        <w:t xml:space="preserve"> </w:t>
      </w:r>
      <w:proofErr w:type="spellStart"/>
      <w:r w:rsidR="00FD3A66" w:rsidRPr="00FD3A66">
        <w:rPr>
          <w:lang w:val="en-GB"/>
        </w:rPr>
        <w:t>подчертае</w:t>
      </w:r>
      <w:proofErr w:type="spellEnd"/>
      <w:r w:rsidR="00FD3A66" w:rsidRPr="00FD3A66">
        <w:rPr>
          <w:lang w:val="en-GB"/>
        </w:rPr>
        <w:t xml:space="preserve"> </w:t>
      </w:r>
      <w:proofErr w:type="spellStart"/>
      <w:r w:rsidR="00FD3A66" w:rsidRPr="00FD3A66">
        <w:rPr>
          <w:lang w:val="en-GB"/>
        </w:rPr>
        <w:t>колко</w:t>
      </w:r>
      <w:proofErr w:type="spellEnd"/>
      <w:r w:rsidR="00FD3A66" w:rsidRPr="00FD3A66">
        <w:rPr>
          <w:lang w:val="en-GB"/>
        </w:rPr>
        <w:t xml:space="preserve"> е </w:t>
      </w:r>
      <w:proofErr w:type="spellStart"/>
      <w:r w:rsidR="00FD3A66" w:rsidRPr="00FD3A66">
        <w:rPr>
          <w:lang w:val="en-GB"/>
        </w:rPr>
        <w:t>важно</w:t>
      </w:r>
      <w:proofErr w:type="spellEnd"/>
      <w:r w:rsidR="00FD3A66" w:rsidRPr="00FD3A66">
        <w:rPr>
          <w:lang w:val="en-GB"/>
        </w:rPr>
        <w:t xml:space="preserve"> </w:t>
      </w:r>
      <w:proofErr w:type="spellStart"/>
      <w:r w:rsidR="00FD3A66" w:rsidRPr="00FD3A66">
        <w:rPr>
          <w:lang w:val="en-GB"/>
        </w:rPr>
        <w:t>да</w:t>
      </w:r>
      <w:proofErr w:type="spellEnd"/>
      <w:r w:rsidR="00FD3A66" w:rsidRPr="00FD3A66">
        <w:rPr>
          <w:lang w:val="en-GB"/>
        </w:rPr>
        <w:t xml:space="preserve"> </w:t>
      </w:r>
      <w:proofErr w:type="spellStart"/>
      <w:r w:rsidR="00FD3A66" w:rsidRPr="00FD3A66">
        <w:rPr>
          <w:lang w:val="en-GB"/>
        </w:rPr>
        <w:t>се</w:t>
      </w:r>
      <w:proofErr w:type="spellEnd"/>
      <w:r w:rsidR="00FD3A66" w:rsidRPr="00FD3A66">
        <w:rPr>
          <w:lang w:val="en-GB"/>
        </w:rPr>
        <w:t xml:space="preserve"> </w:t>
      </w:r>
      <w:proofErr w:type="spellStart"/>
      <w:r w:rsidR="00FD3A66" w:rsidRPr="00FD3A66">
        <w:rPr>
          <w:lang w:val="en-GB"/>
        </w:rPr>
        <w:t>подкрепят</w:t>
      </w:r>
      <w:proofErr w:type="spellEnd"/>
      <w:r w:rsidR="00FD3A66" w:rsidRPr="00FD3A66">
        <w:rPr>
          <w:lang w:val="en-GB"/>
        </w:rPr>
        <w:t xml:space="preserve"> </w:t>
      </w:r>
      <w:proofErr w:type="spellStart"/>
      <w:r w:rsidR="00FD3A66" w:rsidRPr="00FD3A66">
        <w:rPr>
          <w:lang w:val="en-GB"/>
        </w:rPr>
        <w:t>публичните</w:t>
      </w:r>
      <w:proofErr w:type="spellEnd"/>
      <w:r w:rsidR="00FD3A66" w:rsidRPr="00FD3A66">
        <w:rPr>
          <w:lang w:val="en-GB"/>
        </w:rPr>
        <w:t xml:space="preserve"> </w:t>
      </w:r>
      <w:proofErr w:type="spellStart"/>
      <w:r w:rsidR="00FD3A66" w:rsidRPr="00FD3A66">
        <w:rPr>
          <w:lang w:val="en-GB"/>
        </w:rPr>
        <w:t>политики</w:t>
      </w:r>
      <w:proofErr w:type="spellEnd"/>
      <w:r w:rsidR="00FD3A66" w:rsidRPr="00FD3A66">
        <w:rPr>
          <w:lang w:val="en-GB"/>
        </w:rPr>
        <w:t xml:space="preserve">, </w:t>
      </w:r>
      <w:proofErr w:type="spellStart"/>
      <w:r w:rsidR="00FD3A66" w:rsidRPr="00FD3A66">
        <w:rPr>
          <w:lang w:val="en-GB"/>
        </w:rPr>
        <w:t>които</w:t>
      </w:r>
      <w:proofErr w:type="spellEnd"/>
      <w:r w:rsidR="00FD3A66" w:rsidRPr="00FD3A66">
        <w:rPr>
          <w:lang w:val="en-GB"/>
        </w:rPr>
        <w:t xml:space="preserve"> </w:t>
      </w:r>
      <w:proofErr w:type="spellStart"/>
      <w:r w:rsidR="00FD3A66" w:rsidRPr="00FD3A66">
        <w:rPr>
          <w:lang w:val="en-GB"/>
        </w:rPr>
        <w:t>насърчават</w:t>
      </w:r>
      <w:proofErr w:type="spellEnd"/>
      <w:r w:rsidR="00FD3A66" w:rsidRPr="00FD3A66">
        <w:rPr>
          <w:lang w:val="en-GB"/>
        </w:rPr>
        <w:t xml:space="preserve"> и </w:t>
      </w:r>
      <w:proofErr w:type="spellStart"/>
      <w:r w:rsidR="00FD3A66" w:rsidRPr="00FD3A66">
        <w:rPr>
          <w:lang w:val="en-GB"/>
        </w:rPr>
        <w:t>подпомагат</w:t>
      </w:r>
      <w:proofErr w:type="spellEnd"/>
      <w:r w:rsidR="00FD3A66" w:rsidRPr="00FD3A66">
        <w:rPr>
          <w:lang w:val="en-GB"/>
        </w:rPr>
        <w:t xml:space="preserve"> </w:t>
      </w:r>
      <w:proofErr w:type="spellStart"/>
      <w:r w:rsidR="00FD3A66" w:rsidRPr="00FD3A66">
        <w:rPr>
          <w:lang w:val="en-GB"/>
        </w:rPr>
        <w:t>майчинството</w:t>
      </w:r>
      <w:proofErr w:type="spellEnd"/>
      <w:r w:rsidR="00FD3A66" w:rsidRPr="00FD3A66">
        <w:rPr>
          <w:lang w:val="en-GB"/>
        </w:rPr>
        <w:t>;</w:t>
      </w:r>
    </w:p>
    <w:p w14:paraId="05D89DE8" w14:textId="333739DC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ж)</w:t>
      </w:r>
      <w:r w:rsidRPr="008A4C03">
        <w:tab/>
        <w:t xml:space="preserve">да изтъкне, че е важно да се гарантира ефективен достъп на жените и момичетата до правосъдие на всички равнища, включително ясни канали за подаване на сигнали и бързо обработване на мерките за защита и подкрепа; да премахне пречките, особено за групите жени в неравностойно положение и уязвимите групи жени, които често срещат затруднения при достъпа до правосъдие поради мултиплициращия ефект на ограничените и недостатъчно финансирани ресурси в рамките на правосъдната система, както и социално-икономическите и социално-културните фактори и </w:t>
      </w:r>
      <w:proofErr w:type="spellStart"/>
      <w:r w:rsidRPr="008A4C03">
        <w:t>интерсекционалната</w:t>
      </w:r>
      <w:proofErr w:type="spellEnd"/>
      <w:r w:rsidRPr="008A4C03">
        <w:t xml:space="preserve"> дискриминация; да осигури подходящи, ориентирани към жертвите услуги за подкрепа и защита в случаи на насилие, основано на пола, и да предотврати всяка форма на вторична </w:t>
      </w:r>
      <w:proofErr w:type="spellStart"/>
      <w:r w:rsidRPr="008A4C03">
        <w:t>виктимизация</w:t>
      </w:r>
      <w:proofErr w:type="spellEnd"/>
      <w:r w:rsidRPr="008A4C03">
        <w:t>, когато се подават сигнали до полицията или по време на съдебни производства; да подчертае, че икономическото неравенство продължава да бъде значителна пречка пред достъпа до правосъдие;</w:t>
      </w:r>
    </w:p>
    <w:p w14:paraId="622E912A" w14:textId="46225EE8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з)</w:t>
      </w:r>
      <w:r w:rsidRPr="008A4C03">
        <w:tab/>
        <w:t>да подчертае необходимостта от признаване на половия апартейд като престъпление срещу човечеството съгласно Римския статут и да се застъпи за неговото международно признаване, за да се гарантира достъп до правосъдие, отчетност и възможност за наказателно преследване от страна на международните съдилища; да подкрепи определението на работната група на ООН относно дискриминацията на жените и момичетата по отношение на половия апартейд като действия в рамките на институционализирана система за основана на пола дискриминация и господство;</w:t>
      </w:r>
    </w:p>
    <w:p w14:paraId="2F83E7D4" w14:textId="68B37A52" w:rsidR="00E05898" w:rsidRPr="008A4C03" w:rsidRDefault="00E05898" w:rsidP="008A7AF6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8A4C03">
        <w:t>и)</w:t>
      </w:r>
      <w:r w:rsidRPr="008A4C03">
        <w:tab/>
        <w:t xml:space="preserve">да гарантира обмена на най-добри практики, включително чрез съдебно обучение, по отношение на психологическото, психическото, физическото, принудителното и финансовото въздействие на насилието, основано на пола; да се ангажира и да насърчава интегрирането на перспективата за равенство между половете в процеса на вземане на съдебни решения; да насърчава възможността за предоставяне на услугите на жени адвокати за жертвите при поискване; да насърчава съобразено с аспектите на пола и ориентирано към жертвите обучение за длъжностните лица, които влизат в контакт с жертвите, в съответствие с техните функции, включително полицейските служители, прокурорите и съдиите, за да се предотвратят вторична </w:t>
      </w:r>
      <w:proofErr w:type="spellStart"/>
      <w:r w:rsidRPr="008A4C03">
        <w:t>виктимизация</w:t>
      </w:r>
      <w:proofErr w:type="spellEnd"/>
      <w:r w:rsidRPr="008A4C03">
        <w:t>, да се преодолеят свързаните с пола стереотипи и предубеждения и да се гарантира уважително, съобразено с травмите и недискриминационно отношение към жертвите;</w:t>
      </w:r>
    </w:p>
    <w:p w14:paraId="7261753F" w14:textId="30A19FE2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й)</w:t>
      </w:r>
      <w:r w:rsidRPr="008A4C03">
        <w:tab/>
        <w:t xml:space="preserve">да изтъкне, че е важно да се гарантира, че жените и момичетата разполагат с </w:t>
      </w:r>
      <w:r w:rsidRPr="008A4C03">
        <w:lastRenderedPageBreak/>
        <w:t>достъпна, изчерпателна и последователна информация относно своите права, подкрепа и защита на всеки етап от съдебния процес, особено в случаи на насилие над жени или домашно насилие, включително чрез инициативи за повишаване на осведомеността; да подчертае необходимостта от подкрепа за програми за правно овластяване на местно равнище, които помагат на жените и момичетата да разбират и упражняват правата си и да насърчава създаването както на общи, така и на специализирани услуги за подкрепа на жертвите на престъпления, и да гарантира тяхната ефективна координация и методи за сезиране; да подчертае ключовата роля на тези услуги за информиране на жертвите относно техните права и за улесняване на достъпа им до правосъдие; да гарантира, че информацията, предоставяна на жертвите, е леснодостъпна и налична на ясен език; да насърчава съществуването и използването на горещи телефонни линии за оказване на помощ на жертви и да гарантира, че те са достъпни чрез различни канали, включително телефонни, информационни и комуникационни технологии; да признае, че ограниченият достъп до информационни и комуникационни технологии в много държави по света възпрепятства пълното реализиране на потенциала на жените и момичетата;</w:t>
      </w:r>
    </w:p>
    <w:p w14:paraId="1FDBEBCC" w14:textId="48688DFB" w:rsidR="00E05898" w:rsidRPr="008A4C03" w:rsidRDefault="00E05898" w:rsidP="008A7AF6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8A4C03">
        <w:t>к)</w:t>
      </w:r>
      <w:r w:rsidRPr="008A4C03">
        <w:tab/>
        <w:t>да се ангажира да осигури достъп до правна помощ за жертвите от самото начало на гражданското или наказателното производство и да насърчава този подход в световен мащаб, заедно с международните партньори; да призове за включване на перспективата за равенство между половете във всички политики, закони, процедури, програми и практики, за да се преодолеят специфичните пречки, пред които са изправени жените и момичетата, включително ограничената осведоменост за правата, дискриминационните нагласи и свързаните с пола стереотипи в рамките на правосъдните системи, както и недостатъчната наличност на специализирани услуги, особено в селските и отдалечените райони; да насърчава практиката на оценяване на правото на жените и момичетата на правна помощ единствено въз основа на собствените им финансови средства, независимо от доходите на техните съпрузи, партньори или семейства, което е от особено значение за случаите на насилие, основано на пола; да подчертае значението на разбитите по полов признак данни относно достъпа до правосъдие, решенията по делата, използването на правна помощ и пречките за това, за да се подкрепи основаното на факти изготвяне на политики;</w:t>
      </w:r>
    </w:p>
    <w:p w14:paraId="52F1B8F7" w14:textId="7B5070E4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л)</w:t>
      </w:r>
      <w:r w:rsidRPr="008A4C03">
        <w:tab/>
        <w:t>да постигне напредък по отношение на лидерството на жените, равното участие и по-голямото представителство на жените в съдебната система и нейните управителни органи и да предприеме активни стъпки за насърчаване на широкия достъп на жените от малцинствата и маргинализираните групи до адвокатската професия с оглед на премахването на структурните пречки в рамките на съдебната система и насърчаването на справедлива и представителна съдебна система, като по този начин се гарантират равни възможности;</w:t>
      </w:r>
    </w:p>
    <w:p w14:paraId="1E51BCFD" w14:textId="69AB84D0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м)</w:t>
      </w:r>
      <w:r w:rsidRPr="008A4C03">
        <w:tab/>
        <w:t xml:space="preserve">да насърчава и да се застъпва за конкретни действия и мерки, за да се гарантира участието и лидерството на жените при вземането на решения в обществения живот, включително в областта на външната политика, отбраната и сигурността и предотвратяването, управлението и </w:t>
      </w:r>
      <w:r w:rsidRPr="008A4C03">
        <w:lastRenderedPageBreak/>
        <w:t>разрешаването на конфликти и кризи; да изтъкне необходимостта от обща методология за проследяване с оглед на събирането на данни относно участието на жените в тези сектори;</w:t>
      </w:r>
    </w:p>
    <w:p w14:paraId="40CC06E8" w14:textId="54F14CCF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н)</w:t>
      </w:r>
      <w:r w:rsidRPr="008A4C03">
        <w:tab/>
        <w:t>активно да подкрепя и насърчава обща препоръка № 40 от 2024 г. на Комитета за премахване на дискриминацията по отношение на жените (CEDAW) за равно и приобщаващо представителство на жените в системите за вземане на решения, което бе определено като паритет 50:50 между жените и мъжете в цялото им многообразие във връзка с техния равен достъп и еднакви правомощия в системите за вземане на решения;</w:t>
      </w:r>
    </w:p>
    <w:p w14:paraId="6E31D9AE" w14:textId="005EBC90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о)</w:t>
      </w:r>
      <w:r w:rsidRPr="008A4C03">
        <w:tab/>
        <w:t>да насърчава пълноценното участие на жените на всички равнища на вземане на решения във външната политика и политиката в областта на отбраната и сигурността, както и в разрешаването на конфликти както в ЕС, така и в световен мащаб;</w:t>
      </w:r>
    </w:p>
    <w:p w14:paraId="0978DB87" w14:textId="7AAF2585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п)</w:t>
      </w:r>
      <w:r w:rsidRPr="008A4C03">
        <w:tab/>
        <w:t>да предприеме действия за спешно и пълно изпълнение на съществуващите ангажименти в областта на равенството между половете и овластяването на жените, като гарантира защитата на равенството на правата на човека и основните свободи на жените без дискриминация, включително чрез силни публични институции и политики, които гарантират равни възможности, за да се постигне напредък по отношение на тяхното ефективно и пълноценно участие в обществения живот, като по този начин се улесни участието им в процесите на вземане на решения; да осъди речта на омразата онлайн, насочена към жените, и нейното въздействие върху участието им в обществения живот, и да подкрепи програмите за медийна грамотност и цифрова безопасност за жените и момичетата;</w:t>
      </w:r>
    </w:p>
    <w:p w14:paraId="7C8A927F" w14:textId="473135CF" w:rsidR="00E05898" w:rsidRPr="008A4C03" w:rsidRDefault="00E05898" w:rsidP="008A7AF6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8A4C03">
        <w:t>р)</w:t>
      </w:r>
      <w:r w:rsidRPr="008A4C03">
        <w:tab/>
        <w:t>да подчертае, че овластяването на жените и организациите за защита на правата на жените и подкрепата за участието на жените във вземането на решения, свързани с външната политика и конфликтите, насърчават постигането на по-добри резултати за общностите, достъпа до правосъдие и по-устойчивия мир; безпрекословно да осъди неотдавнашните съкращения на финансирането за женски организации, организациите за правата на жените и организациите на гражданското общество, които се борят с насилието, основано на пола, и да дава възможност на жените да получат достъп до правосъдие; освен това да осигури устойчиво финансиране и правна защита за феминистките и ЛГБТИК+ организациите, особено за групите на местно равнище, подложени на нападения поради свиването на гражданското пространство и рестриктивните закони, насочени срещу неправителствените организации;</w:t>
      </w:r>
    </w:p>
    <w:p w14:paraId="6B2304C6" w14:textId="474ACB2B" w:rsidR="00E05898" w:rsidRPr="008A4C03" w:rsidRDefault="00E05898" w:rsidP="008A7AF6">
      <w:pPr>
        <w:pStyle w:val="NormalHanging12a"/>
        <w:ind w:left="1134"/>
      </w:pPr>
      <w:r w:rsidRPr="008A4C03">
        <w:t>с)</w:t>
      </w:r>
      <w:r w:rsidRPr="008A4C03">
        <w:tab/>
        <w:t xml:space="preserve">да защити мандата на Комисията на ООН за положението на жените с оглед на усилията на Съединените щати и </w:t>
      </w:r>
      <w:proofErr w:type="spellStart"/>
      <w:r w:rsidRPr="008A4C03">
        <w:t>единомислещите</w:t>
      </w:r>
      <w:proofErr w:type="spellEnd"/>
      <w:r w:rsidRPr="008A4C03">
        <w:t xml:space="preserve"> държави за отслабване на договорените приоритети в областта на равенството между половете и да изрази загриженост, че при подобен политически натиск, съчетан със съкращения на финансирането за програми за равенство между половете, има риск да се подкопае ефективността и доверието в Комисията на ООН за положението на жените; да увеличи финансирането на помощта за развитие, за да компенсира оставащата разлика след преустановяването на дейността на Агенцията на САЩ за международно развитие; да потвърди пълната си </w:t>
      </w:r>
      <w:r w:rsidRPr="008A4C03">
        <w:lastRenderedPageBreak/>
        <w:t>подкрепа за работата на службата ООН – Жени, която е основен участник в системата на ООН за постигане на напредък по отношение на правата на жените в цялото им многообразие и обединяване на всички съответни заинтересовани страни с цел постигане на промени в политиките и координиране на действията; да призове всички държави – членки на ООН, заедно с ЕС, да осигурят подходящо финансиране за ООН – Жени; да се ангажира с подходящо финансиране за равенството между половете и правата на жените, включително СРЗП;</w:t>
      </w:r>
    </w:p>
    <w:p w14:paraId="397B1CD6" w14:textId="6E1BA920" w:rsidR="00E05898" w:rsidRPr="008A4C03" w:rsidRDefault="00E05898" w:rsidP="008A7AF6">
      <w:pPr>
        <w:pStyle w:val="NormalHanging12a"/>
        <w:ind w:left="1134"/>
      </w:pPr>
      <w:r w:rsidRPr="008A4C03">
        <w:t>т)</w:t>
      </w:r>
      <w:r w:rsidRPr="008A4C03">
        <w:tab/>
        <w:t xml:space="preserve">да прилага интегрирането на принципа на равенство между половете и бюджетирането, съобразено с равенството между половете, във всички области на политиката на ЕС, включително външната дейност; да подчертае необходимостта държавите да отделят адекватно, достатъчно и предвидимо финансиране за съобразена с равенството между половете правна помощ и услуги за подкрепа, особено за жертвите на насилие, основано на пола, и достатъчен достъп до обезщетение, тъй като настоящите пречки засягат непропорционално достъпа на жените до правосъдие; да подчертае значението на преодоляването на практическите, регионалните и свързаните с достъпността пречки, които възпрепятстват достъпа на жените и уязвимите групи до правосъдие, особено в селските, отдалечените и икономически </w:t>
      </w:r>
      <w:proofErr w:type="spellStart"/>
      <w:r w:rsidRPr="008A4C03">
        <w:t>необлагодетелстваните</w:t>
      </w:r>
      <w:proofErr w:type="spellEnd"/>
      <w:r w:rsidRPr="008A4C03">
        <w:t xml:space="preserve"> региони; да изтъкне специфичните предизвикателства, пред които са изправени жените с увреждания, възрастните жени и самотните родители, включително пречките пред физическата достъпност и липсата на персонализирани услуги за подкрепа; да признае, че правната помощ често е хронично недостатъчно финансирана или подценявана, като създава още една пречка за жените в кризисни ситуации, търсещи достъп до правосъдие, което засяга непропорционално жените в по-неблагоприятно социално-икономическо положение и най-уязвимите по отношение на достъпа до правосъдие, когато правата им са нарушени;</w:t>
      </w:r>
    </w:p>
    <w:p w14:paraId="430E0FCA" w14:textId="60665600" w:rsidR="00E05898" w:rsidRPr="008A4C03" w:rsidRDefault="00E05898" w:rsidP="008A7AF6">
      <w:pPr>
        <w:pStyle w:val="NormalHanging12a"/>
        <w:ind w:left="1134"/>
        <w:rPr>
          <w:rFonts w:eastAsiaTheme="minorHAnsi"/>
          <w:szCs w:val="24"/>
        </w:rPr>
      </w:pPr>
      <w:r w:rsidRPr="008A4C03">
        <w:t>у)</w:t>
      </w:r>
      <w:r w:rsidRPr="008A4C03">
        <w:tab/>
        <w:t xml:space="preserve">да потвърди отново ангажимента на ЕС за борба и прекратяване на безнаказаността за насилието, основано на пола, включително сексуалното насилие; да се застъпи за премахване на безнаказаността за всички форми на насилие, основано на пола, включително домашно насилие, сексуално насилие, трафик и вредни практики; да ускори изпълнението на международните ангажименти за по-нататъшна превенция и реагиране на всички форми на насилие срещу жени и момичета както в публичната, така и в частната сфера, включително изнасилване, генитално осакатяване на жени, принудителни бракове, т.нар. конверсионни практики, споделяне без съгласие на интимни или манипулирани материали, убедителни фалшификати и съдържание, генерирано с ИИ, киберпреследване, кибертормоз, </w:t>
      </w:r>
      <w:proofErr w:type="spellStart"/>
      <w:r w:rsidRPr="008A4C03">
        <w:t>киберфлашинг</w:t>
      </w:r>
      <w:proofErr w:type="spellEnd"/>
      <w:r w:rsidRPr="008A4C03">
        <w:t xml:space="preserve">, киберподбуждане към насилие или омраза, реч на омразата и престъпления от омраза; да изтъкне значението на справянето със заплахата, породена от манипулираните с ИИ технологии, и да се застъпи на равнището на ЕС и на международно равнище за по-решителни действия срещу онлайн насилието, като и двете засягат непропорционално жените и възпрепятстват пълноценното им участие в обществения живот; настоятелно да призове много големите онлайн платформи и много големите онлайн търсачки да дадат възможност за обществен контрол на своите годишни оценки на риска и мерки за смекчаване, свързани с </w:t>
      </w:r>
      <w:r w:rsidRPr="008A4C03">
        <w:lastRenderedPageBreak/>
        <w:t>насилието, основано на пола, за да се даде възможност за по-добри изследвания и решения;</w:t>
      </w:r>
    </w:p>
    <w:p w14:paraId="0D808E41" w14:textId="17FC713F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ф)</w:t>
      </w:r>
      <w:r w:rsidRPr="008A4C03">
        <w:tab/>
        <w:t>подчертава, че липсата или отказът на достъп до сексуално и репродуктивно здраве и права, включително безопасен и законен аборт, представлява форма на основано на пола насилие и нарушение на правата на човека и на основните права; да призове за усилия за гарантиране на широк и равен достъп до СРЗП в световен мащаб и да потвърди отново, че достъпът до безопасен и законен аборт е основен компонент на СРЗП на жените и е от съществено значение за тяхната телесна автономност; да изиска безопасен достъп до аборт, контрацепция и грижи за майките за всички, особено спешна контрацепция, тестване за полово предавани инфекции и профилактика след експозиция; да гарантира достъп до чувствителни към аспектите на пола услуги в областта на психичното здраве за младите жени и ЛГБТИК+ лицата, като признае, че психичното здраве е от жизненоважно значение за участието и равенството;</w:t>
      </w:r>
    </w:p>
    <w:p w14:paraId="17DE0D3C" w14:textId="77777777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х)</w:t>
      </w:r>
      <w:r w:rsidRPr="008A4C03">
        <w:tab/>
        <w:t>да гарантира, че външните политики на ЕС активно насърчават достъпа до СРЗП като част от постигането на целите за устойчиво развитие;</w:t>
      </w:r>
    </w:p>
    <w:p w14:paraId="3CAE846C" w14:textId="571F63A1" w:rsidR="00E05898" w:rsidRPr="008A4C03" w:rsidRDefault="00E05898" w:rsidP="008A7AF6">
      <w:pPr>
        <w:pStyle w:val="NormalHanging12a"/>
        <w:ind w:left="1134"/>
        <w:rPr>
          <w:rFonts w:eastAsiaTheme="minorHAnsi"/>
          <w:bCs/>
          <w:iCs/>
          <w:szCs w:val="24"/>
        </w:rPr>
      </w:pPr>
      <w:r w:rsidRPr="008A4C03">
        <w:t>ц)</w:t>
      </w:r>
      <w:r w:rsidRPr="008A4C03">
        <w:tab/>
        <w:t>да заяви отново, че изнасилването продължава да бъде едно от най-широко разпространените нарушения на правата на човека в световен мащаб; да подчертае значението на приемането на основано на понятието за съгласие законодателство относно изнасилванията като съществен елемент от всеобхватния подход за борба със сексуалното насилие срещу жени и момичета; да се застъпи за дефиниция на изнасилването, която се основава върху липсата на съгласие, като универсален стандарт в световен мащаб, с цел да се засили правната защита и да се гарантира, че сексуалното насилие се определя и от липсата на съгласие, а не само от използването на насилие, принуда или заплаха; да насърчава идеята, че мълчанието и липсата на съпротива от страна на жертвите не представляват съгласие; да подчертае, че нито предварителното съгласие, нито съществуващи отношения предполагат текущо или бъдещо съгласие за каквито и да било сексуални действия; във връзка с това да призове всички държави да въведат основано на съгласие определение за изнасилване и да гарантира на преживелите лица достъп до правосъдие;</w:t>
      </w:r>
    </w:p>
    <w:p w14:paraId="0E1B03F8" w14:textId="0BB221CC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ч)</w:t>
      </w:r>
      <w:r w:rsidRPr="008A4C03">
        <w:tab/>
        <w:t xml:space="preserve">да осъди най-категорично използването на изнасилванията и други форми на сексуално насилие като средство за водене на война и да припомни, че подобно поведение представлява военно престъпление или престъпление срещу човечеството съгласно международното право; да работи активно за гарантиране на наказателното преследване и търсенето на отговорност за тези видове престъпления на международно равнище, включително чрез прилагането на глобалния режим на ЕС на санкции за нарушения на правата на човека; да засили подкрепата за международните усилия за документиране на тези престъпления в продължаващи конфликти и за превантивни мерки; да призове освен това за активна подкрепа за всички инициативи, насочени към гарантиране на търсенето на отговорност от извършителите и достъпа до правосъдие за преживелите изнасилване като средство за водене на война, като признава, че в съответствие с Регламент № 1820 (2008) на Съвета за сигурност на ООН изнасилването и други форми </w:t>
      </w:r>
      <w:r w:rsidRPr="008A4C03">
        <w:lastRenderedPageBreak/>
        <w:t>на сексуално насилие представляват военни престъпления, престъпления срещу човечеството или действия, допринасящи за геноцид; да насърчава тясното сътрудничество на Евроюст с Международния наказателен съд (МНС) относно документирането на изнасилвания по време на война, малтретиране и други форми на сексуално насилие в Украйна и да призове ЕС, Евроюст и МНС да засилят допълнително координираните, съобразени с травмите и ориентирани към жертвите усилия за документиране и да създадат рамки за сътрудничество в световен мащаб за други зони на конфликт, за да се гарантира, че жертвите са идентифицирани, защитени и имат достъп до правосъдие;</w:t>
      </w:r>
    </w:p>
    <w:p w14:paraId="3D7407AD" w14:textId="22081F08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ш)</w:t>
      </w:r>
      <w:r w:rsidRPr="008A4C03">
        <w:tab/>
        <w:t>да подчертае значението на пълното признаване на транссексуалните жени за жени, като отбележи, че тяхното включване е от съществено значение за ефективността на всички политики за равенство между половете и борба с насилието; да призове за признаване и равен достъп на транссексуалните жени до услуги за закрила и подкрепа;</w:t>
      </w:r>
    </w:p>
    <w:p w14:paraId="275755BC" w14:textId="3CDE504A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щ)</w:t>
      </w:r>
      <w:r w:rsidRPr="008A4C03">
        <w:tab/>
        <w:t>да призове всички държави, които все още не са ратифицирали Конвенцията от Истанбул, да направят това и да насърчи приемането в световен мащаб на нейните всеобхватни стандарти за борба с насилието над жени и домашното насилие;</w:t>
      </w:r>
    </w:p>
    <w:p w14:paraId="5C80D7A0" w14:textId="06AE1C14" w:rsidR="00E05898" w:rsidRPr="008A4C03" w:rsidRDefault="00E05898" w:rsidP="008A7AF6">
      <w:pPr>
        <w:pStyle w:val="NormalHanging12a"/>
        <w:ind w:left="1134"/>
        <w:rPr>
          <w:rFonts w:eastAsiaTheme="minorHAnsi"/>
          <w:bCs/>
          <w:iCs/>
          <w:szCs w:val="24"/>
        </w:rPr>
      </w:pPr>
      <w:proofErr w:type="spellStart"/>
      <w:r w:rsidRPr="008A4C03">
        <w:t>аа</w:t>
      </w:r>
      <w:proofErr w:type="spellEnd"/>
      <w:r w:rsidRPr="008A4C03">
        <w:t>)</w:t>
      </w:r>
      <w:r w:rsidRPr="008A4C03">
        <w:tab/>
        <w:t>да призове правителствата и международните органи да обърнат внимание на специфичните рискове, пред които са изправени жените и момичетата</w:t>
      </w:r>
      <w:r w:rsidR="004B6C1B">
        <w:rPr>
          <w:lang w:val="en-GB"/>
        </w:rPr>
        <w:t>,</w:t>
      </w:r>
      <w:r w:rsidRPr="008A4C03">
        <w:t xml:space="preserve"> от насилие в приемните центрове и подобряването на процедурите за оценка на възрастта; </w:t>
      </w:r>
    </w:p>
    <w:p w14:paraId="55DCF628" w14:textId="63A839D5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аб)</w:t>
      </w:r>
      <w:r w:rsidRPr="008A4C03">
        <w:tab/>
        <w:t>да се застъпи за правото на момичетата на приобщаващо, справедливо и качествено образование като ключов двигател за овластяване и постигане на равенство между половете, като им се предоставят знанията, уменията, възможностите и способностите, които са от съществено значение за целия им живот, и им се дава възможност да отстояват правата си, да имат достъп до правосъдие, да участват пълноценно в обществения живот и да се борят с насилието, основано на пола; да изтъкне значението на насърчаването на овластяването на жените чрез приобщаващо, справедливо и качествено образование, обучение и учене през целия живот, които са от жизненоважно значение за борбата със свързаните с пола стереотипи, нагласи и предразсъдъци във всичките им измерения и за борбата с продължаващите неравенства; да припомни значението на предотвратяването на насилието, основано на пола, чрез подходящи кампании и други действия, включително чрез повишаване на цифровата медийна грамотност, както и чрез подходящо, целенасочено образование относно съобразени с възрастта, всеобхватни отношения и сексуалност, за да се увеличат знанията за телесната неприкосновеност; да подчертае необходимостта от по-задълбочено разбиране на движенията срещу правата и срещу равенството между половете, включително дезинформацията относно равенството между половете, явлението „</w:t>
      </w:r>
      <w:proofErr w:type="spellStart"/>
      <w:r w:rsidRPr="008A4C03">
        <w:t>инсел</w:t>
      </w:r>
      <w:proofErr w:type="spellEnd"/>
      <w:r w:rsidRPr="008A4C03">
        <w:t>“ и омразата към жените, и по-специално тяхната онлайн проява, известна като „</w:t>
      </w:r>
      <w:proofErr w:type="spellStart"/>
      <w:r w:rsidRPr="008A4C03">
        <w:t>маносферата</w:t>
      </w:r>
      <w:proofErr w:type="spellEnd"/>
      <w:r w:rsidRPr="008A4C03">
        <w:t>“; да се застъпи за по-активни политики за противодействие на тези явления и техните послания;</w:t>
      </w:r>
    </w:p>
    <w:p w14:paraId="18DC3EFD" w14:textId="22BFADF0" w:rsidR="00E05898" w:rsidRPr="008A4C03" w:rsidRDefault="00E05898" w:rsidP="008A7AF6">
      <w:pPr>
        <w:pStyle w:val="NormalHanging12a"/>
        <w:ind w:left="1134"/>
      </w:pPr>
      <w:r w:rsidRPr="008A4C03">
        <w:t>ав)</w:t>
      </w:r>
      <w:r w:rsidRPr="008A4C03">
        <w:tab/>
        <w:t xml:space="preserve">да подчертае, че войната и конфликтите имат непропорционално и </w:t>
      </w:r>
      <w:r w:rsidRPr="008A4C03">
        <w:lastRenderedPageBreak/>
        <w:t>опустошително въздействие върху жените, и да се застъпи за мир и приобщаващи преговори в световен мащаб като основни пътища за прекратяване на конфликтите и насилието, пред което са изправени жените и момичетата в тези условия; да отчете забележителната работа, извършвана от жени, участващи в мироопазващи мисии на ООН в зони на конфликт; да подчертае, че правата на жените и равенството между половете са от съществено значение за принципите на правовата държава, устойчивите и приобщаващи демокрации; да изтъкне със загриженост, че милиони жени и момичета, особено в контекста на конфликти и разселване, продължават да се сблъскват с дискриминация, насилие и отричане на тяхното достойнство и роля;</w:t>
      </w:r>
    </w:p>
    <w:p w14:paraId="54693D4F" w14:textId="7876B95B" w:rsidR="00E05898" w:rsidRPr="008A4C03" w:rsidRDefault="00E05898" w:rsidP="008A7AF6">
      <w:pPr>
        <w:pStyle w:val="NormalHanging12a"/>
        <w:ind w:left="1134"/>
        <w:rPr>
          <w:bCs/>
          <w:iCs/>
        </w:rPr>
      </w:pPr>
      <w:proofErr w:type="spellStart"/>
      <w:r w:rsidRPr="008A4C03">
        <w:t>аг</w:t>
      </w:r>
      <w:proofErr w:type="spellEnd"/>
      <w:r w:rsidRPr="008A4C03">
        <w:t>)</w:t>
      </w:r>
      <w:r w:rsidRPr="008A4C03">
        <w:tab/>
        <w:t>да ангажира ЕС с външна политика, политика за развитие и сигурност, която е приобщаваща и междусекторна, като се дава приоритет на нуждите на жените и защитниците на правата на човека на ЛГБТИК+ лицата;</w:t>
      </w:r>
    </w:p>
    <w:p w14:paraId="6461F1E3" w14:textId="1E4F1C21" w:rsidR="00E05898" w:rsidRPr="008A4C03" w:rsidRDefault="00E05898" w:rsidP="008A7AF6">
      <w:pPr>
        <w:pStyle w:val="NormalHanging12a"/>
        <w:ind w:left="1134"/>
        <w:rPr>
          <w:bCs/>
          <w:iCs/>
        </w:rPr>
      </w:pPr>
      <w:r w:rsidRPr="008A4C03">
        <w:t>ад)</w:t>
      </w:r>
      <w:r w:rsidRPr="008A4C03">
        <w:tab/>
        <w:t>да подчертае, че убийствата на жени, определени като свързани с пола убийства на жени и момичета, представляват една от най-крайните форми на насилие, основано на пола, и представляват тежко нарушение на универсалните основни права; да осъди категорично липсата на хармонизирано определение за това престъпление и продължаващите несъответствия в събирането на данни и съобщаването за него, което сериозно възпрепятства ефективната превенция и основаното на факти създаване на политики; да призове за признаване на това престъпление в световен мащаб и за глобални усилия за премахване на убийствата на жени;</w:t>
      </w:r>
    </w:p>
    <w:p w14:paraId="50D4AFA9" w14:textId="52256D26" w:rsidR="00E365E1" w:rsidRPr="008A4C03" w:rsidRDefault="00E05898" w:rsidP="00BA44AB">
      <w:pPr>
        <w:pStyle w:val="NormalHanging12a"/>
      </w:pPr>
      <w:r w:rsidRPr="008A4C03">
        <w:t>2.</w:t>
      </w:r>
      <w:r w:rsidRPr="008A4C03">
        <w:tab/>
        <w:t>възлага на своя председател да предаде настоящата препоръка на Съвета, на Комисията и на заместник-председателя на Комисията/върховен представител на Съюза по въпросите на външните работи и политиката на сигурност, както и за сведение – на специалния представител на ЕС за правата на човека.</w:t>
      </w:r>
    </w:p>
    <w:sectPr w:rsidR="00E365E1" w:rsidRPr="008A4C03" w:rsidSect="008A4C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2F9E" w14:textId="77777777" w:rsidR="009D58B9" w:rsidRPr="008A4C03" w:rsidRDefault="009D58B9">
      <w:r w:rsidRPr="008A4C03">
        <w:separator/>
      </w:r>
    </w:p>
  </w:endnote>
  <w:endnote w:type="continuationSeparator" w:id="0">
    <w:p w14:paraId="13E5E49E" w14:textId="77777777" w:rsidR="009D58B9" w:rsidRPr="008A4C03" w:rsidRDefault="009D58B9">
      <w:r w:rsidRPr="008A4C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1CDF5" w14:textId="77777777" w:rsidR="00064002" w:rsidRPr="008A4C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2FAD4" w14:textId="77777777" w:rsidR="00064002" w:rsidRPr="008A4C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D9BFB" w14:textId="77777777" w:rsidR="00064002" w:rsidRPr="008A4C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10F4A" w14:textId="77777777" w:rsidR="009D58B9" w:rsidRPr="008A4C03" w:rsidRDefault="009D58B9">
      <w:r w:rsidRPr="008A4C03">
        <w:separator/>
      </w:r>
    </w:p>
  </w:footnote>
  <w:footnote w:type="continuationSeparator" w:id="0">
    <w:p w14:paraId="2E640352" w14:textId="77777777" w:rsidR="009D58B9" w:rsidRPr="008A4C03" w:rsidRDefault="009D58B9">
      <w:r w:rsidRPr="008A4C03">
        <w:continuationSeparator/>
      </w:r>
    </w:p>
  </w:footnote>
  <w:footnote w:id="1">
    <w:p w14:paraId="32AA1D32" w14:textId="7B8C391C" w:rsidR="00E05898" w:rsidRPr="008A4C03" w:rsidRDefault="00E05898" w:rsidP="008A4C03">
      <w:pPr>
        <w:pStyle w:val="FootnoteText"/>
        <w:ind w:left="567" w:hanging="567"/>
        <w:rPr>
          <w:sz w:val="24"/>
          <w:lang w:val="bg-BG"/>
        </w:rPr>
      </w:pPr>
      <w:r w:rsidRPr="008A4C03">
        <w:rPr>
          <w:rStyle w:val="FootnoteReference"/>
          <w:sz w:val="24"/>
          <w:lang w:val="bg-BG"/>
        </w:rPr>
        <w:footnoteRef/>
      </w:r>
      <w:r w:rsidR="008A4C03" w:rsidRPr="008A4C03">
        <w:rPr>
          <w:sz w:val="24"/>
          <w:lang w:val="bg-BG"/>
        </w:rPr>
        <w:t xml:space="preserve"> </w:t>
      </w:r>
      <w:r w:rsidR="008A4C03" w:rsidRPr="008A4C03">
        <w:rPr>
          <w:sz w:val="24"/>
          <w:lang w:val="bg-BG"/>
        </w:rPr>
        <w:tab/>
      </w:r>
      <w:r w:rsidRPr="008A4C03">
        <w:rPr>
          <w:sz w:val="24"/>
          <w:lang w:val="bg-BG"/>
        </w:rPr>
        <w:t>OВ C, C/2025/1279, 13.3.2025 г., ELI: </w:t>
      </w:r>
      <w:hyperlink r:id="rId1" w:tgtFrame="_blank" w:tooltip="Предоставя достъп до този документ чрез неговия ELI URI." w:history="1">
        <w:r w:rsidRPr="008A4C03">
          <w:rPr>
            <w:rStyle w:val="Hyperlink"/>
            <w:sz w:val="24"/>
            <w:lang w:val="bg-BG"/>
          </w:rPr>
          <w:t>http://data.europa.eu/eli/C/2025/1279/oj</w:t>
        </w:r>
      </w:hyperlink>
      <w:r w:rsidRPr="008A4C03">
        <w:rPr>
          <w:sz w:val="24"/>
          <w:lang w:val="bg-BG"/>
        </w:rPr>
        <w:t>.</w:t>
      </w:r>
    </w:p>
  </w:footnote>
  <w:footnote w:id="2">
    <w:p w14:paraId="432ED949" w14:textId="092E1F7E" w:rsidR="00E05898" w:rsidRPr="008A4C03" w:rsidRDefault="00E05898" w:rsidP="008A4C03">
      <w:pPr>
        <w:pStyle w:val="FootnoteText"/>
        <w:ind w:left="567" w:hanging="567"/>
        <w:rPr>
          <w:sz w:val="24"/>
          <w:lang w:val="bg-BG"/>
        </w:rPr>
      </w:pPr>
      <w:r w:rsidRPr="008A4C03">
        <w:rPr>
          <w:rStyle w:val="FootnoteReference"/>
          <w:sz w:val="24"/>
          <w:lang w:val="bg-BG"/>
        </w:rPr>
        <w:footnoteRef/>
      </w:r>
      <w:r w:rsidR="008A4C03" w:rsidRPr="008A4C03">
        <w:rPr>
          <w:sz w:val="24"/>
          <w:lang w:val="bg-BG"/>
        </w:rPr>
        <w:t xml:space="preserve"> </w:t>
      </w:r>
      <w:r w:rsidR="008A4C03" w:rsidRPr="008A4C03">
        <w:rPr>
          <w:sz w:val="24"/>
          <w:lang w:val="bg-BG"/>
        </w:rPr>
        <w:tab/>
      </w:r>
      <w:r w:rsidRPr="008A4C03">
        <w:rPr>
          <w:sz w:val="24"/>
          <w:lang w:val="bg-BG"/>
        </w:rPr>
        <w:t>Приети текстове, P10_TA(2025)0278.</w:t>
      </w:r>
    </w:p>
  </w:footnote>
  <w:footnote w:id="3">
    <w:p w14:paraId="7752A25A" w14:textId="0BC65E65" w:rsidR="00E05898" w:rsidRPr="008A4C03" w:rsidRDefault="00E05898" w:rsidP="008A4C03">
      <w:pPr>
        <w:pStyle w:val="FootnoteText"/>
        <w:ind w:left="567" w:hanging="567"/>
        <w:rPr>
          <w:sz w:val="24"/>
          <w:lang w:val="bg-BG"/>
        </w:rPr>
      </w:pPr>
      <w:r w:rsidRPr="008A4C03">
        <w:rPr>
          <w:rStyle w:val="FootnoteReference"/>
          <w:sz w:val="24"/>
          <w:lang w:val="bg-BG"/>
        </w:rPr>
        <w:footnoteRef/>
      </w:r>
      <w:r w:rsidR="008A4C03" w:rsidRPr="008A4C03">
        <w:rPr>
          <w:sz w:val="24"/>
          <w:lang w:val="bg-BG"/>
        </w:rPr>
        <w:t xml:space="preserve"> </w:t>
      </w:r>
      <w:r w:rsidR="008A4C03" w:rsidRPr="008A4C03">
        <w:rPr>
          <w:sz w:val="24"/>
          <w:lang w:val="bg-BG"/>
        </w:rPr>
        <w:tab/>
      </w:r>
      <w:r w:rsidRPr="008A4C03">
        <w:rPr>
          <w:sz w:val="24"/>
          <w:lang w:val="bg-BG"/>
        </w:rPr>
        <w:t xml:space="preserve">ОВ L 315, 14.11.2012 г., стр. 57, ELI: </w:t>
      </w:r>
      <w:hyperlink r:id="rId2" w:history="1">
        <w:r w:rsidRPr="008A4C03">
          <w:rPr>
            <w:rStyle w:val="Hyperlink"/>
            <w:sz w:val="24"/>
            <w:lang w:val="bg-BG"/>
          </w:rPr>
          <w:t>http://data.europa.eu/eli/dir/2012/29/oj</w:t>
        </w:r>
      </w:hyperlink>
      <w:r w:rsidRPr="008A4C03">
        <w:rPr>
          <w:sz w:val="24"/>
          <w:lang w:val="bg-BG"/>
        </w:rPr>
        <w:t>.</w:t>
      </w:r>
    </w:p>
  </w:footnote>
  <w:footnote w:id="4">
    <w:p w14:paraId="382B58EC" w14:textId="6BDD1AFD" w:rsidR="00E05898" w:rsidRPr="008A4C03" w:rsidRDefault="00E05898" w:rsidP="008A4C03">
      <w:pPr>
        <w:pStyle w:val="FootnoteText"/>
        <w:ind w:left="567" w:hanging="567"/>
        <w:rPr>
          <w:sz w:val="24"/>
          <w:lang w:val="bg-BG"/>
        </w:rPr>
      </w:pPr>
      <w:r w:rsidRPr="008A4C03">
        <w:rPr>
          <w:rStyle w:val="FootnoteReference"/>
          <w:sz w:val="24"/>
          <w:lang w:val="bg-BG"/>
        </w:rPr>
        <w:footnoteRef/>
      </w:r>
      <w:r w:rsidR="008A4C03" w:rsidRPr="008A4C03">
        <w:rPr>
          <w:sz w:val="24"/>
          <w:lang w:val="bg-BG"/>
        </w:rPr>
        <w:t xml:space="preserve"> </w:t>
      </w:r>
      <w:r w:rsidR="008A4C03" w:rsidRPr="008A4C03">
        <w:rPr>
          <w:sz w:val="24"/>
          <w:lang w:val="bg-BG"/>
        </w:rPr>
        <w:tab/>
      </w:r>
      <w:r w:rsidRPr="008A4C03">
        <w:rPr>
          <w:sz w:val="24"/>
          <w:lang w:val="bg-BG"/>
        </w:rPr>
        <w:t>OВ L, 2024/1385, 24.5.2024 г., ELI: </w:t>
      </w:r>
      <w:hyperlink r:id="rId3" w:tgtFrame="_blank" w:tooltip="Предоставя достъп до този документ чрез неговия ELI URI." w:history="1">
        <w:r w:rsidRPr="008A4C03">
          <w:rPr>
            <w:rStyle w:val="Hyperlink"/>
            <w:sz w:val="24"/>
            <w:lang w:val="bg-BG"/>
          </w:rPr>
          <w:t>http://data.europa.eu/eli/dir/2024/1385/oj</w:t>
        </w:r>
      </w:hyperlink>
      <w:r w:rsidRPr="008A4C03">
        <w:rPr>
          <w:sz w:val="24"/>
          <w:lang w:val="bg-BG"/>
        </w:rPr>
        <w:t>.</w:t>
      </w:r>
    </w:p>
  </w:footnote>
  <w:footnote w:id="5">
    <w:p w14:paraId="71FF23E2" w14:textId="00A6B068" w:rsidR="00E05898" w:rsidRPr="008A4C03" w:rsidRDefault="00E05898" w:rsidP="008A4C03">
      <w:pPr>
        <w:pStyle w:val="FootnoteText"/>
        <w:ind w:left="567" w:hanging="567"/>
        <w:rPr>
          <w:sz w:val="24"/>
          <w:lang w:val="bg-BG"/>
        </w:rPr>
      </w:pPr>
      <w:r w:rsidRPr="008A4C03">
        <w:rPr>
          <w:rStyle w:val="FootnoteReference"/>
          <w:sz w:val="24"/>
          <w:lang w:val="bg-BG"/>
        </w:rPr>
        <w:footnoteRef/>
      </w:r>
      <w:r w:rsidR="008A4C03" w:rsidRPr="008A4C03">
        <w:rPr>
          <w:sz w:val="24"/>
          <w:lang w:val="bg-BG"/>
        </w:rPr>
        <w:t xml:space="preserve"> </w:t>
      </w:r>
      <w:r w:rsidR="008A4C03" w:rsidRPr="008A4C03">
        <w:rPr>
          <w:sz w:val="24"/>
          <w:lang w:val="bg-BG"/>
        </w:rPr>
        <w:tab/>
      </w:r>
      <w:hyperlink r:id="rId4" w:history="1">
        <w:r w:rsidRPr="00BA44AB">
          <w:rPr>
            <w:rStyle w:val="Hyperlink"/>
            <w:sz w:val="24"/>
            <w:lang w:val="bg-BG"/>
          </w:rPr>
          <w:t>https://documents.un.org/doc/undoc/gen/g24/073/47/pdf/g2407347.pdf</w:t>
        </w:r>
      </w:hyperlink>
      <w:r w:rsidRPr="008A4C03">
        <w:rPr>
          <w:sz w:val="24"/>
          <w:lang w:val="bg-BG"/>
        </w:rPr>
        <w:t>.</w:t>
      </w:r>
    </w:p>
  </w:footnote>
  <w:footnote w:id="6">
    <w:p w14:paraId="6410803F" w14:textId="4FA5D8E8" w:rsidR="00E05898" w:rsidRPr="008A4C03" w:rsidRDefault="00E05898" w:rsidP="008A4C03">
      <w:pPr>
        <w:pStyle w:val="FootnoteText"/>
        <w:ind w:left="567" w:hanging="567"/>
        <w:rPr>
          <w:sz w:val="24"/>
          <w:lang w:val="bg-BG"/>
        </w:rPr>
      </w:pPr>
      <w:r w:rsidRPr="008A4C03">
        <w:rPr>
          <w:rStyle w:val="FootnoteReference"/>
          <w:sz w:val="24"/>
          <w:lang w:val="bg-BG"/>
        </w:rPr>
        <w:footnoteRef/>
      </w:r>
      <w:r w:rsidR="008A4C03" w:rsidRPr="008A4C03">
        <w:rPr>
          <w:sz w:val="24"/>
          <w:lang w:val="bg-BG"/>
        </w:rPr>
        <w:t xml:space="preserve"> </w:t>
      </w:r>
      <w:r w:rsidR="008A4C03" w:rsidRPr="008A4C03">
        <w:rPr>
          <w:sz w:val="24"/>
          <w:lang w:val="bg-BG"/>
        </w:rPr>
        <w:tab/>
      </w:r>
      <w:r w:rsidRPr="008A4C03">
        <w:rPr>
          <w:sz w:val="24"/>
          <w:lang w:val="bg-BG"/>
        </w:rPr>
        <w:t>ООН — Жени, „Handbook for National Action Plans on Violence against Women“ (Наръчник за национални планове за действие относно насилието срещу жени), 2012 г.</w:t>
      </w:r>
    </w:p>
  </w:footnote>
  <w:footnote w:id="7">
    <w:p w14:paraId="6814E77F" w14:textId="2DBFDD9A" w:rsidR="00E05898" w:rsidRPr="008A4C03" w:rsidRDefault="00E05898" w:rsidP="008A4C03">
      <w:pPr>
        <w:pStyle w:val="FootnoteText"/>
        <w:ind w:left="567" w:hanging="567"/>
        <w:rPr>
          <w:sz w:val="24"/>
          <w:lang w:val="bg-BG"/>
        </w:rPr>
      </w:pPr>
      <w:r w:rsidRPr="008A4C03">
        <w:rPr>
          <w:rStyle w:val="FootnoteReference"/>
          <w:sz w:val="24"/>
          <w:lang w:val="bg-BG"/>
        </w:rPr>
        <w:footnoteRef/>
      </w:r>
      <w:r w:rsidR="008A4C03" w:rsidRPr="008A4C03">
        <w:rPr>
          <w:sz w:val="24"/>
          <w:lang w:val="bg-BG"/>
        </w:rPr>
        <w:t xml:space="preserve"> </w:t>
      </w:r>
      <w:r w:rsidR="008A4C03" w:rsidRPr="008A4C03">
        <w:rPr>
          <w:sz w:val="24"/>
          <w:lang w:val="bg-BG"/>
        </w:rPr>
        <w:tab/>
      </w:r>
      <w:r w:rsidRPr="008A4C03">
        <w:rPr>
          <w:sz w:val="24"/>
          <w:lang w:val="bg-BG"/>
        </w:rPr>
        <w:t>Проучване — „Women’s role in peace processes“ (Ролята на жените в мирните процеси), Европейски парламент, Генерална дирекция за вътрешни политики на ЕС, Тематичен отдел по граждански права и конституционни въпроси, май 2019 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6A77E" w14:textId="77777777" w:rsidR="00064002" w:rsidRPr="008A4C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F7532" w14:textId="77777777" w:rsidR="00064002" w:rsidRPr="008A4C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B63F9" w14:textId="77777777" w:rsidR="00064002" w:rsidRPr="008A4C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5697497">
    <w:abstractNumId w:val="9"/>
  </w:num>
  <w:num w:numId="2" w16cid:durableId="795879488">
    <w:abstractNumId w:val="9"/>
  </w:num>
  <w:num w:numId="3" w16cid:durableId="2003922042">
    <w:abstractNumId w:val="7"/>
  </w:num>
  <w:num w:numId="4" w16cid:durableId="554970808">
    <w:abstractNumId w:val="7"/>
  </w:num>
  <w:num w:numId="5" w16cid:durableId="972444207">
    <w:abstractNumId w:val="6"/>
  </w:num>
  <w:num w:numId="6" w16cid:durableId="1802991925">
    <w:abstractNumId w:val="6"/>
  </w:num>
  <w:num w:numId="7" w16cid:durableId="2101488274">
    <w:abstractNumId w:val="5"/>
  </w:num>
  <w:num w:numId="8" w16cid:durableId="559902287">
    <w:abstractNumId w:val="5"/>
  </w:num>
  <w:num w:numId="9" w16cid:durableId="1315254026">
    <w:abstractNumId w:val="4"/>
  </w:num>
  <w:num w:numId="10" w16cid:durableId="617685891">
    <w:abstractNumId w:val="4"/>
  </w:num>
  <w:num w:numId="11" w16cid:durableId="1897661156">
    <w:abstractNumId w:val="8"/>
  </w:num>
  <w:num w:numId="12" w16cid:durableId="620913767">
    <w:abstractNumId w:val="8"/>
  </w:num>
  <w:num w:numId="13" w16cid:durableId="593514638">
    <w:abstractNumId w:val="3"/>
  </w:num>
  <w:num w:numId="14" w16cid:durableId="559365447">
    <w:abstractNumId w:val="3"/>
  </w:num>
  <w:num w:numId="15" w16cid:durableId="202404097">
    <w:abstractNumId w:val="2"/>
  </w:num>
  <w:num w:numId="16" w16cid:durableId="818377831">
    <w:abstractNumId w:val="2"/>
  </w:num>
  <w:num w:numId="17" w16cid:durableId="569779695">
    <w:abstractNumId w:val="1"/>
  </w:num>
  <w:num w:numId="18" w16cid:durableId="881357764">
    <w:abstractNumId w:val="1"/>
  </w:num>
  <w:num w:numId="19" w16cid:durableId="1137724117">
    <w:abstractNumId w:val="0"/>
  </w:num>
  <w:num w:numId="20" w16cid:durableId="1475298817">
    <w:abstractNumId w:val="0"/>
  </w:num>
  <w:num w:numId="21" w16cid:durableId="904560244">
    <w:abstractNumId w:val="9"/>
  </w:num>
  <w:num w:numId="22" w16cid:durableId="411006320">
    <w:abstractNumId w:val="7"/>
  </w:num>
  <w:num w:numId="23" w16cid:durableId="355546015">
    <w:abstractNumId w:val="6"/>
  </w:num>
  <w:num w:numId="24" w16cid:durableId="1121609880">
    <w:abstractNumId w:val="5"/>
  </w:num>
  <w:num w:numId="25" w16cid:durableId="1898664638">
    <w:abstractNumId w:val="4"/>
  </w:num>
  <w:num w:numId="26" w16cid:durableId="1616642600">
    <w:abstractNumId w:val="8"/>
  </w:num>
  <w:num w:numId="27" w16cid:durableId="549002789">
    <w:abstractNumId w:val="3"/>
  </w:num>
  <w:num w:numId="28" w16cid:durableId="608126102">
    <w:abstractNumId w:val="2"/>
  </w:num>
  <w:num w:numId="29" w16cid:durableId="1223443613">
    <w:abstractNumId w:val="1"/>
  </w:num>
  <w:num w:numId="30" w16cid:durableId="480779225">
    <w:abstractNumId w:val="0"/>
  </w:num>
  <w:num w:numId="31" w16cid:durableId="1762801426">
    <w:abstractNumId w:val="9"/>
  </w:num>
  <w:num w:numId="32" w16cid:durableId="1087266952">
    <w:abstractNumId w:val="7"/>
  </w:num>
  <w:num w:numId="33" w16cid:durableId="640842335">
    <w:abstractNumId w:val="6"/>
  </w:num>
  <w:num w:numId="34" w16cid:durableId="1354498164">
    <w:abstractNumId w:val="5"/>
  </w:num>
  <w:num w:numId="35" w16cid:durableId="55903363">
    <w:abstractNumId w:val="4"/>
  </w:num>
  <w:num w:numId="36" w16cid:durableId="660082014">
    <w:abstractNumId w:val="8"/>
  </w:num>
  <w:num w:numId="37" w16cid:durableId="1622609886">
    <w:abstractNumId w:val="3"/>
  </w:num>
  <w:num w:numId="38" w16cid:durableId="982855302">
    <w:abstractNumId w:val="2"/>
  </w:num>
  <w:num w:numId="39" w16cid:durableId="506403488">
    <w:abstractNumId w:val="1"/>
  </w:num>
  <w:num w:numId="40" w16cid:durableId="452097434">
    <w:abstractNumId w:val="0"/>
  </w:num>
  <w:num w:numId="41" w16cid:durableId="42297964">
    <w:abstractNumId w:val="10"/>
  </w:num>
  <w:num w:numId="42" w16cid:durableId="1421826982">
    <w:abstractNumId w:val="10"/>
  </w:num>
  <w:num w:numId="43" w16cid:durableId="858616849">
    <w:abstractNumId w:val="10"/>
  </w:num>
  <w:num w:numId="44" w16cid:durableId="20844532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0/2026"/>
    <w:docVar w:name="dvlangue" w:val="BG"/>
    <w:docVar w:name="dvnumam" w:val="0"/>
    <w:docVar w:name="dvpe" w:val="776.895"/>
    <w:docVar w:name="dvrapporteur" w:val="Докладчик: "/>
    <w:docVar w:name="dvtitre" w:val="Препоръка на Европейския парламент до Съвета относно препоръката на Европейския парламент до Съвета относно приоритетите на ЕС за 70-ата сесия на Комисията на ООН за положението на жените(2025/2240(INI))"/>
  </w:docVars>
  <w:rsids>
    <w:rsidRoot w:val="009D58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6C1B"/>
    <w:rsid w:val="004C0004"/>
    <w:rsid w:val="004C5D52"/>
    <w:rsid w:val="0050519A"/>
    <w:rsid w:val="005072A1"/>
    <w:rsid w:val="00514517"/>
    <w:rsid w:val="00545827"/>
    <w:rsid w:val="00560270"/>
    <w:rsid w:val="005928E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5F00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C03"/>
    <w:rsid w:val="008A7AF6"/>
    <w:rsid w:val="008C2AC6"/>
    <w:rsid w:val="00930C23"/>
    <w:rsid w:val="0093193B"/>
    <w:rsid w:val="009509D8"/>
    <w:rsid w:val="00950B64"/>
    <w:rsid w:val="00981893"/>
    <w:rsid w:val="009D58B9"/>
    <w:rsid w:val="00A1687D"/>
    <w:rsid w:val="00A43E52"/>
    <w:rsid w:val="00A4678D"/>
    <w:rsid w:val="00A667B0"/>
    <w:rsid w:val="00A778C7"/>
    <w:rsid w:val="00AB441E"/>
    <w:rsid w:val="00AB6293"/>
    <w:rsid w:val="00AE0928"/>
    <w:rsid w:val="00AF3B82"/>
    <w:rsid w:val="00B12E95"/>
    <w:rsid w:val="00B22876"/>
    <w:rsid w:val="00B35527"/>
    <w:rsid w:val="00B558F0"/>
    <w:rsid w:val="00BA44AB"/>
    <w:rsid w:val="00BD48FE"/>
    <w:rsid w:val="00BD7BD8"/>
    <w:rsid w:val="00BE6ADC"/>
    <w:rsid w:val="00C05BFE"/>
    <w:rsid w:val="00C23CD4"/>
    <w:rsid w:val="00C474E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659"/>
    <w:rsid w:val="00E0589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8ABD15"/>
  <w15:chartTrackingRefBased/>
  <w15:docId w15:val="{962F3586-4D2D-4EBF-B6AC-E196E9B6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5898"/>
    <w:pPr>
      <w:spacing w:before="480" w:after="240"/>
    </w:pPr>
  </w:style>
  <w:style w:type="paragraph" w:customStyle="1" w:styleId="NormalBold">
    <w:name w:val="NormalBold"/>
    <w:basedOn w:val="Normal"/>
    <w:rsid w:val="00E05898"/>
    <w:rPr>
      <w:b/>
    </w:rPr>
  </w:style>
  <w:style w:type="paragraph" w:customStyle="1" w:styleId="NormalHanging12a">
    <w:name w:val="NormalHanging12a"/>
    <w:basedOn w:val="Normal"/>
    <w:link w:val="NormalHanging12aChar"/>
    <w:rsid w:val="00E05898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E05898"/>
    <w:rPr>
      <w:sz w:val="24"/>
      <w:lang w:val="bg-BG"/>
    </w:rPr>
  </w:style>
  <w:style w:type="character" w:styleId="Hyperlink">
    <w:name w:val="Hyperlink"/>
    <w:basedOn w:val="DefaultParagraphFont"/>
    <w:rsid w:val="00E0589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A44AB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BA4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385/oj" TargetMode="External"/><Relationship Id="rId2" Type="http://schemas.openxmlformats.org/officeDocument/2006/relationships/hyperlink" Target="http://data.europa.eu/eli/dir/2012/29/oj" TargetMode="External"/><Relationship Id="rId1" Type="http://schemas.openxmlformats.org/officeDocument/2006/relationships/hyperlink" Target="http://data.europa.eu/eli/C/2025/1279/oj" TargetMode="External"/><Relationship Id="rId4" Type="http://schemas.openxmlformats.org/officeDocument/2006/relationships/hyperlink" Target="https://documents.un.org/doc/undoc/gen/g24/073/47/pdf/g240734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6306</Words>
  <Characters>37083</Characters>
  <Application>Microsoft Office Word</Application>
  <DocSecurity>0</DocSecurity>
  <Lines>309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2026-02-12T14:39:00Z</dcterms:created>
  <dcterms:modified xsi:type="dcterms:W3CDTF">2026-02-12T14:39:00Z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A10-0010/2026</vt:lpwstr>
  </property>
  <property fmtid="{D5CDD505-2E9C-101B-9397-08002B2CF9AE}" pid="4" name="&lt;Type&gt;">
    <vt:lpwstr>RR</vt:lpwstr>
  </property>
</Properties>
</file>