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0DCA" w14:paraId="764781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3AE4C3" w14:textId="77777777" w:rsidR="00751A4A" w:rsidRPr="00660DCA" w:rsidRDefault="00E05583" w:rsidP="0010095E">
            <w:pPr>
              <w:pStyle w:val="EPName"/>
            </w:pPr>
            <w:r w:rsidRPr="00660DCA">
              <w:t>Evropský parlament</w:t>
            </w:r>
          </w:p>
          <w:p w14:paraId="0F66C8DC" w14:textId="77777777" w:rsidR="00751A4A" w:rsidRPr="00660D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0DCA">
              <w:t>2024</w:t>
            </w:r>
            <w:r w:rsidR="00817416" w:rsidRPr="00660DCA">
              <w:t>-202</w:t>
            </w:r>
            <w:r w:rsidRPr="00660DCA">
              <w:t>9</w:t>
            </w:r>
          </w:p>
        </w:tc>
        <w:tc>
          <w:tcPr>
            <w:tcW w:w="2268" w:type="dxa"/>
            <w:shd w:val="clear" w:color="auto" w:fill="auto"/>
          </w:tcPr>
          <w:p w14:paraId="7534665A" w14:textId="77777777" w:rsidR="00751A4A" w:rsidRPr="00660DCA" w:rsidRDefault="00187494" w:rsidP="0010095E">
            <w:pPr>
              <w:pStyle w:val="EPLogo"/>
            </w:pPr>
            <w:r w:rsidRPr="00660DCA">
              <w:rPr>
                <w:noProof/>
                <w:lang w:eastAsia="ja-JP"/>
              </w:rPr>
              <w:drawing>
                <wp:inline distT="0" distB="0" distL="0" distR="0" wp14:anchorId="2D2C8F77" wp14:editId="218890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2CFC60" w14:textId="77777777" w:rsidR="00D058B8" w:rsidRPr="00660DCA" w:rsidRDefault="00D058B8" w:rsidP="004C5D52">
      <w:pPr>
        <w:pStyle w:val="LineTop"/>
      </w:pPr>
    </w:p>
    <w:p w14:paraId="48DAAFD6" w14:textId="77777777" w:rsidR="00680577" w:rsidRPr="00660DCA" w:rsidRDefault="00E05583" w:rsidP="00680577">
      <w:pPr>
        <w:pStyle w:val="EPBodyTA1"/>
      </w:pPr>
      <w:r w:rsidRPr="00660DCA">
        <w:t>PŘIJATÉ TEXTY</w:t>
      </w:r>
    </w:p>
    <w:p w14:paraId="08989118" w14:textId="77777777" w:rsidR="00D058B8" w:rsidRPr="00660DCA" w:rsidRDefault="00D058B8" w:rsidP="00D058B8">
      <w:pPr>
        <w:pStyle w:val="LineBottom"/>
      </w:pPr>
    </w:p>
    <w:p w14:paraId="6002EBDB" w14:textId="532E4078" w:rsidR="00E05583" w:rsidRPr="00660DCA" w:rsidRDefault="00E05583" w:rsidP="00E05583">
      <w:pPr>
        <w:pStyle w:val="ATHeading1"/>
      </w:pPr>
      <w:bookmarkStart w:id="0" w:name="TANumber"/>
      <w:r w:rsidRPr="00660DCA">
        <w:t>P10_</w:t>
      </w:r>
      <w:proofErr w:type="gramStart"/>
      <w:r w:rsidRPr="00660DCA">
        <w:t>TA(</w:t>
      </w:r>
      <w:proofErr w:type="gramEnd"/>
      <w:r w:rsidRPr="00660DCA">
        <w:t>2026)00</w:t>
      </w:r>
      <w:r w:rsidR="0095680B">
        <w:t>51</w:t>
      </w:r>
      <w:bookmarkEnd w:id="0"/>
    </w:p>
    <w:p w14:paraId="6B1F1BDB" w14:textId="77777777" w:rsidR="00E05583" w:rsidRPr="00660DCA" w:rsidRDefault="00E05583" w:rsidP="00E05583">
      <w:pPr>
        <w:pStyle w:val="ATHeading2"/>
      </w:pPr>
      <w:bookmarkStart w:id="1" w:name="title"/>
      <w:r w:rsidRPr="00660DCA">
        <w:t>Doporučení Radě k prioritám EU pro 70. zasedání Komise OSN pro postavení žen</w:t>
      </w:r>
      <w:bookmarkEnd w:id="1"/>
    </w:p>
    <w:p w14:paraId="237C7E98" w14:textId="77777777" w:rsidR="00E05583" w:rsidRPr="00660DCA" w:rsidRDefault="00E05583" w:rsidP="00E05583">
      <w:pPr>
        <w:rPr>
          <w:i/>
          <w:vanish/>
        </w:rPr>
      </w:pPr>
      <w:r w:rsidRPr="00660DCA">
        <w:rPr>
          <w:i/>
        </w:rPr>
        <w:fldChar w:fldCharType="begin"/>
      </w:r>
      <w:r w:rsidRPr="00660DCA">
        <w:rPr>
          <w:i/>
        </w:rPr>
        <w:instrText xml:space="preserve"> TC"(</w:instrText>
      </w:r>
      <w:bookmarkStart w:id="2" w:name="DocNumber"/>
      <w:r w:rsidRPr="00660DCA">
        <w:rPr>
          <w:i/>
        </w:rPr>
        <w:instrText>A10-0010/2026</w:instrText>
      </w:r>
      <w:bookmarkEnd w:id="2"/>
      <w:r w:rsidRPr="00660DCA">
        <w:rPr>
          <w:i/>
        </w:rPr>
        <w:instrText xml:space="preserve"> - Zpravodajka: Lina </w:instrText>
      </w:r>
      <w:proofErr w:type="spellStart"/>
      <w:r w:rsidRPr="00660DCA">
        <w:rPr>
          <w:i/>
        </w:rPr>
        <w:instrText>Gálvez</w:instrText>
      </w:r>
      <w:proofErr w:type="spellEnd"/>
      <w:r w:rsidRPr="00660DCA">
        <w:rPr>
          <w:i/>
        </w:rPr>
        <w:instrText xml:space="preserve">)"\l3 \n&gt; \* MERGEFORMAT </w:instrText>
      </w:r>
      <w:r w:rsidRPr="00660DCA">
        <w:rPr>
          <w:i/>
        </w:rPr>
        <w:fldChar w:fldCharType="end"/>
      </w:r>
    </w:p>
    <w:p w14:paraId="7A11658E" w14:textId="77777777" w:rsidR="00E05583" w:rsidRPr="00660DCA" w:rsidRDefault="00E05583" w:rsidP="00E05583">
      <w:pPr>
        <w:rPr>
          <w:vanish/>
        </w:rPr>
      </w:pPr>
      <w:bookmarkStart w:id="3" w:name="Commission"/>
      <w:r w:rsidRPr="00660DCA">
        <w:rPr>
          <w:vanish/>
        </w:rPr>
        <w:t>Výbor pro práva žen a rovnost pohlaví</w:t>
      </w:r>
      <w:bookmarkEnd w:id="3"/>
    </w:p>
    <w:p w14:paraId="0871FEB6" w14:textId="77777777" w:rsidR="00E05583" w:rsidRPr="00660DCA" w:rsidRDefault="00E05583" w:rsidP="00E05583">
      <w:pPr>
        <w:rPr>
          <w:vanish/>
        </w:rPr>
      </w:pPr>
      <w:bookmarkStart w:id="4" w:name="PE"/>
      <w:r w:rsidRPr="00660DCA">
        <w:rPr>
          <w:vanish/>
        </w:rPr>
        <w:t>PE776.895</w:t>
      </w:r>
      <w:bookmarkEnd w:id="4"/>
    </w:p>
    <w:p w14:paraId="184544FE" w14:textId="3818522F" w:rsidR="00E05583" w:rsidRPr="00660DCA" w:rsidRDefault="00E05583" w:rsidP="00E05583">
      <w:pPr>
        <w:pStyle w:val="ATHeading3"/>
      </w:pPr>
      <w:bookmarkStart w:id="5" w:name="Sujet"/>
      <w:r w:rsidRPr="00660DCA">
        <w:t xml:space="preserve">Doporučení Evropského parlamentu Radě ze dne </w:t>
      </w:r>
      <w:r w:rsidR="000404EB">
        <w:t>12. února 2026</w:t>
      </w:r>
      <w:r w:rsidRPr="00660DCA">
        <w:t xml:space="preserve"> k prioritám EU pro 70. zasedání Komise OSN pro postavení žen</w:t>
      </w:r>
      <w:bookmarkEnd w:id="5"/>
      <w:r w:rsidRPr="00660DCA">
        <w:t xml:space="preserve"> </w:t>
      </w:r>
      <w:bookmarkStart w:id="6" w:name="References"/>
      <w:r w:rsidRPr="00660DCA">
        <w:t>(2025/2240(INI))</w:t>
      </w:r>
      <w:bookmarkEnd w:id="6"/>
    </w:p>
    <w:p w14:paraId="3E50AF74" w14:textId="77777777" w:rsidR="00BB0D63" w:rsidRPr="00660DCA" w:rsidRDefault="00BB0D63" w:rsidP="00BB0D63">
      <w:pPr>
        <w:pStyle w:val="EPComma"/>
      </w:pPr>
      <w:r w:rsidRPr="00660DCA">
        <w:rPr>
          <w:i/>
        </w:rPr>
        <w:t>Evropský parlament</w:t>
      </w:r>
      <w:r w:rsidRPr="00660DCA">
        <w:t>,</w:t>
      </w:r>
    </w:p>
    <w:p w14:paraId="3867C132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t>–</w:t>
      </w:r>
      <w:r w:rsidRPr="00660DCA">
        <w:tab/>
        <w:t>s o</w:t>
      </w:r>
      <w:r w:rsidRPr="00660DCA">
        <w:rPr>
          <w:szCs w:val="24"/>
        </w:rPr>
        <w:t>hledem na 70. zasedání Komise OSN pro postavení žen, které se má konat v březnu 2026, na jeho prioritní téma „Zajištění a posílení přístupu ke spravedlnosti pro všechny ženy a dívky, mimo jiné podporou inkluzivních a spravedlivých právních systémů, odstraněním diskriminačních právních předpisů, politik a postupů a řešením strukturálních překážek“ a na jeho téma přezkumu nazvané „Plná a skutečná účast žen na rozhodovacích procesech ve veřejném životě a odstranění násilí v zájmu dosažení genderové rovnosti a posílení postavení všech žen a dívek“,</w:t>
      </w:r>
    </w:p>
    <w:p w14:paraId="7F6B5CA6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Úmluvu OSN o odstranění všech forem diskriminace žen ze dne 18. prosince 1979,</w:t>
      </w:r>
    </w:p>
    <w:p w14:paraId="54CE4311" w14:textId="49075618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Úmluvu OSN o právech osob se zdravotním postižením ze dne 12. prosince 2006, zejména na její články 6 a 13 o přístupu ke spravedlnosti a o mnohonásobných formách diskriminace, jimž jsou vystaveny ženy a dívky se</w:t>
      </w:r>
      <w:r w:rsidR="00481D32" w:rsidRPr="00660DCA">
        <w:rPr>
          <w:szCs w:val="24"/>
        </w:rPr>
        <w:t> </w:t>
      </w:r>
      <w:r w:rsidRPr="00660DCA">
        <w:rPr>
          <w:szCs w:val="24"/>
        </w:rPr>
        <w:t>zdravotním postižením,</w:t>
      </w:r>
    </w:p>
    <w:p w14:paraId="07EFB946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Agendu OSN pro udržitelný rozvoj 2030, konkrétně na zásadu „nikoho neopomíjet“, a zejména na cíl udržitelného rozvoje č. 5, který usiluje o dosažení genderové rovnosti a zajištění toho, aby ženy měly rovná práva na ekonomické zdroje, možnost vlastnictví a hospodaření s pozemky i dalších forem vlastnictví, přístup k finančním službám, dědictví a přírodním zdrojům, a cíl udržitelného rozvoje č. 10, který usiluje o odstranění diskriminačních právních předpisů, politik a postupů a podporu vhodných právních předpisů, politik a opatření,</w:t>
      </w:r>
    </w:p>
    <w:p w14:paraId="12A35A98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články 20, 21, 23 a 47 Listiny základních práv Evropské unie,</w:t>
      </w:r>
    </w:p>
    <w:p w14:paraId="1FD73A7C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 xml:space="preserve">s ohledem na své usnesení ze dne 11. dubna 2024 o zahrnutí práva na umělé přerušení </w:t>
      </w:r>
      <w:r w:rsidRPr="00660DCA">
        <w:rPr>
          <w:szCs w:val="24"/>
        </w:rPr>
        <w:lastRenderedPageBreak/>
        <w:t>těhotenství do Listiny základních práv EU</w:t>
      </w:r>
      <w:r w:rsidRPr="00660DCA">
        <w:rPr>
          <w:rStyle w:val="FootnoteReference"/>
          <w:bCs/>
          <w:iCs/>
          <w:szCs w:val="24"/>
        </w:rPr>
        <w:footnoteReference w:id="1"/>
      </w:r>
      <w:r w:rsidRPr="00660DCA">
        <w:rPr>
          <w:szCs w:val="24"/>
        </w:rPr>
        <w:t>,</w:t>
      </w:r>
    </w:p>
    <w:p w14:paraId="1EEB628B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společné sdělení Komise a vysokého představitele Unie pro zahraniční věci a bezpečnostní politiku ze dne 25. listopadu 2020 nazvané „Akční plán EU pro rovnost žen a mužů (GAP) III – ambiciózní agenda pro genderovou rovnost a posílení postavení žen v rámci vnější činnosti EU“ (</w:t>
      </w:r>
      <w:proofErr w:type="gramStart"/>
      <w:r w:rsidRPr="00660DCA">
        <w:rPr>
          <w:szCs w:val="24"/>
        </w:rPr>
        <w:t>JOIN(</w:t>
      </w:r>
      <w:proofErr w:type="gramEnd"/>
      <w:r w:rsidRPr="00660DCA">
        <w:rPr>
          <w:szCs w:val="24"/>
        </w:rPr>
        <w:t>2020)0017), ve kterém je nastíněn akční plán EU pro rovnost žen a mužů na období 2021–2025,</w:t>
      </w:r>
    </w:p>
    <w:p w14:paraId="47302A83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sdělení Komise ze dne 7. března 2025 nazvané „Plán pro práva žen“ (</w:t>
      </w:r>
      <w:proofErr w:type="gramStart"/>
      <w:r w:rsidRPr="00660DCA">
        <w:rPr>
          <w:szCs w:val="24"/>
        </w:rPr>
        <w:t>COM(</w:t>
      </w:r>
      <w:proofErr w:type="gramEnd"/>
      <w:r w:rsidRPr="00660DCA">
        <w:rPr>
          <w:szCs w:val="24"/>
        </w:rPr>
        <w:t>2025)0097), v němž se potvrzuje odhodlání EU prosazovat genderovou rovnost,</w:t>
      </w:r>
    </w:p>
    <w:p w14:paraId="1DDBD063" w14:textId="04DD3958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sdělení Komise ze dne 5. března 2020 nazvané „Unie rovnosti: strategie pro rovnost žen a mužů na období 2020–2025“ (</w:t>
      </w:r>
      <w:proofErr w:type="gramStart"/>
      <w:r w:rsidRPr="00660DCA">
        <w:rPr>
          <w:szCs w:val="24"/>
        </w:rPr>
        <w:t>COM(</w:t>
      </w:r>
      <w:proofErr w:type="gramEnd"/>
      <w:r w:rsidRPr="00660DCA">
        <w:rPr>
          <w:szCs w:val="24"/>
        </w:rPr>
        <w:t>2020)0152),</w:t>
      </w:r>
    </w:p>
    <w:p w14:paraId="14D635EB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své usnesení ze dne 13. listopadu 2025 o strategii pro rovnost žen a mužů 2025</w:t>
      </w:r>
      <w:r w:rsidRPr="00660DCA">
        <w:rPr>
          <w:rStyle w:val="FootnoteReference"/>
          <w:bCs/>
          <w:iCs/>
          <w:szCs w:val="24"/>
        </w:rPr>
        <w:footnoteReference w:id="2"/>
      </w:r>
      <w:r w:rsidRPr="00660DCA">
        <w:rPr>
          <w:szCs w:val="24"/>
        </w:rPr>
        <w:t>,</w:t>
      </w:r>
    </w:p>
    <w:p w14:paraId="78DF2493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směrnici Evropského parlamentu a Rady 2012/29/EU ze dne 25. října 2012, kterou se zavádí minimální pravidla pro práva, podporu a ochranu obětí trestného činu a kterou se nahrazuje rámcové rozhodnutí Rady 2001/220/SVV</w:t>
      </w:r>
      <w:r w:rsidRPr="00660DCA">
        <w:rPr>
          <w:bCs/>
          <w:iCs/>
          <w:szCs w:val="24"/>
          <w:vertAlign w:val="superscript"/>
        </w:rPr>
        <w:footnoteReference w:id="3"/>
      </w:r>
      <w:r w:rsidRPr="00660DCA">
        <w:rPr>
          <w:szCs w:val="24"/>
        </w:rPr>
        <w:t>, a na přepracované znění této směrnice, které se právě připravuje,</w:t>
      </w:r>
    </w:p>
    <w:p w14:paraId="238B220D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směrnici Evropského parlamentu a Rady (EU) 2024/1385 ze dne 14. května 2024 o potírání násilí na ženách a domácího násilí</w:t>
      </w:r>
      <w:r w:rsidRPr="00660DCA">
        <w:rPr>
          <w:rStyle w:val="FootnoteReference"/>
          <w:bCs/>
          <w:iCs/>
          <w:szCs w:val="24"/>
        </w:rPr>
        <w:footnoteReference w:id="4"/>
      </w:r>
      <w:r w:rsidRPr="00660DCA">
        <w:rPr>
          <w:szCs w:val="24"/>
        </w:rPr>
        <w:t>,</w:t>
      </w:r>
    </w:p>
    <w:p w14:paraId="2BA60FEF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rezoluci Rady bezpečnosti OSN 1820 (2008) ze dne 19. června 2008 o sexuálním násilí jako válečné zbrani,</w:t>
      </w:r>
    </w:p>
    <w:p w14:paraId="1CBE1B0B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Zásady a pokyny OSN pro přístup k právní pomoci v systémech trestního práva přijaté v prosinci 2012,</w:t>
      </w:r>
    </w:p>
    <w:p w14:paraId="442038F5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program Komise Spravedlnost na období 2021–2027, který poskytuje finanční prostředky na podporu justiční spolupráce v občanských a trestních věcech, jako je odborná příprava soudců a dalších příslušníků právnických profesí, a na účinný přístup občanů a podniků ke spravedlnosti,</w:t>
      </w:r>
    </w:p>
    <w:p w14:paraId="2335DF2E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Úmluvu Rady Evropy o prevenci a potírání násilí na ženách a domácího násilí (dále jen „Istanbulská úmluva“),</w:t>
      </w:r>
    </w:p>
    <w:p w14:paraId="64BFA8D2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čl. 81 odst. 2 Smlouvy o fungování Evropské unie,</w:t>
      </w:r>
    </w:p>
    <w:p w14:paraId="27BC7A93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článek 121 jednacího řádu,</w:t>
      </w:r>
    </w:p>
    <w:p w14:paraId="04B71DAA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–</w:t>
      </w:r>
      <w:r w:rsidRPr="00660DCA">
        <w:rPr>
          <w:szCs w:val="24"/>
        </w:rPr>
        <w:tab/>
        <w:t>s ohledem na zprávu Výboru pro práva žen a rovnost pohlaví (A10-0010/2026),</w:t>
      </w:r>
    </w:p>
    <w:p w14:paraId="7FF9C870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A.</w:t>
      </w:r>
      <w:r w:rsidRPr="00660DCA">
        <w:rPr>
          <w:szCs w:val="24"/>
        </w:rPr>
        <w:tab/>
        <w:t xml:space="preserve">vzhledem k tomu, že rovnost žen a mužů je základní zásadou zakotvenou v článku 2 Smlouvy o Evropské unii a v článku 23 Listiny základních práv Evropské unie; </w:t>
      </w:r>
      <w:r w:rsidRPr="00660DCA">
        <w:rPr>
          <w:szCs w:val="24"/>
        </w:rPr>
        <w:lastRenderedPageBreak/>
        <w:t>vzhledem k tomu, že tato zásada platí ve všech oblastech života a ve všech politikách, včetně přístupu ke spravedlnosti; vzhledem k tomu, že začleňování genderového hlediska, genderové rozpočtování a meziodvětvový přístup by se měly uplatňovat a integrovat ve všech příslušných politikách EU, protože jsou zásadně důležité pro dosažení genderové rovnosti; vzhledem k tomu, že vnitřní a vnější politiky by měly být konzistentní a koherentní, aby bylo zajištěno účinné a věrohodné prosazování lidských a základních práv, demokracie a genderové rovnosti na celém světě;</w:t>
      </w:r>
    </w:p>
    <w:p w14:paraId="2C8B6E0B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B.</w:t>
      </w:r>
      <w:r w:rsidRPr="00660DCA">
        <w:rPr>
          <w:szCs w:val="24"/>
        </w:rPr>
        <w:tab/>
        <w:t xml:space="preserve">vzhledem k tomu, že genderová rovnost, demokracie, základní práva a právní stát jsou neoddělitelně spjaty; vzhledem k tomu, že rostoucí odpor vůči právům žen a genderové rovnosti je způsoben vzestupem </w:t>
      </w:r>
      <w:proofErr w:type="spellStart"/>
      <w:r w:rsidRPr="00660DCA">
        <w:rPr>
          <w:szCs w:val="24"/>
        </w:rPr>
        <w:t>protigenderových</w:t>
      </w:r>
      <w:proofErr w:type="spellEnd"/>
      <w:r w:rsidRPr="00660DCA">
        <w:rPr>
          <w:szCs w:val="24"/>
        </w:rPr>
        <w:t xml:space="preserve"> a protidemokratických hnutí; vzhledem k tomu, že nedávné škrty v rozvojové pomoci USA mají nepřiměřený dopad na ženy a dívky na celém světě, zvyšují zranitelnost a poškozují komunity; vzhledem k tomu, že Valné shromáždění OSN upozornilo na aktivní odpor vůči genderové rovnosti a na nadnárodní odmítavý postoj vůči právům žen; vzhledem k tomu, že je naléhavě nutné potvrdit skutečnou rovnost a lidská práva žen a dívek</w:t>
      </w:r>
      <w:r w:rsidRPr="00660DCA">
        <w:rPr>
          <w:bCs/>
          <w:iCs/>
          <w:szCs w:val="24"/>
          <w:vertAlign w:val="superscript"/>
        </w:rPr>
        <w:footnoteReference w:id="5"/>
      </w:r>
      <w:r w:rsidRPr="00660DCA">
        <w:rPr>
          <w:szCs w:val="24"/>
        </w:rPr>
        <w:t>;</w:t>
      </w:r>
    </w:p>
    <w:p w14:paraId="7C09717C" w14:textId="77777777" w:rsidR="00BB0D63" w:rsidRPr="00660DCA" w:rsidRDefault="00BB0D63" w:rsidP="00660DCA">
      <w:pPr>
        <w:pStyle w:val="NormalHanging12a"/>
        <w:rPr>
          <w:szCs w:val="24"/>
        </w:rPr>
      </w:pPr>
      <w:r w:rsidRPr="00660DCA">
        <w:rPr>
          <w:szCs w:val="24"/>
        </w:rPr>
        <w:t>C.</w:t>
      </w:r>
      <w:r w:rsidRPr="00660DCA">
        <w:rPr>
          <w:szCs w:val="24"/>
        </w:rPr>
        <w:tab/>
        <w:t>vzhledem k tomu, že práva žen a dívek a genderová rovnost jsou základními lidskými právy a nezbytnými předpoklady pro lidský rozvoj, sociální spravedlnost, demokracii, právní stát, zlepšování životní úrovně, snižování chudoby, řešení klimatické krize a budování nezbytného základu pro mírový, spravedlivý, prosperující a udržitelný svět; vzhledem k tomu, že obecně dosažení práv žen a dívek na celém světě zlepšuje konkurenceschopnost tím, že podporuje inkluzivní růst, snižuje nerovnosti a zajišťuje plné využití dovedností a potenciálu žen ve všech odvětvích společnosti;</w:t>
      </w:r>
    </w:p>
    <w:p w14:paraId="1153ABEB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D.</w:t>
      </w:r>
      <w:r w:rsidRPr="00660DCA">
        <w:rPr>
          <w:szCs w:val="24"/>
        </w:rPr>
        <w:tab/>
        <w:t>vzhledem k tomu, že chudobu a diskriminaci zhoršují vzájemně se prolínající faktory, jako je rasismus, zdravotní postižení, migrační status, sexuální orientace, genderová identita a pohlavní znaky, jak je zdůrazněno v článku 21 Listiny základních práv Evropské unie; vzhledem k tomu, že významnou překážkou genderové rovnosti je i nadále menstruační chudoba, která omezuje vzdělávání, zdraví a ekonomickou účast milionů žen a dívek na celém světě, a tím omezuje jejich přístup ke spravedlnosti a oslabuje jejich zastoupení a účast na procesech rozhodování na všech úrovních;</w:t>
      </w:r>
    </w:p>
    <w:p w14:paraId="51F7123D" w14:textId="77777777" w:rsidR="00BB0D63" w:rsidRPr="00660DCA" w:rsidRDefault="00BB0D63" w:rsidP="00660DCA">
      <w:pPr>
        <w:pStyle w:val="NormalHanging12a"/>
        <w:rPr>
          <w:szCs w:val="24"/>
        </w:rPr>
      </w:pPr>
      <w:r w:rsidRPr="00660DCA">
        <w:rPr>
          <w:szCs w:val="24"/>
        </w:rPr>
        <w:t>E.</w:t>
      </w:r>
      <w:r w:rsidRPr="00660DCA">
        <w:rPr>
          <w:szCs w:val="24"/>
        </w:rPr>
        <w:tab/>
        <w:t xml:space="preserve">vzhledem k tomu, že podle mezinárodního práva je přístup ke spravedlnosti obecně uznáván jako základní lidské právo, klíčový koncept v širší oblasti spravedlnosti a základ právního státu a demokracie; vzhledem k tomu, že přístup ke spravedlnosti považuje za základní právo také EU, a to prostřednictvím článku 47 Listiny základních práv Evropské unie; vzhledem k tomu, že účinný přístup ke spravedlnosti vyžaduje spolehlivé údaje, transparentní postupy, tvorbu politik založenou na faktech a nestranné instituce, které zajistí, aby ženy a dívky mohly uplatňovat svá práva bez diskriminace; vzhledem k tomu, že přístup ke spravedlnosti je základním lidským právem založeným na spravedlivých právních předpisech, jejich účinném vymáhání, cenově dostupné podpoře, institucích zohledňujících genderové aspekty a mechanismech odpovědnosti; vzhledem k tomu, že diskriminační zákony, genderové stereotypy, finanční překážky a institucionální předsudky stále představují bariéru pro mnoho žen a dívek, zejména pokud čelí diskriminaci z důvodu příslušnosti ke dvěma či více skupinám; vzhledem k tomu, že ženy a dívky ve zranitelném postavení, např. ženy se zdravotním postižením, ve venkovských nebo odlehlých oblastech a starší ženy, často čelí dalším překážkám v přístupu ke spravedlnosti a právní podpoře; vzhledem k tomu, že přístup ke </w:t>
      </w:r>
      <w:r w:rsidRPr="00660DCA">
        <w:rPr>
          <w:szCs w:val="24"/>
        </w:rPr>
        <w:lastRenderedPageBreak/>
        <w:t>spravedlnosti stále více formuje digitalizace a umělá inteligence, takže je třeba zakročit proti algoritmické diskriminaci, digitálnímu vyloučení a rizikům na internetu; vzhledem k tomu, že pro rovný přístup ke spravedlnosti je zásadně důležitá právní pomoc a výměna osvědčených postupů přispívá ke zvýšení kvality a konzistentnosti systémů právní pomoci;</w:t>
      </w:r>
    </w:p>
    <w:p w14:paraId="0E838D06" w14:textId="77777777" w:rsidR="00BB0D63" w:rsidRPr="00660DCA" w:rsidRDefault="00BB0D63" w:rsidP="00660DCA">
      <w:pPr>
        <w:pStyle w:val="NormalHanging12a"/>
        <w:rPr>
          <w:szCs w:val="24"/>
        </w:rPr>
      </w:pPr>
      <w:r w:rsidRPr="00660DCA">
        <w:rPr>
          <w:szCs w:val="24"/>
        </w:rPr>
        <w:t>F.</w:t>
      </w:r>
      <w:r w:rsidRPr="00660DCA">
        <w:rPr>
          <w:szCs w:val="24"/>
        </w:rPr>
        <w:tab/>
        <w:t>vzhledem k tomu, že všeobecný a rovný přístup žen a dívek ke spravedlnosti je stále složitým a kritickým problémem ve všech regionech světa a je obzvláště komplikovaný v některých regionech, zejména tam, kde jsou demokratické instituce a právní stát slabé; vzhledem k tomu, že ženám a dívkám nadále brání v účinném přístupu ke spravedlnosti ekonomické odrazující faktory, omezený přístup k právní pomoci, vysoké náklady, složité právní postupy, digitální a jazykové překážky, nedůvěra v soudní systémy, převládající genderové stereotypy, rasové předsudky, misogynie a systémová diskriminace;</w:t>
      </w:r>
    </w:p>
    <w:p w14:paraId="67C5D101" w14:textId="35ED8D22" w:rsidR="00BB0D63" w:rsidRPr="00660DCA" w:rsidRDefault="00BB0D63" w:rsidP="00660DCA">
      <w:pPr>
        <w:pStyle w:val="NormalHanging12a"/>
        <w:rPr>
          <w:szCs w:val="24"/>
        </w:rPr>
      </w:pPr>
      <w:r w:rsidRPr="00CE0076">
        <w:rPr>
          <w:szCs w:val="24"/>
        </w:rPr>
        <w:t>G.</w:t>
      </w:r>
      <w:r w:rsidRPr="00CE0076">
        <w:rPr>
          <w:szCs w:val="24"/>
        </w:rPr>
        <w:tab/>
        <w:t>vzhledem k tomu, že na celém světě jsou ženy stále velmi nedostatečně zastoupeny na nejvyšších úrovních soudních orgánů a státních zastupitelství, zejména na vedoucích pozicích, jako jsou předsedové soudů, nejvyšší soudci a vedoucí státních zastupitelství; vzhledem k tomu, že dosažení vyváženého zastoupení žen a mužů v těchto rozhodovacích orgánech musí být prioritou; vzhledem k tomu, že je třeba pokračovat v přístupu zohledňujícím genderové aspekty, a to i na místech, kde již bylo přítomnosti žen dosaženo; vzhledem k tomu, že pro zajištění rovného přístupu žen a dívek ke spravedlnosti je zásadně důležité začlenění genderového hlediska do soudního rozhodování, které vyžaduje posuzování faktů a uplatňování práva bez genderových předsudků a škodlivých stereotypů, a to jak v samotném rozhodnutí, tak v procesu, v němž je přijímáno; vzhledem k tomu, že v roce 2024 vydal Výbor OSN pro odstranění diskriminace žen obecné doporučení č. 40 o rovném a inkluzivním zastoupení žen v systémech rozhodování, a to z hlediska rovného přístupu i rovných pravomocí v rámci systémů rozhodování;</w:t>
      </w:r>
    </w:p>
    <w:p w14:paraId="2AF00B8D" w14:textId="0272F2E5" w:rsidR="00BB0D63" w:rsidRPr="00660DCA" w:rsidRDefault="00BB0D63" w:rsidP="00660DCA">
      <w:pPr>
        <w:pStyle w:val="NormalHanging12a"/>
        <w:rPr>
          <w:szCs w:val="24"/>
        </w:rPr>
      </w:pPr>
      <w:r w:rsidRPr="00D852A3">
        <w:rPr>
          <w:szCs w:val="24"/>
        </w:rPr>
        <w:t>H.</w:t>
      </w:r>
      <w:r w:rsidRPr="00D852A3">
        <w:rPr>
          <w:szCs w:val="24"/>
        </w:rPr>
        <w:tab/>
        <w:t>vzhledem k tomu, že OSN aktivně podporuje větší účast žen v justici prostřednictvím cílených iniciativ a kampaní; vzhledem k tomu, že větší zastoupení žen v soudních orgánech je spojeno s přístupy ke spravedlnosti, které jsou více zaměřeny na oběti, a má zásadní význam pro zajištění toho, aby se oběti cítily podporovány a vyslyšeny, když vystoupí a usilují o přístup ke spravedlnosti; vzhledem k tomu, že jsou nezbytná jasná pravidla a přísná legislativní ustanovení, školení o jejich uplatňování a iniciativy zvyšující povědomí o genderu a spravedlnosti, a to jak pro pracovníky v justici, tak pro občanskou společnost;</w:t>
      </w:r>
    </w:p>
    <w:p w14:paraId="55F7E12F" w14:textId="77777777" w:rsidR="00BB0D63" w:rsidRPr="00660DCA" w:rsidRDefault="00BB0D63" w:rsidP="00660DCA">
      <w:pPr>
        <w:pStyle w:val="NormalHanging12a"/>
        <w:rPr>
          <w:szCs w:val="24"/>
        </w:rPr>
      </w:pPr>
      <w:r w:rsidRPr="00660DCA">
        <w:rPr>
          <w:szCs w:val="24"/>
        </w:rPr>
        <w:t>I.</w:t>
      </w:r>
      <w:r w:rsidRPr="00660DCA">
        <w:rPr>
          <w:szCs w:val="24"/>
        </w:rPr>
        <w:tab/>
        <w:t xml:space="preserve">vzhledem k tomu, že násilí páchané na ženách, genderově podmíněné a domácí násilí představují porušení základních práv; vzhledem k tomu, že právní systémy musí plně řešit specifické potřeby obětí tím, že jim poskytnou odpovídající ochranu, účinné právní prostředky a dostupné podpůrné služby a že příslušným orgánům, které přicházejí do styku s oběťmi genderově podmíněného násilí, poskytnou odpovídající školení, aby se zabránilo sekundární viktimizaci; vzhledem k tomu, že řada žen a dívek se stále potýká se značnými překážkami, které jim brání oznámit zneužívání a týrání a získat právní podporu; vzhledem k tomu, že je nutno formálně uznat všechny formy násilí, včetně psychologického, emocionálního a psychického zneužívání a týrání a nátlakové a finanční kontroly; vzhledem k tomu, že ženám, které se staly oběťmi násilí, v přístupu ke spravedlnosti stále brání přetrvávající genderové stereotypy, misogynie a sexismus v rámci institucí spolu se strukturálními a procesními překážkami; vzhledem k tomu, že </w:t>
      </w:r>
      <w:r w:rsidRPr="00660DCA">
        <w:rPr>
          <w:szCs w:val="24"/>
        </w:rPr>
        <w:lastRenderedPageBreak/>
        <w:t>jako efektivní se ukázala specializace soudů na genderově podmíněné násilí, neboť soustřeďuje odborné znalosti, zlepšuje správu případů a vytváří prostředí, které je genderově citlivější a podporuje oběti</w:t>
      </w:r>
      <w:r w:rsidRPr="00660DCA">
        <w:rPr>
          <w:szCs w:val="24"/>
          <w:vertAlign w:val="superscript"/>
        </w:rPr>
        <w:footnoteReference w:id="6"/>
      </w:r>
      <w:r w:rsidRPr="00660DCA">
        <w:rPr>
          <w:szCs w:val="24"/>
        </w:rPr>
        <w:t>;</w:t>
      </w:r>
    </w:p>
    <w:p w14:paraId="2186B46C" w14:textId="77777777" w:rsidR="00BB0D63" w:rsidRPr="00660DCA" w:rsidRDefault="00BB0D63" w:rsidP="00660DCA">
      <w:pPr>
        <w:pStyle w:val="NormalHanging12a"/>
        <w:rPr>
          <w:szCs w:val="24"/>
        </w:rPr>
      </w:pPr>
      <w:r w:rsidRPr="00660DCA">
        <w:rPr>
          <w:szCs w:val="24"/>
        </w:rPr>
        <w:t>J.</w:t>
      </w:r>
      <w:r w:rsidRPr="00660DCA">
        <w:rPr>
          <w:szCs w:val="24"/>
        </w:rPr>
        <w:tab/>
        <w:t>vzhledem k tomu, že obtěžování a šikana na pracovišti a v politickém, soudním, akademickém nebo online prostředí představuje překážku, která ženám brání v přístupu ke spravedlnosti a ve vstupu do veřejných a rozhodovacích funkcí nebo v setrvání v nich; vzhledem k tomu, že všudypřítomné násilí na internetu, nenávistné verbální projevy a trestné činy z nenávisti, které jsou stále více zaměřeny na ženy a dívky, mají závažné důsledky pro jejich každodenní život, omezují jejich účast na veřejném životě a podkopávají jejich rovné zastoupení;</w:t>
      </w:r>
    </w:p>
    <w:p w14:paraId="47C45FBC" w14:textId="4E0A58CB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A60F7E">
        <w:rPr>
          <w:bCs/>
          <w:iCs/>
          <w:szCs w:val="24"/>
        </w:rPr>
        <w:t>K.</w:t>
      </w:r>
      <w:r w:rsidRPr="00A60F7E">
        <w:rPr>
          <w:bCs/>
          <w:iCs/>
          <w:szCs w:val="24"/>
        </w:rPr>
        <w:tab/>
      </w:r>
      <w:r w:rsidRPr="00A60F7E">
        <w:rPr>
          <w:szCs w:val="24"/>
        </w:rPr>
        <w:t>vzhledem k tomu, že ozbrojené konflikty, nucené vysídlování, důsledky změny klimatu a humanitární krize prohlubují nerovnosti, oslabují systémy ochrany a ženy a dívky vystavují větším rizikům v podobě genderově podmíněného násilí, včetně nucených sňatků, sexuálního násilí během tranzitu, obchodování s lidmi, genderově podmíněného násilí v přijímacích a azylových střediscích a sexuálního násilí a mučení jako válečné zbraně; vzhledem k tomu, že sexuální násilí, k němuž dochází během konfliktů, zůstává jedním z nejrozšířenějších způsobů porušování lidských práv, které má sloužit k zastrašení civilního obyvatelstva, potlačení odporu a rozvrácení komunit a podle mezinárodního práva zaklád</w:t>
      </w:r>
      <w:r w:rsidR="00C57432">
        <w:rPr>
          <w:szCs w:val="24"/>
        </w:rPr>
        <w:t>á</w:t>
      </w:r>
      <w:r w:rsidRPr="00A60F7E">
        <w:rPr>
          <w:szCs w:val="24"/>
        </w:rPr>
        <w:t xml:space="preserve"> skutkovou podstatu válečného zločinu, zločinu proti lidskosti a nebo aktů podporujících genocidu; vzhledem k tomu, že agenda OSN „Ženy, mír a bezpečnost“ má zásadní význam pro řešení současných globálních výzev pro mír a bezpečnost; vzhledem k tomu, že pokračující ozbrojené konflikty a nové a stále složitější bezpečnostní hrozby mnohem tvrději doléhají na ženy a dívky a vedly k oslabení jejich postavení, což má na celém světě neblahé důsledky pro požívání jejich lidských práv;</w:t>
      </w:r>
    </w:p>
    <w:p w14:paraId="53999A98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L.</w:t>
      </w:r>
      <w:r w:rsidRPr="00660DCA">
        <w:rPr>
          <w:szCs w:val="24"/>
        </w:rPr>
        <w:tab/>
        <w:t xml:space="preserve">vzhledem k tomu, že Istanbulská úmluva je jedním z nejpokrokovějších mezinárodních právních nástrojů, který stanoví závazné povinnosti v zájmu prevence a potírání genderově podmíněného násilí; </w:t>
      </w:r>
    </w:p>
    <w:p w14:paraId="46CC9741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M.</w:t>
      </w:r>
      <w:r w:rsidRPr="00660DCA">
        <w:rPr>
          <w:szCs w:val="24"/>
        </w:rPr>
        <w:tab/>
        <w:t>vzhledem k tomu, že poškozování sexuálního a reprodukčního zdraví a práv žen, včetně odepření bezpečných a legálních služeb přerušení těhotenství a všech forem porodnického a gynekologického násilí, představuje genderově podmíněné násilí a porušení základních lidských práv; vzhledem k tomu, že na základě zažitých společenských norem bývá legitimizováno genderově podmíněné násilí a omezován přístup ke zdravotním službám, včetně služeb v oblasti sexuálního a reprodukčního zdraví, neplacená práce v domácnosti se očekává především od žen a ženy mají omezené příležitosti k tomu, aby zastávaly vedoucí pozice; vzhledem k tomu, že péče o sexuální a reprodukční zdraví, včetně bezpečného a legálního přerušení těhotenství, patří k základním lidským právům, které musí být dodržováno na celém světě; vzhledem k tomu, že miliony žen stále nemají k takové péči přístup, což jim způsobuje fyzickou újmu a vystavuje je ekonomickému a psychickému stresu; vzhledem k tomu, že znepokojivým tempem narůstají výhružky a útoky na organizace občanské společnosti a obránce lidských práv, zejména na subjekty podporující sexuální a reprodukční zdraví a práva;</w:t>
      </w:r>
    </w:p>
    <w:p w14:paraId="31D370E1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lastRenderedPageBreak/>
        <w:t>N.</w:t>
      </w:r>
      <w:r w:rsidRPr="00660DCA">
        <w:rPr>
          <w:szCs w:val="24"/>
        </w:rPr>
        <w:tab/>
        <w:t>vzhledem k tomu, že znásilnění stále zůstává velmi rozšířeným porušením lidských práv a je často používáno jako válečná zbraň, která má zastrašit civilní obyvatelstvo a zničit komunity; vzhledem k tomu, že je naléhavě nutné jednat, aby byla ukončena beztrestnost pachatelů a obětem znásilnění zajištěna spravedlnost;</w:t>
      </w:r>
    </w:p>
    <w:p w14:paraId="179E4088" w14:textId="77777777" w:rsidR="00BB0D63" w:rsidRPr="00660DCA" w:rsidRDefault="00BB0D63" w:rsidP="00660DCA">
      <w:pPr>
        <w:pStyle w:val="NormalHanging12a"/>
        <w:rPr>
          <w:szCs w:val="24"/>
        </w:rPr>
      </w:pPr>
      <w:r w:rsidRPr="00660DCA">
        <w:rPr>
          <w:szCs w:val="24"/>
        </w:rPr>
        <w:t>O.</w:t>
      </w:r>
      <w:r w:rsidRPr="00660DCA">
        <w:rPr>
          <w:szCs w:val="24"/>
        </w:rPr>
        <w:tab/>
        <w:t>vzhledem k tomu, že justiční stereotypy, převládající genderové normy a nedostatek informací mohou bránit ženám a dívkám, které se staly oběťmi násilí, v účinném přístupu ke spravedlnosti; vzhledem k tomu, že genderově podmíněné násilí a překážky, které ženám brání v přístupu ke spravedlnosti, mohou mít negativní dopad na jejich plnou účast na veřejném životě; vzhledem k tomu, že tato situace oslabuje důvěru žen a dívek v justiční systém a přispívá k tomu, že mnoho případů neohlásí, zejména jedná-li se o genderově podmíněné násilí; vzhledem k tomu, že mnoho obětí je i nadále obviňováno z toho, že si za útoky mohou samy, je stigmatizováno, obává se odvetných útoků a čelí sekundární viktimizaci, což je o to více odrazuje od hledání nápravy soudní cestou;</w:t>
      </w:r>
    </w:p>
    <w:p w14:paraId="2D1E5E40" w14:textId="77777777" w:rsidR="00BB0D63" w:rsidRPr="00660DCA" w:rsidRDefault="00BB0D63" w:rsidP="00660DCA">
      <w:pPr>
        <w:pStyle w:val="NormalHanging12a"/>
        <w:rPr>
          <w:bCs/>
          <w:iCs/>
          <w:szCs w:val="24"/>
        </w:rPr>
      </w:pPr>
      <w:r w:rsidRPr="00660DCA">
        <w:rPr>
          <w:szCs w:val="24"/>
        </w:rPr>
        <w:t>P.</w:t>
      </w:r>
      <w:r w:rsidRPr="00660DCA">
        <w:rPr>
          <w:szCs w:val="24"/>
        </w:rPr>
        <w:tab/>
        <w:t>vzhledem k tomu, že v rámci soudních systémů stále přežívají genderové stereotypy, misogynie a sexismus, které posilují nerovné postavení žen a mužů v důsledku předpojatosti, diskriminačních praktik a nerovného rozložení moci; vzhledem k tomu, že tyto systémové překážky oslabují důvěru žen v justici, omezují jejich nestranné zastoupení a mají podíl na tom, že právní procesy jsou stále nespravedlivé a dochází v nich k marginalizaci obětí; vzhledem k tomu, že genderové předsudky a stereotypy v justičním systému byly plně odhaleny a odsouzeny hnutím MeToo, které mobilizovalo ženy a dívky na všech kontinentech a ukázalo, že navzdory různým sociálním, ekonomickým a právním kontextům čelí v justičním systému velmi podobným problémům, které proto vyžadují koordinovaný postup;</w:t>
      </w:r>
    </w:p>
    <w:p w14:paraId="0112839D" w14:textId="77777777" w:rsidR="00BB0D63" w:rsidRPr="00660DCA" w:rsidRDefault="00BB0D63" w:rsidP="00660DCA">
      <w:pPr>
        <w:pStyle w:val="NormalHanging12a"/>
        <w:rPr>
          <w:szCs w:val="24"/>
        </w:rPr>
      </w:pPr>
      <w:r w:rsidRPr="00660DCA">
        <w:rPr>
          <w:szCs w:val="24"/>
        </w:rPr>
        <w:t>1.</w:t>
      </w:r>
      <w:r w:rsidRPr="00660DCA">
        <w:rPr>
          <w:szCs w:val="24"/>
        </w:rPr>
        <w:tab/>
        <w:t>doporučuje Radě, aby:</w:t>
      </w:r>
    </w:p>
    <w:p w14:paraId="3E4FC0A7" w14:textId="77777777" w:rsidR="00BB0D63" w:rsidRPr="00660DCA" w:rsidRDefault="00BB0D63" w:rsidP="000404EB">
      <w:pPr>
        <w:pStyle w:val="NormalHanging12a"/>
        <w:ind w:left="1134"/>
        <w:rPr>
          <w:szCs w:val="24"/>
        </w:rPr>
      </w:pPr>
      <w:r w:rsidRPr="00660DCA">
        <w:rPr>
          <w:szCs w:val="24"/>
        </w:rPr>
        <w:t>a)</w:t>
      </w:r>
      <w:r w:rsidRPr="00660DCA">
        <w:rPr>
          <w:szCs w:val="24"/>
        </w:rPr>
        <w:tab/>
        <w:t>znovu potvrdila, že EU je pevně odhodlána prosazovat genderovou rovnost, a zajistila plné uplatňování práv žen a dívek ve všech aspektech vnější činnosti EU, včetně rozvojové, obchodní a zahraniční politiky, prostřednictvím řádně financovaného inkluzivního a průřezového přístupu, který zpochybňuje genderové stereotypy a je založen na zásadě nediskriminace, s cílem rychle pokročit s řešením problematiky genderové rovnosti;</w:t>
      </w:r>
    </w:p>
    <w:p w14:paraId="149E9D5D" w14:textId="77777777" w:rsidR="00BB0D63" w:rsidRPr="00660DCA" w:rsidRDefault="00BB0D63" w:rsidP="000404EB">
      <w:pPr>
        <w:pStyle w:val="NormalHanging12a"/>
        <w:ind w:left="1134"/>
        <w:rPr>
          <w:szCs w:val="24"/>
        </w:rPr>
      </w:pPr>
      <w:r w:rsidRPr="00660DCA">
        <w:rPr>
          <w:szCs w:val="24"/>
        </w:rPr>
        <w:t>b)</w:t>
      </w:r>
      <w:r w:rsidRPr="00660DCA">
        <w:rPr>
          <w:szCs w:val="24"/>
        </w:rPr>
        <w:tab/>
        <w:t>zajistila plné zapojení Parlamentu a jeho Výboru pro práva žen a rovnost pohlaví do rozhodování o postoji EU na 70. zasedání Komise OSN pro postavení žen; zajistila, aby měl Parlament před jednáním k dispozici odpovídající informace a dokument o postoji EU; zlepšila interinstitucionální spolupráci, a to i během jednání, aby byly řádně zohledněny priority Parlamentu; zdůraznila, že stále není zajištěna účast žen na rozhodovacích procesech a jejich zastoupení v rozhodovacích funkcích, včetně zahraniční politiky a budování míru; uznala závěry studií, že u mírových dohod, kterých bylo dosaženo s aktivní účastí žen, je vyšší šance, že budou udržitelné a účinné</w:t>
      </w:r>
      <w:r w:rsidRPr="00660DCA">
        <w:rPr>
          <w:szCs w:val="24"/>
          <w:vertAlign w:val="superscript"/>
        </w:rPr>
        <w:footnoteReference w:id="7"/>
      </w:r>
      <w:r w:rsidRPr="00660DCA">
        <w:rPr>
          <w:szCs w:val="24"/>
        </w:rPr>
        <w:t xml:space="preserve">; uvedla, že nedávná globální hodnocení upozornila na skutečnost, že navzdory stávajícím závazkům jsou výsledky prosazování plné, rovné a smysluplné účasti žen a jejich vedoucí role v mírových </w:t>
      </w:r>
      <w:r w:rsidRPr="00660DCA">
        <w:rPr>
          <w:szCs w:val="24"/>
        </w:rPr>
        <w:lastRenderedPageBreak/>
        <w:t>a bezpečnostních procesech stále omezené;</w:t>
      </w:r>
    </w:p>
    <w:p w14:paraId="2407BDCC" w14:textId="77777777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c)</w:t>
      </w:r>
      <w:r w:rsidRPr="00660DCA">
        <w:rPr>
          <w:szCs w:val="24"/>
        </w:rPr>
        <w:tab/>
        <w:t>znovu potvrdila, že genderová rovnost je horizontální prioritou EU; podporovala a prosazovala rozmanitost, rovnost a začlenění; zdůraznila, že je třeba vytvořit komplexní nástroj, který by monitoroval oslabování demokracie a práv žen, neboť tyto dvě oblasti jsou těsně spjaty, a který by se snažil tento trend zvrátit; ujala se iniciativy v celosvětovém boji proti oslabování genderové rovnosti a důrazně odsoudila hnutí, která brojí proti genderové rovnosti a narovnání práv a šíří lži, oslabují demokracii a útočí na práva žen a osob LGBTIQ+;</w:t>
      </w:r>
    </w:p>
    <w:p w14:paraId="6B620EE4" w14:textId="18EC889E" w:rsidR="00BB0D63" w:rsidRPr="00660DCA" w:rsidRDefault="00F75CA5" w:rsidP="000404EB">
      <w:pPr>
        <w:pStyle w:val="NormalHanging12a"/>
        <w:ind w:left="1134"/>
        <w:rPr>
          <w:bCs/>
          <w:iCs/>
          <w:szCs w:val="24"/>
        </w:rPr>
      </w:pPr>
      <w:r w:rsidRPr="0007661B">
        <w:rPr>
          <w:szCs w:val="24"/>
        </w:rPr>
        <w:t>d</w:t>
      </w:r>
      <w:r w:rsidR="00BB0D63" w:rsidRPr="00956269">
        <w:rPr>
          <w:szCs w:val="24"/>
        </w:rPr>
        <w:t>)</w:t>
      </w:r>
      <w:r w:rsidR="00BB0D63" w:rsidRPr="00956269">
        <w:rPr>
          <w:szCs w:val="24"/>
        </w:rPr>
        <w:tab/>
        <w:t>zajistila, aby nástroje EU a mezinárodní nástroje byly komplementární a ambiciózní a aby obsahovaly důrazná a zásadní ustanovení, která posílí postavení žen a zaručí jim přístup ke spravedlnosti; zdůraznila, že právo na právní pomoc a obhajobu má zásadní význam pro zaručení všeobecného a rovného přístupu všech osob ke spravedlnosti a účinné účasti na relevantních procesech; poukázala na to, že osoby se zdravotním postižením, zejména ženy a dívky, se potýkají se strukturálními a praktickými překážkami, které jim brání v přístupu ke spravedlnosti a v účastni na veřejném životě; zdůraznila, že je nutné přijmout konkrétní opatření, která zaručí jejich plné začlenění a všeobecný přístup k účinné ochraně; zajistila, aby EU projevila silné vůdcovské odhodlání a zaujala jednotný postoj k inkluzivním a nestranným justičním systémům; prosazovala komplexní právní rámce, které chrání práva žen a ve vnitrostátním i mezinárodním právu zajišťují plnou a rovnou účast žen, dívek a všech osob na celé škále diverzity; požadovala, aby bylo v trestních řízeních zajištěno a prosazováno právo obětí na včasné vyplacení odškodného pachatelem a aby byly sdíleny osvědčené postupy, jak zabránit sekundární viktimizaci, mimo jiné prostřednictvím státních subrogačních mechanismů;</w:t>
      </w:r>
    </w:p>
    <w:p w14:paraId="2BE2405C" w14:textId="3F85D7E2" w:rsidR="00BB0D63" w:rsidRDefault="00F75CA5" w:rsidP="000404EB">
      <w:pPr>
        <w:pStyle w:val="NormalHanging12a"/>
        <w:ind w:left="1134"/>
        <w:rPr>
          <w:szCs w:val="24"/>
        </w:rPr>
      </w:pPr>
      <w:r w:rsidRPr="0007661B">
        <w:rPr>
          <w:szCs w:val="24"/>
        </w:rPr>
        <w:t>e</w:t>
      </w:r>
      <w:r w:rsidR="00BB0D63" w:rsidRPr="00870906">
        <w:rPr>
          <w:szCs w:val="24"/>
        </w:rPr>
        <w:t>)</w:t>
      </w:r>
      <w:r w:rsidR="00BB0D63" w:rsidRPr="00870906">
        <w:rPr>
          <w:szCs w:val="24"/>
        </w:rPr>
        <w:tab/>
        <w:t>přijala opatření ke kompletnímu splnění stávajících závazků k docílení genderové rovnosti a posílení postavení žen, aby se zajistila ochrana rovných lidských práv a základních svobod žen bez jakékoli diskriminace, a tak posílila jejich účast na veřejném životě;</w:t>
      </w:r>
    </w:p>
    <w:p w14:paraId="144E8B92" w14:textId="53D7CCEA" w:rsidR="0095680B" w:rsidRPr="0095680B" w:rsidRDefault="0095680B" w:rsidP="000404EB">
      <w:pPr>
        <w:pStyle w:val="NormalHanging12a"/>
        <w:ind w:left="1134"/>
        <w:rPr>
          <w:bCs/>
          <w:iCs/>
          <w:szCs w:val="24"/>
        </w:rPr>
      </w:pPr>
      <w:r w:rsidRPr="0007661B">
        <w:rPr>
          <w:bCs/>
          <w:iCs/>
        </w:rPr>
        <w:t>f)</w:t>
      </w:r>
      <w:r w:rsidRPr="0095680B">
        <w:rPr>
          <w:bCs/>
          <w:iCs/>
        </w:rPr>
        <w:tab/>
      </w:r>
      <w:r w:rsidRPr="0007661B">
        <w:rPr>
          <w:bCs/>
          <w:iCs/>
        </w:rPr>
        <w:t>zdůrazňovala důležitost podpory veřejných politik, které propagují a podporují mateřství;</w:t>
      </w:r>
    </w:p>
    <w:p w14:paraId="21CBC2E5" w14:textId="0CB7DD82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E22FFF">
        <w:rPr>
          <w:szCs w:val="24"/>
        </w:rPr>
        <w:t>g)</w:t>
      </w:r>
      <w:r w:rsidRPr="00E22FFF">
        <w:rPr>
          <w:szCs w:val="24"/>
        </w:rPr>
        <w:tab/>
        <w:t>poukazovala na to, že je důležité zajistit účinný přístup žen a dívek ke spravedlnosti na všech úrovních, mimo jiné pomocí jasných kanálů pro oznamování a rychlým přijímáním ochranných a podpůrných opatření; odstranila překážky, zejména pro znevýhodněné a zranitelné skupiny žen, které mají často problém domoci se spravedlnosti, a to kvůli multiplikačnímu efektu omezených a podfinancovaných zdrojů v justičním systému a socio-ekonomických a socio-kulturních faktorů a diskriminaci z důvodu příslušnosti ke dvěma či více znevýhodněným skupinám; v případech genderově podmíněného násilí zajistila adekvátní podporu a ochranu, která bude vycházet z potřeb oběti, a aby při ohlašování případů policii a během soudních řízení zabránila jakékoli sekundární viktimizaci; upozornila na skutečnost, že ekonomická nerovnost zůstává jednou z vážných překážek pro přístup ke spravedlnosti;</w:t>
      </w:r>
    </w:p>
    <w:p w14:paraId="21008AE2" w14:textId="61DDB6AD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h)</w:t>
      </w:r>
      <w:r w:rsidRPr="00660DCA">
        <w:rPr>
          <w:szCs w:val="24"/>
        </w:rPr>
        <w:tab/>
        <w:t xml:space="preserve">zdůraznila, že je nutné, aby Římský statut uznal genderový apartheid jako zločin proti lidskosti, a aby prosazovala jeho mezinárodní uznání, aby se zajistil přístup </w:t>
      </w:r>
      <w:r w:rsidRPr="00660DCA">
        <w:rPr>
          <w:szCs w:val="24"/>
        </w:rPr>
        <w:lastRenderedPageBreak/>
        <w:t>ke spravedlnosti, odpovědnost a možnost stíhání před mezinárodními soudy; podporovala uznání definice genderového apartheidu navržené pracovní skupinou OSN pro diskriminaci žen a dívek, a to jako jednání v rámci institucionalizovaného systému genderově podmíněné diskriminace a dominance;</w:t>
      </w:r>
    </w:p>
    <w:p w14:paraId="2CDCC2B7" w14:textId="04B986FE" w:rsidR="00BB0D63" w:rsidRPr="00660DCA" w:rsidRDefault="00BB0D63" w:rsidP="000404EB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4B0D7D">
        <w:rPr>
          <w:szCs w:val="24"/>
        </w:rPr>
        <w:t>i)</w:t>
      </w:r>
      <w:r w:rsidRPr="004B0D7D">
        <w:rPr>
          <w:szCs w:val="24"/>
        </w:rPr>
        <w:tab/>
        <w:t>zajistila výměnu osvědčených postupů, mimo jiné v rámci justičního vzdělávání, v souvislosti s psychickými, duševními, tělesnými a finančními dopady genderově podmíněného násilí a dopady nátlakové kontroly; zasazovala se o zahrnutí genderové perspektivy do rozhodování soudů; podporovala, aby bylo možné na žádost přidělovat k případům soudkyně; prosazovala, aby pracovníci, kteří ve službě přicházejí do kontaktu s oběťmi, včetně policistů, státních zástupců a soudců, absolvovali školení o genderovém hledisku, která budou zaměřená na potřeby obětí a uzpůsobená konkrétním funkcím těchto pracovníků, s cílem předcházet sekundární viktimizaci, bourat genderové stereotypy a předsudky a zajistit citlivé, respektující a nediskriminační zacházení s oběťmi s ohledem na zažité trauma;</w:t>
      </w:r>
    </w:p>
    <w:p w14:paraId="2C26AC51" w14:textId="0E67B376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j)</w:t>
      </w:r>
      <w:r w:rsidRPr="00660DCA">
        <w:rPr>
          <w:szCs w:val="24"/>
        </w:rPr>
        <w:tab/>
      </w:r>
      <w:r w:rsidRPr="00660DCA">
        <w:rPr>
          <w:szCs w:val="24"/>
        </w:rPr>
        <w:tab/>
        <w:t>zdůrazňovala, že je důležité zajistit, mimo jiné formou osvětových kampaní, aby ženy a dívky měly v každé fázi soudního řízení dostupné, vyčerpávající a ucelené informace o svých právech, pomoci a ochraně, zejména v případech násilí páchaného na ženách nebo domácího násilí; poukazovala na to, že je nutné podporovat lokální programy právní emancipace, které ženám a dívkám pomohou pochopit a uplatňovat jejich práva, a aby vybízela k vytvoření obecných i specializovaných podpůrných služeb pro oběti trestných činů a zajistila jejich účinnou koordinaci a metody postoupení případů; upozorňovala na to, že tyto služby mají klíčovou úlohu při poskytování informací obětem o jejich právech a usnadňování jejich přístupu ke spravedlnosti; zajistila, aby informace určené obětem byly snadno přístupné a srozumitelné; propagovala existenci a používání linek důvěry pro oběti a zajistila, aby byly dostupné různými způsoby, mimo telefonicky a nebo prostřednictvím informačních a komunikačních technologií; uznala, že omezený přístup k těmto technologiím v mnoha zemích po celém světě brání ženám a dívkám plně zúročit své schopnosti;</w:t>
      </w:r>
    </w:p>
    <w:p w14:paraId="62AD5DFD" w14:textId="5C7C6BAE" w:rsidR="00BB0D63" w:rsidRPr="00660DCA" w:rsidRDefault="00BB0D63" w:rsidP="000404EB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2D3DD2">
        <w:rPr>
          <w:szCs w:val="24"/>
        </w:rPr>
        <w:t>k)</w:t>
      </w:r>
      <w:r w:rsidRPr="002D3DD2">
        <w:rPr>
          <w:szCs w:val="24"/>
        </w:rPr>
        <w:tab/>
        <w:t>oficiálně přislíbila, že zajistí, aby oběti měly zaručený přístup k právní pomoci hned na začátku občanského nebo trestního řízení, a že tuto zásadu bude ve spolupráci s mezinárodními partnery prosazovat po celém světě; vyzývala k zahrnutí genderové perspektivy do všech politik, zákonů, postupů, programů a metod, aby mohly být odstraněny specifické překážky, s nimiž jsou konfrontovány ženy a dívky, včetně nedostatečné znalosti práv, diskriminačních postojů a genderových stereotypů v justičním systému, a aby byl vyřešen nedostatek specializovaných služeb, zejména ve venkovských a vzdálených oblastech; podporovala, aby bylo právo žen a dívek na právní pomoc posuzováno výhradně podle jejich finanční situace, tj. nezávisle na příjmech jejich manželů, partnerů nebo rodin, což je zvláště důležité v případech genderově podmíněného násilí; upozorňovala na to, že údaje o přístupu ke spravedlnosti, výsledcích případů, využívání právní pomoci a překážkách je důležité rozlišovat podle pohlaví, aby se podpořila tvorba politik na základě faktických údajů;</w:t>
      </w:r>
    </w:p>
    <w:p w14:paraId="2FFBA673" w14:textId="264065CA" w:rsidR="00BB0D63" w:rsidRPr="00660DCA" w:rsidRDefault="00BB0D63" w:rsidP="000404EB">
      <w:pPr>
        <w:pStyle w:val="NormalHanging12a"/>
        <w:ind w:left="1134"/>
        <w:rPr>
          <w:szCs w:val="24"/>
        </w:rPr>
      </w:pPr>
      <w:r w:rsidRPr="00660DCA">
        <w:rPr>
          <w:szCs w:val="24"/>
        </w:rPr>
        <w:t>l)</w:t>
      </w:r>
      <w:r w:rsidRPr="00660DCA">
        <w:rPr>
          <w:szCs w:val="24"/>
        </w:rPr>
        <w:tab/>
      </w:r>
      <w:r w:rsidRPr="00660DCA">
        <w:rPr>
          <w:szCs w:val="24"/>
        </w:rPr>
        <w:tab/>
        <w:t>prosazovala obsazování vedoucích pozic ženami, rovnou účast a větší zastoupení žen v soudnictví a jeho správních orgánech a aktivně podporovala široký přístup příslušnic menšin a </w:t>
      </w:r>
      <w:proofErr w:type="spellStart"/>
      <w:r w:rsidRPr="00660DCA">
        <w:rPr>
          <w:szCs w:val="24"/>
        </w:rPr>
        <w:t>marginalizovaných</w:t>
      </w:r>
      <w:proofErr w:type="spellEnd"/>
      <w:r w:rsidRPr="00660DCA">
        <w:rPr>
          <w:szCs w:val="24"/>
        </w:rPr>
        <w:t xml:space="preserve"> skupin k právním profesím </w:t>
      </w:r>
      <w:r w:rsidRPr="00660DCA">
        <w:rPr>
          <w:szCs w:val="24"/>
        </w:rPr>
        <w:lastRenderedPageBreak/>
        <w:t>s cílem odstranit strukturální překážky v justičním systému a podporovat spravedlivou a reprezentativní justici, a tak i rovné příležitosti;</w:t>
      </w:r>
    </w:p>
    <w:p w14:paraId="642D6710" w14:textId="0F8DB314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m)</w:t>
      </w:r>
      <w:r w:rsidRPr="00660DCA">
        <w:rPr>
          <w:szCs w:val="24"/>
        </w:rPr>
        <w:tab/>
        <w:t>prosazovala a podporovala konkrétní kroky a opatření k zajištění účasti a vedoucího postavení žen při rozhodování ve veřejném životě, a to i v oblasti zahraniční politiky, obrany a bezpečnosti a v oblasti předcházení konfliktům a krizím, jejich zvládání a řešení; zdůrazňovala, že je nutné vypracovat společnou metodiku sledování sběru údajů o účasti žen v těchto oblastech;</w:t>
      </w:r>
    </w:p>
    <w:p w14:paraId="3CD7B01F" w14:textId="4A1BBEB0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n)</w:t>
      </w:r>
      <w:r w:rsidRPr="00660DCA">
        <w:rPr>
          <w:szCs w:val="24"/>
        </w:rPr>
        <w:tab/>
        <w:t>aktivně podporovala a prosazovala obecné doporučení č. 40 z roku 2024 o rovném a inkluzivním zastoupení žen v rozhodovacích systémech (CEDAW), které je definováno jako parita 50:50 mezi ženami a muži v celé jejich rozmanitosti, pokud jde o rovný přístup k rozhodovacím systémům a rovné pravomoci v těchto systémech;</w:t>
      </w:r>
    </w:p>
    <w:p w14:paraId="398C70E6" w14:textId="256F3729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o)</w:t>
      </w:r>
      <w:r w:rsidRPr="00660DCA">
        <w:rPr>
          <w:szCs w:val="24"/>
        </w:rPr>
        <w:tab/>
        <w:t>podporovala smysluplnou účast žen na všech úrovních rozhodování v zahraniční, obranné a bezpečnostní politice a při řešení konfliktů, a to jak v EU, tak celosvětově;</w:t>
      </w:r>
    </w:p>
    <w:p w14:paraId="5BD40703" w14:textId="36A3F5D7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p)</w:t>
      </w:r>
      <w:r w:rsidRPr="00660DCA">
        <w:rPr>
          <w:szCs w:val="24"/>
        </w:rPr>
        <w:tab/>
        <w:t>přijala opatření k urychlenému a úplnému provedení stávajících závazků v oblasti genderové rovnosti a posílení postavení žen a na ochranu rovných lidských práv a základních svobod žen bez diskriminace, mimo jiné prostřednictvím silných veřejných institucí a politik, které zaručují rovné příležitosti, s cílem pokročit směrem k reálné a plné účasti žen na veřejném životě a usnadnit tak jejich zapojení do rozhodovacích procesů; odsoudila nenávistné projevy vůči ženám na internetu a jejich dopad na účast žen na veřejném životě a podporovala programy mediální gramotnosti a digitální bezpečnosti pro ženy a dívky;</w:t>
      </w:r>
    </w:p>
    <w:p w14:paraId="701DE7A9" w14:textId="128215FF" w:rsidR="00BB0D63" w:rsidRPr="00660DCA" w:rsidRDefault="00BB0D63" w:rsidP="000404EB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660DCA">
        <w:rPr>
          <w:szCs w:val="24"/>
        </w:rPr>
        <w:t>q)</w:t>
      </w:r>
      <w:r w:rsidRPr="00660DCA">
        <w:rPr>
          <w:szCs w:val="24"/>
        </w:rPr>
        <w:tab/>
        <w:t>zdůraznila, že posílení postavení žen a organizací hájících jejich práva a podpora účasti žen na rozhodování v oblasti vnější politiky a v oblasti řešení konfliktů přispívá k lepšímu životu komunit, k lepšímu přístupu ke spravedlnosti a k udržitelnějšímu míru; jasně odsoudila nedávné škrty ve financování ženských organizací, organizací na ochranu práv žen a organizací občanské společnosti, které bojují proti genderově podmíněnému násilí a umožňují ženám přístup ke spravedlnosti; zajistila udržitelné financování a právní ochranu feministických organizací a organizací LGBTIQ+, zejména seskupení na místní úrovni, jež jsou terčem útoků v důsledku stále omezenějšího občanského prostoru a restriktivních zákonů namířených proti nevládním organizacím;</w:t>
      </w:r>
    </w:p>
    <w:p w14:paraId="464D3BF9" w14:textId="2392A0FE" w:rsidR="00BB0D63" w:rsidRPr="00660DCA" w:rsidRDefault="00BB0D63" w:rsidP="000404EB">
      <w:pPr>
        <w:pStyle w:val="NormalHanging12a"/>
        <w:ind w:left="1134"/>
        <w:rPr>
          <w:szCs w:val="24"/>
        </w:rPr>
      </w:pPr>
      <w:r w:rsidRPr="00660DCA">
        <w:rPr>
          <w:szCs w:val="24"/>
        </w:rPr>
        <w:t>r)</w:t>
      </w:r>
      <w:r w:rsidRPr="00660DCA">
        <w:rPr>
          <w:szCs w:val="24"/>
        </w:rPr>
        <w:tab/>
        <w:t xml:space="preserve">obhajovala mandát Komise OSN pro postavení žen s ohledem na snahy Spojených států a s nimi spřízněných zemí oslabit dohodnuté priority v oblasti genderové rovnosti a vyjádřila znepokojení nad tím, že tento politický tlak v kombinaci se škrty ve financování příslušných programů může ohrozit efektivitu a důvěryhodnost této komise; navýšila financování rozvojové pomoci, aby byla překlenuta mezera, která vznikla v důsledku zrušení Agentury USA pro mezinárodní rozvoj; znovu vyjádřila plnou podporu činnosti orgánu UN </w:t>
      </w:r>
      <w:proofErr w:type="spellStart"/>
      <w:r w:rsidRPr="00660DCA">
        <w:rPr>
          <w:szCs w:val="24"/>
        </w:rPr>
        <w:t>Women</w:t>
      </w:r>
      <w:proofErr w:type="spellEnd"/>
      <w:r w:rsidRPr="00660DCA">
        <w:rPr>
          <w:szCs w:val="24"/>
        </w:rPr>
        <w:t xml:space="preserve">, který je v systému OSN ústředním aktérem při dosahování pokroku v oblasti práv žen v celé jejich rozmanitosti a při spolupráci všech příslušných zainteresovaných stran na prosazení změny politiky a koordinaci související opatření; důrazně vyzvala všechny členské státy OSN, jakož i EU, aby pro UN </w:t>
      </w:r>
      <w:proofErr w:type="spellStart"/>
      <w:r w:rsidRPr="00660DCA">
        <w:rPr>
          <w:szCs w:val="24"/>
        </w:rPr>
        <w:t>Women</w:t>
      </w:r>
      <w:proofErr w:type="spellEnd"/>
      <w:r w:rsidRPr="00660DCA">
        <w:rPr>
          <w:szCs w:val="24"/>
        </w:rPr>
        <w:t xml:space="preserve"> zajistily dostatečné financování; zavázala se k dostatečnému financování opatření na </w:t>
      </w:r>
      <w:r w:rsidRPr="00660DCA">
        <w:rPr>
          <w:szCs w:val="24"/>
        </w:rPr>
        <w:lastRenderedPageBreak/>
        <w:t>podporu genderové rovnosti a práv žen, včetně sexuálního a reprodukčního zdraví a práv;</w:t>
      </w:r>
    </w:p>
    <w:p w14:paraId="1C02A9C8" w14:textId="2C3BCEE6" w:rsidR="00BB0D63" w:rsidRPr="00660DCA" w:rsidRDefault="00BB0D63" w:rsidP="000404EB">
      <w:pPr>
        <w:pStyle w:val="NormalHanging12a"/>
        <w:ind w:left="1134"/>
        <w:rPr>
          <w:szCs w:val="24"/>
        </w:rPr>
      </w:pPr>
      <w:r w:rsidRPr="00BC1884">
        <w:rPr>
          <w:szCs w:val="24"/>
        </w:rPr>
        <w:t>s)</w:t>
      </w:r>
      <w:r w:rsidRPr="00BC1884">
        <w:rPr>
          <w:szCs w:val="24"/>
        </w:rPr>
        <w:tab/>
      </w:r>
      <w:r w:rsidR="008E7C7C" w:rsidRPr="00BC1884">
        <w:t>začleňovala hledisko genderové rovnosti a genderové rozpočtování do všech oblastí politiky EU, včetně vnější činnosti; zdůrazňovala, že je třeba, aby státy vyčlenily odpovídající, dostatečné a předvídatelné finanční prostředky na genderově-specifickou právní pomoc a podpůrné služby, zejména pro oběti genderově podmíněného násilí, a zajistily dostatečný přístup k odškodnění, neboť stávající překážky mají na přístup žen ke spravedlnosti neúměrný dopad; upozorňovala na to, že je důležité řešit praktické a regionální překážky a nízkou dostupnost bránící ženám a zranitelným skupinám v přístupu ke spravedlnosti, zejména ve venkovských, odlehlých a ekonomicky znevýhodněných regionech; zdůrazňovala specifické výzvy, jimž čelí ženy se zdravotním postižením, starší ženy a rodiče samoživitelé, včetně fyzických překážek a nedostatku individualizovaných podpůrných služeb; uznala, že právní pomoc, pokud jde o přístup ke spravedlnosti v případě porušení práv, je často chronicky podfinancována nebo podhodnocena, což pro ženy v krizových</w:t>
      </w:r>
      <w:r w:rsidR="008E7C7C" w:rsidRPr="006C6D64">
        <w:t xml:space="preserve"> situacích usilující</w:t>
      </w:r>
      <w:r w:rsidR="008E7C7C">
        <w:t xml:space="preserve"> o </w:t>
      </w:r>
      <w:r w:rsidR="008E7C7C" w:rsidRPr="006C6D64">
        <w:t>přístup ke spravedlnosti vytváří další překážku, která neúměrně postihuje ženy</w:t>
      </w:r>
      <w:r w:rsidR="008E7C7C">
        <w:t xml:space="preserve"> v </w:t>
      </w:r>
      <w:r w:rsidR="008E7C7C" w:rsidRPr="006C6D64">
        <w:t>horším socioekonomickém postavení</w:t>
      </w:r>
      <w:r w:rsidR="008E7C7C">
        <w:t xml:space="preserve"> a </w:t>
      </w:r>
      <w:r w:rsidR="008E7C7C" w:rsidRPr="006C6D64">
        <w:t>nejzranitelnější osoby</w:t>
      </w:r>
      <w:r w:rsidRPr="00660DCA">
        <w:rPr>
          <w:szCs w:val="24"/>
        </w:rPr>
        <w:t>;</w:t>
      </w:r>
    </w:p>
    <w:p w14:paraId="2D382DD5" w14:textId="7CEFB1BA" w:rsidR="00BB0D63" w:rsidRPr="00660DCA" w:rsidRDefault="00BB0D63" w:rsidP="000404EB">
      <w:pPr>
        <w:pStyle w:val="NormalHanging12a"/>
        <w:ind w:left="1134"/>
        <w:rPr>
          <w:rFonts w:eastAsiaTheme="minorHAnsi"/>
          <w:szCs w:val="24"/>
        </w:rPr>
      </w:pPr>
      <w:r w:rsidRPr="00660DCA">
        <w:rPr>
          <w:szCs w:val="24"/>
        </w:rPr>
        <w:t>t)</w:t>
      </w:r>
      <w:r w:rsidRPr="00660DCA">
        <w:rPr>
          <w:szCs w:val="24"/>
        </w:rPr>
        <w:tab/>
        <w:t xml:space="preserve">znovu potvrdila závazek EU skoncovat s beztrestností genderově podmíněného násilí, včetně sexuálního násilí; prosazovala vymýcení beztrestnosti všech forem genderově podmíněného násilí, včetně domácího násilí, sexuálního násilí, obchodování s lidmi a poškozujících praktik; urychlila naplňování mezinárodních závazků s cílem ještě důrazněji předcházet všem formám násilí páchaného na ženách a dívkách ve veřejné i soukromé sféře a reagovat na ně, včetně znásilnění, mrzačení ženských pohlavních orgánů, nucených sňatků, tzv. konverzních praktik, sdílení intimních materiálů nebo materiálů, s nimiž bylo manipulováno, bez souhlasu, </w:t>
      </w:r>
      <w:proofErr w:type="spellStart"/>
      <w:r w:rsidRPr="00660DCA">
        <w:rPr>
          <w:szCs w:val="24"/>
        </w:rPr>
        <w:t>deepfakes</w:t>
      </w:r>
      <w:proofErr w:type="spellEnd"/>
      <w:r w:rsidRPr="00660DCA">
        <w:rPr>
          <w:szCs w:val="24"/>
        </w:rPr>
        <w:t xml:space="preserve"> a obsahu generovaného umělou inteligencí, kybernetického pronásledování, kybernetického obtěžování, nevyžádaného zasílání obrázků, videí nebo jiného materiálu znázorňujícího genitále, kybernetického podněcování k násilí nebo nenávisti, nenávistných projevů a trestných činů z nenávisti; zdůrazňovala, že je důležité řešit hrozbu, kterou představují technologie řízené umělou inteligencí, a na úrovni EU i na mezinárodní úrovni se zasazovala o důraznější opatření proti násilí na internetu, které neúměrně postihuje ženy a brání jejich plnému zapojení do veřejného života; apelovala na velmi velké online platformy a velmi velké internetové vyhledávače, aby umožnily veřejnou kontrolu svých ročních posouzení rizik a zmírňujících opatření souvisejících s genderově podmíněným násilím s cílem zdokonalit výzkum a umožnit nalezení lepších řešení;</w:t>
      </w:r>
    </w:p>
    <w:p w14:paraId="5F43057D" w14:textId="4B370372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u)</w:t>
      </w:r>
      <w:r w:rsidRPr="00660DCA">
        <w:rPr>
          <w:szCs w:val="24"/>
        </w:rPr>
        <w:tab/>
        <w:t>zdůrazňovala, že absence nebo odepření přístupu k sexuálnímu a reprodukčnímu zdraví a právům, včetně bezpečného a legálního umělého přerušení těhotenství, je jednou z forem genderově podmíněného násilí a porušením lidských a základních práv; vyzývala k úsilí o zajištění širokého a spravedlivého přístupu k sexuálnímu a reprodukčnímu zdraví a právům na celém světě a trvala na tom, že přístup k bezpečnému a legálnímu umělému přerušení těhotenství je základním prvkem sexuálního a reprodukčního zdraví a práv žen a má zásadní význam pro jejich tělesnou autonomii; požadovala bezpečný přístup k umělému přerušení těhotenství, antikoncepci a péči o matky pro všechny, zejména k nouzové antikoncepci, testování pohlavně přenosných infekcí a </w:t>
      </w:r>
      <w:proofErr w:type="spellStart"/>
      <w:r w:rsidRPr="00660DCA">
        <w:rPr>
          <w:szCs w:val="24"/>
        </w:rPr>
        <w:t>postexpoziční</w:t>
      </w:r>
      <w:proofErr w:type="spellEnd"/>
      <w:r w:rsidRPr="00660DCA">
        <w:rPr>
          <w:szCs w:val="24"/>
        </w:rPr>
        <w:t xml:space="preserve"> profylaxi; </w:t>
      </w:r>
      <w:r w:rsidRPr="00660DCA">
        <w:rPr>
          <w:szCs w:val="24"/>
        </w:rPr>
        <w:lastRenderedPageBreak/>
        <w:t>zajistila mladým ženám a osobám LGBTIQ+ přístup k genderově citlivým službám v oblasti duševního zdraví, neboť duševní zdraví je zásadním předpokladem účasti a rovnosti;</w:t>
      </w:r>
    </w:p>
    <w:p w14:paraId="293686B2" w14:textId="77777777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v)</w:t>
      </w:r>
      <w:r w:rsidRPr="00660DCA">
        <w:rPr>
          <w:szCs w:val="24"/>
        </w:rPr>
        <w:tab/>
        <w:t>zajistila, aby vnější politiky EU aktivně podporovaly přístup k sexuálnímu a reprodukčnímu zdraví a právům v rámci plnění cílů udržitelného rozvoje;</w:t>
      </w:r>
    </w:p>
    <w:p w14:paraId="2BDA1EED" w14:textId="18946687" w:rsidR="00BB0D63" w:rsidRPr="00660DCA" w:rsidRDefault="00BB0D63" w:rsidP="000404EB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660DCA">
        <w:rPr>
          <w:szCs w:val="24"/>
        </w:rPr>
        <w:t>w)</w:t>
      </w:r>
      <w:r w:rsidRPr="00660DCA">
        <w:rPr>
          <w:szCs w:val="24"/>
        </w:rPr>
        <w:tab/>
        <w:t>opakovala, že znásilnění zůstává jednou z nejrozšířenějších forem porušování lidských práv na světě; zdůrazňovala, že je důležité přijmout právní předpisy týkající se znásilnění definovaného absencí souhlasu coby zásadní prvek komplexního přístupu k boji proti sexuálnímu násilí páchanému na ženách a dívkách; prosazovala definici znásilnění založenou na absenci souhlasu jako univerzální normu na celém světě s cílem posílit právní ochranu a zajistit, aby bylo sexuální násilí definováno absencí souhlasu, nikoli pouze použitím násilí, nátlaku nebo hrozeb; prosazovala zásadu, že mlčení a absence odporu ze strany oběti nepředstavují souhlas; zdůrazňovala, že předchozí souhlas ani existence vztahu neznamenají trvalý nebo budoucí souhlas s jakýmkoli sexuálním aktem; vyzvala v této souvislosti všechny země, aby zavedly definici znásilnění založenou na absenci souhlasu a zaručily obětem přístup ke spravedlnosti;</w:t>
      </w:r>
    </w:p>
    <w:p w14:paraId="69E12FC7" w14:textId="083F1856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BC1884">
        <w:rPr>
          <w:szCs w:val="24"/>
        </w:rPr>
        <w:t>x)</w:t>
      </w:r>
      <w:r w:rsidRPr="00BC1884">
        <w:rPr>
          <w:szCs w:val="24"/>
        </w:rPr>
        <w:tab/>
        <w:t>co nejdůrazněji odsoudila používání znásilňování a dalších forem sexuálního násilí jako válečné zbraně a připomněla, že takové jednání podle mezinárodního práva představ</w:t>
      </w:r>
      <w:r w:rsidR="00836561">
        <w:rPr>
          <w:szCs w:val="24"/>
        </w:rPr>
        <w:t>uje</w:t>
      </w:r>
      <w:r w:rsidRPr="00BC1884">
        <w:rPr>
          <w:szCs w:val="24"/>
        </w:rPr>
        <w:t xml:space="preserve"> válečný zločin nebo zločin proti lidskosti; aktivně usilovala o to, aby byly tyto trestné činy stíhány a aby byli jejich pachatelé pohnáni k odpovědnosti, mimo jiné uplatňováním globálního režimu sankcí EU v oblasti lidských práv; intenzivněji podporovala mezinárodní úsilí o zdokumentování těchto zločinů v probíhajících konfliktech a preventivní opatření; vyzvala k aktivní podpoře všech iniciativ zaměřených na pohnání pachatelů znásilnění jako válečné zbraně k odpovědnosti a zajištění přístupu jejich obětí ke spravedlnosti, a uznala, že v souladu s nařízením Rady bezpečnosti OSN 1820 (2008) znásilnění a jiné formy sexuálního násilí představ</w:t>
      </w:r>
      <w:r w:rsidR="008D66D3">
        <w:rPr>
          <w:szCs w:val="24"/>
        </w:rPr>
        <w:t>ují</w:t>
      </w:r>
      <w:r w:rsidRPr="00BC1884">
        <w:rPr>
          <w:szCs w:val="24"/>
        </w:rPr>
        <w:t xml:space="preserve"> válečné zločiny, zločiny proti lidskosti nebo činy přispívající ke genocidě; prosazovala úzkou spolupráci </w:t>
      </w:r>
      <w:proofErr w:type="spellStart"/>
      <w:r w:rsidRPr="00BC1884">
        <w:rPr>
          <w:szCs w:val="24"/>
        </w:rPr>
        <w:t>Eurojustu</w:t>
      </w:r>
      <w:proofErr w:type="spellEnd"/>
      <w:r w:rsidRPr="00BC1884">
        <w:rPr>
          <w:szCs w:val="24"/>
        </w:rPr>
        <w:t xml:space="preserve"> s Mezinárodním trestním soudem (ICC) za účelem zdokumentování znásilnění, zneužívání a dalších forem sexuálního násilí během války na Ukrajině a vyzvala EU, </w:t>
      </w:r>
      <w:proofErr w:type="spellStart"/>
      <w:r w:rsidRPr="00BC1884">
        <w:rPr>
          <w:szCs w:val="24"/>
        </w:rPr>
        <w:t>Eurojust</w:t>
      </w:r>
      <w:proofErr w:type="spellEnd"/>
      <w:r w:rsidRPr="00BC1884">
        <w:rPr>
          <w:szCs w:val="24"/>
        </w:rPr>
        <w:t xml:space="preserve"> a ICC, aby dále zvýšily koordinované úsilí o zdokumentování zločinů s náležitým ohledem na traumata obětí a vytvořily celosvětové rámce spolupráce pro další oblasti konfliktu s cílem zajistit, aby byly oběti identifikovány, chráněny a měly přístup ke spravedlnosti;</w:t>
      </w:r>
    </w:p>
    <w:p w14:paraId="7EF2E2A5" w14:textId="1C9FD6A2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y)</w:t>
      </w:r>
      <w:r w:rsidRPr="00660DCA">
        <w:rPr>
          <w:szCs w:val="24"/>
        </w:rPr>
        <w:tab/>
        <w:t>zdůrazňovala, že je důležité považovat transsexuální ženy za skutečné ženy, neboť jejich začlenění má zásadní význam pro účinnost veškerých politik v oblasti genderové rovnosti a potírání násilí; požadovala uznání transsexuálních žen a zajištění jejich rovného přístupu k ochraně a podpůrným službám;</w:t>
      </w:r>
    </w:p>
    <w:p w14:paraId="46EDCFB9" w14:textId="188BF7B8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z)</w:t>
      </w:r>
      <w:r w:rsidRPr="00660DCA">
        <w:rPr>
          <w:szCs w:val="24"/>
        </w:rPr>
        <w:tab/>
        <w:t>vyzvala všechny země, které dosud neratifikovaly Istanbulskou úmluvu, aby tak učinily, a prosazovala celosvětové přijetí jejích komplexních norem pro vymýcení násilí na ženách a domácího násilí;</w:t>
      </w:r>
    </w:p>
    <w:p w14:paraId="2C46C8BF" w14:textId="2FA332F2" w:rsidR="00BB0D63" w:rsidRPr="003E1216" w:rsidRDefault="00BB0D63" w:rsidP="000404EB">
      <w:pPr>
        <w:pStyle w:val="NormalHanging12a"/>
        <w:ind w:left="1134"/>
        <w:rPr>
          <w:rFonts w:eastAsiaTheme="minorHAnsi"/>
          <w:bCs/>
          <w:iCs/>
          <w:szCs w:val="24"/>
        </w:rPr>
      </w:pPr>
      <w:proofErr w:type="spellStart"/>
      <w:r w:rsidRPr="003E1216">
        <w:rPr>
          <w:szCs w:val="24"/>
        </w:rPr>
        <w:t>aa</w:t>
      </w:r>
      <w:proofErr w:type="spellEnd"/>
      <w:r w:rsidRPr="003E1216">
        <w:rPr>
          <w:szCs w:val="24"/>
        </w:rPr>
        <w:t>)</w:t>
      </w:r>
      <w:r w:rsidRPr="003E1216">
        <w:rPr>
          <w:szCs w:val="24"/>
        </w:rPr>
        <w:tab/>
        <w:t xml:space="preserve">vyzvala vlády a mezinárodní orgány, aby řešily specifická rizika, jimž čelí ženy a dívky </w:t>
      </w:r>
      <w:r w:rsidR="002B7564">
        <w:rPr>
          <w:szCs w:val="24"/>
        </w:rPr>
        <w:t xml:space="preserve">v důsledku </w:t>
      </w:r>
      <w:r w:rsidRPr="003E1216">
        <w:rPr>
          <w:szCs w:val="24"/>
        </w:rPr>
        <w:t>násilí v přijímacích střediscích</w:t>
      </w:r>
      <w:r w:rsidR="002B7564">
        <w:rPr>
          <w:szCs w:val="24"/>
        </w:rPr>
        <w:t>,</w:t>
      </w:r>
      <w:r w:rsidRPr="003E1216">
        <w:rPr>
          <w:szCs w:val="24"/>
        </w:rPr>
        <w:t xml:space="preserve"> a zlepš</w:t>
      </w:r>
      <w:r w:rsidR="002B7564">
        <w:rPr>
          <w:szCs w:val="24"/>
        </w:rPr>
        <w:t>ily</w:t>
      </w:r>
      <w:r w:rsidRPr="003E1216">
        <w:rPr>
          <w:szCs w:val="24"/>
        </w:rPr>
        <w:t xml:space="preserve"> postup</w:t>
      </w:r>
      <w:r w:rsidR="002B7564">
        <w:rPr>
          <w:szCs w:val="24"/>
        </w:rPr>
        <w:t>y</w:t>
      </w:r>
      <w:r w:rsidRPr="003E1216">
        <w:rPr>
          <w:szCs w:val="24"/>
        </w:rPr>
        <w:t xml:space="preserve"> pro posuzování věku;</w:t>
      </w:r>
    </w:p>
    <w:p w14:paraId="32900760" w14:textId="5A86341E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3E1216">
        <w:rPr>
          <w:szCs w:val="24"/>
        </w:rPr>
        <w:lastRenderedPageBreak/>
        <w:t>ab)</w:t>
      </w:r>
      <w:r w:rsidRPr="003E1216">
        <w:rPr>
          <w:szCs w:val="24"/>
        </w:rPr>
        <w:tab/>
        <w:t>prosazovala právo dívek na inkluzivní, spravedlivé a kvalitní vzdělávání</w:t>
      </w:r>
      <w:r w:rsidRPr="00660DCA">
        <w:rPr>
          <w:szCs w:val="24"/>
        </w:rPr>
        <w:t xml:space="preserve">, které má klíčový význam pro zlepšení jejich postavení a dosažení genderové rovnosti, neboť vzdělání jim poskytne nezbytné dovednosti, příležitosti a schopnosti, které jim umožní domáhat se svých práv, plně se účastnit veřejného života, bojovat proti genderově podmíněnému násilí a mít přístup ke spravedlnosti, a tak prožít důstojný život; poukazovala na to, že je důležité přispívat k posílení postavení žen prostřednictvím inkluzivního, spravedlivého a kvalitního vzdělávání, odborné přípravy a celoživotního učení, jež hrají zásadní úlohu v boji proti genderovým stereotypům, postojům a předsudkům ve všech jejich rozměrech a v boji proti přetrvávajícím nerovnostem; připomínala, že je důležité předcházet genderově podmíněnému násilí prostřednictvím vhodných kampaní a dalších opatření, mimo jiné zvyšováním digitální mediální gramotnosti, a prostřednictvím věkově přiměřené, cílené a komplexní vztahové a sexuální výchovy, s cílem rozšířit znalosti týkající se tělesné integrity; zdůrazňovala, že je třeba lépe porozumět hnutím, která nerespektují lidská práva a gender, včetně dezinformací ohledně genderové rovnosti, fenoménu </w:t>
      </w:r>
      <w:proofErr w:type="spellStart"/>
      <w:r w:rsidRPr="00660DCA">
        <w:rPr>
          <w:szCs w:val="24"/>
        </w:rPr>
        <w:t>incelů</w:t>
      </w:r>
      <w:proofErr w:type="spellEnd"/>
      <w:r w:rsidRPr="00660DCA">
        <w:rPr>
          <w:szCs w:val="24"/>
        </w:rPr>
        <w:t xml:space="preserve"> a misogynie, a zejména jejich online projevům označovaným jako </w:t>
      </w:r>
      <w:proofErr w:type="spellStart"/>
      <w:r w:rsidRPr="00660DCA">
        <w:rPr>
          <w:szCs w:val="24"/>
        </w:rPr>
        <w:t>manosféra</w:t>
      </w:r>
      <w:proofErr w:type="spellEnd"/>
      <w:r w:rsidRPr="00660DCA">
        <w:rPr>
          <w:szCs w:val="24"/>
        </w:rPr>
        <w:t>; prosazovala aktivnější politiky boje proti těmto jevům a jejich narativům;</w:t>
      </w:r>
    </w:p>
    <w:p w14:paraId="5A77CC5C" w14:textId="698A5B88" w:rsidR="00BB0D63" w:rsidRPr="00660DCA" w:rsidRDefault="00BB0D63" w:rsidP="000404EB">
      <w:pPr>
        <w:pStyle w:val="NormalHanging12a"/>
        <w:ind w:left="1134"/>
        <w:rPr>
          <w:szCs w:val="24"/>
        </w:rPr>
      </w:pPr>
      <w:proofErr w:type="spellStart"/>
      <w:r w:rsidRPr="00660DCA">
        <w:rPr>
          <w:szCs w:val="24"/>
        </w:rPr>
        <w:t>ac</w:t>
      </w:r>
      <w:proofErr w:type="spellEnd"/>
      <w:r w:rsidRPr="00660DCA">
        <w:rPr>
          <w:szCs w:val="24"/>
        </w:rPr>
        <w:t>)</w:t>
      </w:r>
      <w:r w:rsidRPr="00660DCA">
        <w:rPr>
          <w:szCs w:val="24"/>
        </w:rPr>
        <w:tab/>
        <w:t>zdůrazňovala, že válka a konflikty mají neúměrný a ničivý dopad na ženy, a prosazovala mírová a inkluzivní jednání na celém světě jako nezbytnou cestu k ukončení konfliktu a násilí, kterému ženy a dívky v tomto prostředí čelí; oceňovala vynikající práci žen působících v mírových misích OSN v oblastech konfliktů; zdůrazňovala, že práva žen a genderová rovnost mají zásadní význam pro vytvoření a zachování právního státu a odolných a inkluzivních demokracií; odsuzovala skutečnost, že miliony žen a dívek, zejména v souvislosti s konflikty a vysídlováním, nadále čelí diskriminaci, násilí a odpírání důstojnosti a práva na samostatné rozhodování;</w:t>
      </w:r>
    </w:p>
    <w:p w14:paraId="40E7C122" w14:textId="22E64C40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r w:rsidRPr="00660DCA">
        <w:rPr>
          <w:szCs w:val="24"/>
        </w:rPr>
        <w:t>ad)</w:t>
      </w:r>
      <w:r w:rsidRPr="00660DCA">
        <w:rPr>
          <w:szCs w:val="24"/>
        </w:rPr>
        <w:tab/>
        <w:t>zavázala EU k zahraniční, rozvojové a bezpečnostní politice, která bude inkluzivní a průřezová a bude klást důraz na potřeby žen a obránců lidských práv LGBTIQ+ osob;</w:t>
      </w:r>
    </w:p>
    <w:p w14:paraId="15E91BC8" w14:textId="4F44C755" w:rsidR="00BB0D63" w:rsidRPr="00660DCA" w:rsidRDefault="00BB0D63" w:rsidP="000404EB">
      <w:pPr>
        <w:pStyle w:val="NormalHanging12a"/>
        <w:ind w:left="1134"/>
        <w:rPr>
          <w:bCs/>
          <w:iCs/>
          <w:szCs w:val="24"/>
        </w:rPr>
      </w:pPr>
      <w:proofErr w:type="spellStart"/>
      <w:r w:rsidRPr="00660DCA">
        <w:rPr>
          <w:szCs w:val="24"/>
        </w:rPr>
        <w:t>ae</w:t>
      </w:r>
      <w:proofErr w:type="spellEnd"/>
      <w:r w:rsidRPr="00660DCA">
        <w:rPr>
          <w:szCs w:val="24"/>
        </w:rPr>
        <w:t>)</w:t>
      </w:r>
      <w:r w:rsidRPr="00660DCA">
        <w:rPr>
          <w:szCs w:val="24"/>
        </w:rPr>
        <w:tab/>
        <w:t xml:space="preserve">zdůrazňovala, že </w:t>
      </w:r>
      <w:proofErr w:type="spellStart"/>
      <w:r w:rsidRPr="00660DCA">
        <w:rPr>
          <w:szCs w:val="24"/>
        </w:rPr>
        <w:t>femicida</w:t>
      </w:r>
      <w:proofErr w:type="spellEnd"/>
      <w:r w:rsidRPr="00660DCA">
        <w:rPr>
          <w:szCs w:val="24"/>
        </w:rPr>
        <w:t xml:space="preserve">, definovaná jako zabíjení žen a dívek z důvodu jejich genderu, představuje jednu z nejextrémnějších forem genderově podmíněného násilí a zvlášť závažné porušení všeobecných základních práv; důrazně odsoudila neexistenci harmonizované definice tohoto zločinu a přetrvávající nesrovnalosti ve sběru údajů a podávání zpráv o tomto jevu, což znemožňuje účinnou prevenci a tvorbu politiky založenou na důkazech; vyzývala k celosvětovému uznání </w:t>
      </w:r>
      <w:proofErr w:type="spellStart"/>
      <w:r w:rsidRPr="00660DCA">
        <w:rPr>
          <w:szCs w:val="24"/>
        </w:rPr>
        <w:t>femicidy</w:t>
      </w:r>
      <w:proofErr w:type="spellEnd"/>
      <w:r w:rsidRPr="00660DCA">
        <w:rPr>
          <w:szCs w:val="24"/>
        </w:rPr>
        <w:t xml:space="preserve"> jako zločinu a k celosvětovému úsilí o její vymýcení;</w:t>
      </w:r>
    </w:p>
    <w:p w14:paraId="2ADB86BF" w14:textId="51D5BD4B" w:rsidR="00D00375" w:rsidRPr="00660DCA" w:rsidRDefault="00BB0D63" w:rsidP="00660DCA">
      <w:pPr>
        <w:pStyle w:val="NormalHanging12a"/>
        <w:rPr>
          <w:szCs w:val="24"/>
        </w:rPr>
      </w:pPr>
      <w:r w:rsidRPr="00660DCA">
        <w:rPr>
          <w:szCs w:val="24"/>
        </w:rPr>
        <w:t>2.</w:t>
      </w:r>
      <w:r w:rsidRPr="00660DCA">
        <w:rPr>
          <w:szCs w:val="24"/>
        </w:rPr>
        <w:tab/>
        <w:t>pověřuje svou předsedkyni, aby předala toto doporučení Radě, Komisi, místopředsedkyni Komise, vysoké představitelce Unie pro zahraniční věci a bezpečnostní politiku a pro informaci zvláštní zástupkyni Evropské unie pro lidská práva.</w:t>
      </w:r>
    </w:p>
    <w:p w14:paraId="60F4C82B" w14:textId="1FF2B708" w:rsidR="00E365E1" w:rsidRPr="00660DCA" w:rsidRDefault="00E365E1" w:rsidP="00660DCA">
      <w:pPr>
        <w:spacing w:after="240"/>
        <w:rPr>
          <w:szCs w:val="24"/>
        </w:rPr>
      </w:pPr>
    </w:p>
    <w:sectPr w:rsidR="00E365E1" w:rsidRPr="00660DCA" w:rsidSect="00D003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F56F0" w14:textId="77777777" w:rsidR="00E05583" w:rsidRPr="00D00375" w:rsidRDefault="00E05583">
      <w:r w:rsidRPr="00D00375">
        <w:separator/>
      </w:r>
    </w:p>
  </w:endnote>
  <w:endnote w:type="continuationSeparator" w:id="0">
    <w:p w14:paraId="7CE27243" w14:textId="77777777" w:rsidR="00E05583" w:rsidRPr="00D00375" w:rsidRDefault="00E05583">
      <w:r w:rsidRPr="00D003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C7C65" w14:textId="77777777" w:rsidR="00064002" w:rsidRPr="00D003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49046" w14:textId="77777777" w:rsidR="00064002" w:rsidRPr="00D003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93D18" w14:textId="77777777" w:rsidR="00064002" w:rsidRPr="00D003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DD13F" w14:textId="77777777" w:rsidR="00E05583" w:rsidRPr="00D00375" w:rsidRDefault="00E05583">
      <w:r w:rsidRPr="00D00375">
        <w:separator/>
      </w:r>
    </w:p>
  </w:footnote>
  <w:footnote w:type="continuationSeparator" w:id="0">
    <w:p w14:paraId="3E8BF4D6" w14:textId="77777777" w:rsidR="00E05583" w:rsidRPr="00D00375" w:rsidRDefault="00E05583">
      <w:r w:rsidRPr="00D00375">
        <w:continuationSeparator/>
      </w:r>
    </w:p>
  </w:footnote>
  <w:footnote w:id="1">
    <w:p w14:paraId="5310719F" w14:textId="7A2A8B47" w:rsidR="00BB0D63" w:rsidRPr="00D00375" w:rsidRDefault="00BB0D63" w:rsidP="00D00375">
      <w:pPr>
        <w:pStyle w:val="FootnoteText"/>
        <w:ind w:left="567" w:hanging="567"/>
        <w:rPr>
          <w:sz w:val="24"/>
          <w:lang w:val="cs-CZ"/>
        </w:rPr>
      </w:pPr>
      <w:r w:rsidRPr="00D00375">
        <w:rPr>
          <w:rStyle w:val="FootnoteReference"/>
          <w:sz w:val="24"/>
          <w:lang w:val="cs-CZ"/>
        </w:rPr>
        <w:footnoteRef/>
      </w:r>
      <w:r w:rsidR="00D00375" w:rsidRPr="00D00375">
        <w:rPr>
          <w:sz w:val="24"/>
          <w:lang w:val="cs-CZ"/>
        </w:rPr>
        <w:t xml:space="preserve"> </w:t>
      </w:r>
      <w:r w:rsidR="00D00375" w:rsidRPr="00D00375">
        <w:rPr>
          <w:sz w:val="24"/>
          <w:lang w:val="cs-CZ"/>
        </w:rPr>
        <w:tab/>
      </w:r>
      <w:proofErr w:type="spellStart"/>
      <w:r w:rsidRPr="00D00375">
        <w:rPr>
          <w:sz w:val="24"/>
          <w:lang w:val="cs-CZ"/>
        </w:rPr>
        <w:t>Úř</w:t>
      </w:r>
      <w:proofErr w:type="spellEnd"/>
      <w:r w:rsidRPr="00D00375">
        <w:rPr>
          <w:sz w:val="24"/>
          <w:lang w:val="cs-CZ"/>
        </w:rPr>
        <w:t xml:space="preserve">. </w:t>
      </w:r>
      <w:proofErr w:type="spellStart"/>
      <w:r w:rsidRPr="00D00375">
        <w:rPr>
          <w:sz w:val="24"/>
          <w:lang w:val="cs-CZ"/>
        </w:rPr>
        <w:t>věst</w:t>
      </w:r>
      <w:proofErr w:type="spellEnd"/>
      <w:r w:rsidRPr="00D00375">
        <w:rPr>
          <w:sz w:val="24"/>
          <w:lang w:val="cs-CZ"/>
        </w:rPr>
        <w:t>. C, C/2025/1279, 13.3.2025, ELI: </w:t>
      </w:r>
      <w:hyperlink r:id="rId1" w:tgtFrame="_blank" w:tooltip="Umožňuje přístup k tomuto dokumentu prostřednictvím jeho identifikátoru URI v rámci ELI." w:history="1">
        <w:r w:rsidRPr="00D00375">
          <w:rPr>
            <w:rStyle w:val="Hyperlink"/>
            <w:sz w:val="24"/>
            <w:lang w:val="cs-CZ"/>
          </w:rPr>
          <w:t>http://data.europa.eu/</w:t>
        </w:r>
        <w:proofErr w:type="spellStart"/>
        <w:r w:rsidRPr="00D00375">
          <w:rPr>
            <w:rStyle w:val="Hyperlink"/>
            <w:sz w:val="24"/>
            <w:lang w:val="cs-CZ"/>
          </w:rPr>
          <w:t>eli</w:t>
        </w:r>
        <w:proofErr w:type="spellEnd"/>
        <w:r w:rsidRPr="00D00375">
          <w:rPr>
            <w:rStyle w:val="Hyperlink"/>
            <w:sz w:val="24"/>
            <w:lang w:val="cs-CZ"/>
          </w:rPr>
          <w:t>/C/2025/1279/oj</w:t>
        </w:r>
      </w:hyperlink>
      <w:r w:rsidRPr="00D00375">
        <w:rPr>
          <w:sz w:val="24"/>
          <w:lang w:val="cs-CZ"/>
        </w:rPr>
        <w:t>.</w:t>
      </w:r>
    </w:p>
  </w:footnote>
  <w:footnote w:id="2">
    <w:p w14:paraId="38E3C2B2" w14:textId="7C8BB331" w:rsidR="00BB0D63" w:rsidRPr="00D00375" w:rsidRDefault="00BB0D63" w:rsidP="00D00375">
      <w:pPr>
        <w:pStyle w:val="FootnoteText"/>
        <w:ind w:left="567" w:hanging="567"/>
        <w:rPr>
          <w:sz w:val="24"/>
          <w:lang w:val="cs-CZ"/>
        </w:rPr>
      </w:pPr>
      <w:r w:rsidRPr="00D00375">
        <w:rPr>
          <w:rStyle w:val="FootnoteReference"/>
          <w:sz w:val="24"/>
          <w:lang w:val="cs-CZ"/>
        </w:rPr>
        <w:footnoteRef/>
      </w:r>
      <w:r w:rsidR="00D00375" w:rsidRPr="00D00375">
        <w:rPr>
          <w:sz w:val="24"/>
          <w:lang w:val="cs-CZ"/>
        </w:rPr>
        <w:t xml:space="preserve"> </w:t>
      </w:r>
      <w:r w:rsidR="00D00375" w:rsidRPr="00D00375">
        <w:rPr>
          <w:sz w:val="24"/>
          <w:lang w:val="cs-CZ"/>
        </w:rPr>
        <w:tab/>
      </w:r>
      <w:r w:rsidRPr="00D00375">
        <w:rPr>
          <w:sz w:val="24"/>
          <w:lang w:val="cs-CZ"/>
        </w:rPr>
        <w:t>Přijaté texty, P10_</w:t>
      </w:r>
      <w:proofErr w:type="gramStart"/>
      <w:r w:rsidRPr="00D00375">
        <w:rPr>
          <w:sz w:val="24"/>
          <w:lang w:val="cs-CZ"/>
        </w:rPr>
        <w:t>TA(</w:t>
      </w:r>
      <w:proofErr w:type="gramEnd"/>
      <w:r w:rsidRPr="00D00375">
        <w:rPr>
          <w:sz w:val="24"/>
          <w:lang w:val="cs-CZ"/>
        </w:rPr>
        <w:t>2025)0278.</w:t>
      </w:r>
    </w:p>
  </w:footnote>
  <w:footnote w:id="3">
    <w:p w14:paraId="14B0E9A7" w14:textId="711DD21C" w:rsidR="00BB0D63" w:rsidRPr="00D00375" w:rsidRDefault="00BB0D63" w:rsidP="00D00375">
      <w:pPr>
        <w:pStyle w:val="FootnoteText"/>
        <w:ind w:left="567" w:hanging="567"/>
        <w:rPr>
          <w:sz w:val="24"/>
          <w:lang w:val="cs-CZ"/>
        </w:rPr>
      </w:pPr>
      <w:r w:rsidRPr="00D00375">
        <w:rPr>
          <w:rStyle w:val="FootnoteReference"/>
          <w:sz w:val="24"/>
          <w:lang w:val="cs-CZ"/>
        </w:rPr>
        <w:footnoteRef/>
      </w:r>
      <w:r w:rsidR="00D00375" w:rsidRPr="00D00375">
        <w:rPr>
          <w:sz w:val="24"/>
          <w:lang w:val="cs-CZ"/>
        </w:rPr>
        <w:t xml:space="preserve"> </w:t>
      </w:r>
      <w:r w:rsidR="00D00375" w:rsidRPr="00D00375">
        <w:rPr>
          <w:sz w:val="24"/>
          <w:lang w:val="cs-CZ"/>
        </w:rPr>
        <w:tab/>
      </w:r>
      <w:proofErr w:type="spellStart"/>
      <w:r w:rsidRPr="00D00375">
        <w:rPr>
          <w:sz w:val="24"/>
          <w:lang w:val="cs-CZ"/>
        </w:rPr>
        <w:t>Úř</w:t>
      </w:r>
      <w:proofErr w:type="spellEnd"/>
      <w:r w:rsidRPr="00D00375">
        <w:rPr>
          <w:sz w:val="24"/>
          <w:lang w:val="cs-CZ"/>
        </w:rPr>
        <w:t xml:space="preserve">. </w:t>
      </w:r>
      <w:proofErr w:type="spellStart"/>
      <w:r w:rsidRPr="00D00375">
        <w:rPr>
          <w:sz w:val="24"/>
          <w:lang w:val="cs-CZ"/>
        </w:rPr>
        <w:t>věst</w:t>
      </w:r>
      <w:proofErr w:type="spellEnd"/>
      <w:r w:rsidRPr="00D00375">
        <w:rPr>
          <w:sz w:val="24"/>
          <w:lang w:val="cs-CZ"/>
        </w:rPr>
        <w:t xml:space="preserve">. L 315, 14.11.2012, s. 57, ELI: </w:t>
      </w:r>
      <w:hyperlink r:id="rId2" w:history="1">
        <w:r w:rsidRPr="00D00375">
          <w:rPr>
            <w:rStyle w:val="Hyperlink"/>
            <w:sz w:val="24"/>
            <w:lang w:val="cs-CZ"/>
          </w:rPr>
          <w:t>http://data.europa.eu/eli/dir/2012/29/oj</w:t>
        </w:r>
      </w:hyperlink>
      <w:r w:rsidRPr="00D00375">
        <w:rPr>
          <w:sz w:val="24"/>
          <w:lang w:val="cs-CZ"/>
        </w:rPr>
        <w:t>.</w:t>
      </w:r>
    </w:p>
  </w:footnote>
  <w:footnote w:id="4">
    <w:p w14:paraId="62006DFA" w14:textId="20126C1E" w:rsidR="00BB0D63" w:rsidRPr="00D00375" w:rsidRDefault="00BB0D63" w:rsidP="00D00375">
      <w:pPr>
        <w:pStyle w:val="FootnoteText"/>
        <w:ind w:left="567" w:hanging="567"/>
        <w:rPr>
          <w:sz w:val="24"/>
          <w:lang w:val="cs-CZ"/>
        </w:rPr>
      </w:pPr>
      <w:r w:rsidRPr="00D00375">
        <w:rPr>
          <w:rStyle w:val="FootnoteReference"/>
          <w:sz w:val="24"/>
          <w:lang w:val="cs-CZ"/>
        </w:rPr>
        <w:footnoteRef/>
      </w:r>
      <w:r w:rsidR="00D00375" w:rsidRPr="00D00375">
        <w:rPr>
          <w:sz w:val="24"/>
          <w:lang w:val="cs-CZ"/>
        </w:rPr>
        <w:t xml:space="preserve"> </w:t>
      </w:r>
      <w:r w:rsidR="00D00375" w:rsidRPr="00D00375">
        <w:rPr>
          <w:sz w:val="24"/>
          <w:lang w:val="cs-CZ"/>
        </w:rPr>
        <w:tab/>
      </w:r>
      <w:proofErr w:type="spellStart"/>
      <w:r w:rsidRPr="00D00375">
        <w:rPr>
          <w:sz w:val="24"/>
          <w:lang w:val="cs-CZ"/>
        </w:rPr>
        <w:t>Úř</w:t>
      </w:r>
      <w:proofErr w:type="spellEnd"/>
      <w:r w:rsidRPr="00D00375">
        <w:rPr>
          <w:sz w:val="24"/>
          <w:lang w:val="cs-CZ"/>
        </w:rPr>
        <w:t xml:space="preserve">. </w:t>
      </w:r>
      <w:proofErr w:type="spellStart"/>
      <w:r w:rsidRPr="00D00375">
        <w:rPr>
          <w:sz w:val="24"/>
          <w:lang w:val="cs-CZ"/>
        </w:rPr>
        <w:t>věst</w:t>
      </w:r>
      <w:proofErr w:type="spellEnd"/>
      <w:r w:rsidRPr="00D00375">
        <w:rPr>
          <w:sz w:val="24"/>
          <w:lang w:val="cs-CZ"/>
        </w:rPr>
        <w:t>. L, 2024/1385, 24.5.2024, ELI: </w:t>
      </w:r>
      <w:hyperlink r:id="rId3" w:tgtFrame="_blank" w:tooltip="Umožňuje přístup k tomuto dokumentu prostřednictvím jeho identifikátoru URI v rámci ELI." w:history="1">
        <w:r w:rsidRPr="00D00375">
          <w:rPr>
            <w:rStyle w:val="Hyperlink"/>
            <w:sz w:val="24"/>
            <w:lang w:val="cs-CZ"/>
          </w:rPr>
          <w:t>http://data.europa.eu/eli/dir/2024/1385/oj</w:t>
        </w:r>
      </w:hyperlink>
      <w:r w:rsidRPr="00D00375">
        <w:rPr>
          <w:sz w:val="24"/>
          <w:lang w:val="cs-CZ"/>
        </w:rPr>
        <w:t>.</w:t>
      </w:r>
    </w:p>
  </w:footnote>
  <w:footnote w:id="5">
    <w:p w14:paraId="45880682" w14:textId="247A388F" w:rsidR="00BB0D63" w:rsidRPr="00D00375" w:rsidRDefault="00BB0D63" w:rsidP="00D00375">
      <w:pPr>
        <w:pStyle w:val="FootnoteText"/>
        <w:ind w:left="567" w:hanging="567"/>
        <w:rPr>
          <w:sz w:val="24"/>
          <w:lang w:val="cs-CZ"/>
        </w:rPr>
      </w:pPr>
      <w:r w:rsidRPr="00D00375">
        <w:rPr>
          <w:rStyle w:val="FootnoteReference"/>
          <w:sz w:val="24"/>
          <w:lang w:val="cs-CZ"/>
        </w:rPr>
        <w:footnoteRef/>
      </w:r>
      <w:r w:rsidR="00D00375" w:rsidRPr="00D00375">
        <w:rPr>
          <w:sz w:val="24"/>
          <w:lang w:val="cs-CZ"/>
        </w:rPr>
        <w:t xml:space="preserve"> </w:t>
      </w:r>
      <w:r w:rsidR="00D00375" w:rsidRPr="00D00375">
        <w:rPr>
          <w:sz w:val="24"/>
          <w:lang w:val="cs-CZ"/>
        </w:rPr>
        <w:tab/>
      </w:r>
      <w:hyperlink r:id="rId4" w:history="1">
        <w:r w:rsidRPr="000404EB">
          <w:rPr>
            <w:rStyle w:val="Hyperlink"/>
            <w:sz w:val="24"/>
            <w:lang w:val="cs-CZ"/>
          </w:rPr>
          <w:t>https://documents.un.org/doc/undoc/gen/g24/073/47/pdf/g2407347.pdf</w:t>
        </w:r>
      </w:hyperlink>
      <w:r w:rsidRPr="00D00375">
        <w:rPr>
          <w:sz w:val="24"/>
          <w:lang w:val="cs-CZ"/>
        </w:rPr>
        <w:t>.</w:t>
      </w:r>
    </w:p>
  </w:footnote>
  <w:footnote w:id="6">
    <w:p w14:paraId="0E6E7847" w14:textId="63BE4A25" w:rsidR="00BB0D63" w:rsidRPr="00D00375" w:rsidRDefault="00BB0D63" w:rsidP="00D00375">
      <w:pPr>
        <w:pStyle w:val="FootnoteText"/>
        <w:ind w:left="567" w:hanging="567"/>
        <w:rPr>
          <w:sz w:val="24"/>
          <w:lang w:val="cs-CZ"/>
        </w:rPr>
      </w:pPr>
      <w:r w:rsidRPr="00D00375">
        <w:rPr>
          <w:rStyle w:val="FootnoteReference"/>
          <w:sz w:val="24"/>
          <w:lang w:val="cs-CZ"/>
        </w:rPr>
        <w:footnoteRef/>
      </w:r>
      <w:r w:rsidR="00D00375" w:rsidRPr="00D00375">
        <w:rPr>
          <w:sz w:val="24"/>
          <w:lang w:val="cs-CZ"/>
        </w:rPr>
        <w:t xml:space="preserve"> </w:t>
      </w:r>
      <w:r w:rsidR="00D00375" w:rsidRPr="00D00375">
        <w:rPr>
          <w:sz w:val="24"/>
          <w:lang w:val="cs-CZ"/>
        </w:rPr>
        <w:tab/>
      </w:r>
      <w:r w:rsidRPr="00D00375">
        <w:rPr>
          <w:sz w:val="24"/>
          <w:lang w:val="cs-CZ"/>
        </w:rPr>
        <w:t xml:space="preserve">UN </w:t>
      </w:r>
      <w:proofErr w:type="spellStart"/>
      <w:r w:rsidRPr="00D00375">
        <w:rPr>
          <w:sz w:val="24"/>
          <w:lang w:val="cs-CZ"/>
        </w:rPr>
        <w:t>Women</w:t>
      </w:r>
      <w:proofErr w:type="spellEnd"/>
      <w:r w:rsidRPr="00D00375">
        <w:rPr>
          <w:sz w:val="24"/>
          <w:lang w:val="cs-CZ"/>
        </w:rPr>
        <w:t xml:space="preserve">, „Handbook </w:t>
      </w:r>
      <w:proofErr w:type="spellStart"/>
      <w:r w:rsidRPr="00D00375">
        <w:rPr>
          <w:sz w:val="24"/>
          <w:lang w:val="cs-CZ"/>
        </w:rPr>
        <w:t>for</w:t>
      </w:r>
      <w:proofErr w:type="spellEnd"/>
      <w:r w:rsidRPr="00D00375">
        <w:rPr>
          <w:sz w:val="24"/>
          <w:lang w:val="cs-CZ"/>
        </w:rPr>
        <w:t xml:space="preserve"> </w:t>
      </w:r>
      <w:proofErr w:type="spellStart"/>
      <w:r w:rsidRPr="00D00375">
        <w:rPr>
          <w:sz w:val="24"/>
          <w:lang w:val="cs-CZ"/>
        </w:rPr>
        <w:t>National</w:t>
      </w:r>
      <w:proofErr w:type="spellEnd"/>
      <w:r w:rsidRPr="00D00375">
        <w:rPr>
          <w:sz w:val="24"/>
          <w:lang w:val="cs-CZ"/>
        </w:rPr>
        <w:t xml:space="preserve"> </w:t>
      </w:r>
      <w:proofErr w:type="spellStart"/>
      <w:r w:rsidRPr="00D00375">
        <w:rPr>
          <w:sz w:val="24"/>
          <w:lang w:val="cs-CZ"/>
        </w:rPr>
        <w:t>Action</w:t>
      </w:r>
      <w:proofErr w:type="spellEnd"/>
      <w:r w:rsidRPr="00D00375">
        <w:rPr>
          <w:sz w:val="24"/>
          <w:lang w:val="cs-CZ"/>
        </w:rPr>
        <w:t xml:space="preserve"> </w:t>
      </w:r>
      <w:proofErr w:type="spellStart"/>
      <w:r w:rsidRPr="00D00375">
        <w:rPr>
          <w:sz w:val="24"/>
          <w:lang w:val="cs-CZ"/>
        </w:rPr>
        <w:t>Plans</w:t>
      </w:r>
      <w:proofErr w:type="spellEnd"/>
      <w:r w:rsidRPr="00D00375">
        <w:rPr>
          <w:sz w:val="24"/>
          <w:lang w:val="cs-CZ"/>
        </w:rPr>
        <w:t xml:space="preserve"> on </w:t>
      </w:r>
      <w:proofErr w:type="spellStart"/>
      <w:r w:rsidRPr="00D00375">
        <w:rPr>
          <w:sz w:val="24"/>
          <w:lang w:val="cs-CZ"/>
        </w:rPr>
        <w:t>Violence</w:t>
      </w:r>
      <w:proofErr w:type="spellEnd"/>
      <w:r w:rsidRPr="00D00375">
        <w:rPr>
          <w:sz w:val="24"/>
          <w:lang w:val="cs-CZ"/>
        </w:rPr>
        <w:t xml:space="preserve"> </w:t>
      </w:r>
      <w:proofErr w:type="spellStart"/>
      <w:r w:rsidRPr="00D00375">
        <w:rPr>
          <w:sz w:val="24"/>
          <w:lang w:val="cs-CZ"/>
        </w:rPr>
        <w:t>against</w:t>
      </w:r>
      <w:proofErr w:type="spellEnd"/>
      <w:r w:rsidRPr="00D00375">
        <w:rPr>
          <w:sz w:val="24"/>
          <w:lang w:val="cs-CZ"/>
        </w:rPr>
        <w:t xml:space="preserve"> </w:t>
      </w:r>
      <w:proofErr w:type="spellStart"/>
      <w:r w:rsidRPr="00D00375">
        <w:rPr>
          <w:sz w:val="24"/>
          <w:lang w:val="cs-CZ"/>
        </w:rPr>
        <w:t>Women</w:t>
      </w:r>
      <w:proofErr w:type="spellEnd"/>
      <w:r w:rsidRPr="00D00375">
        <w:rPr>
          <w:sz w:val="24"/>
          <w:lang w:val="cs-CZ"/>
        </w:rPr>
        <w:t>“ (Příručka pro národní akční plány týkající se násilí páchaného na ženách), 2012.</w:t>
      </w:r>
    </w:p>
  </w:footnote>
  <w:footnote w:id="7">
    <w:p w14:paraId="3F090779" w14:textId="33633210" w:rsidR="00BB0D63" w:rsidRPr="00D00375" w:rsidRDefault="00BB0D63" w:rsidP="00D00375">
      <w:pPr>
        <w:pStyle w:val="FootnoteText"/>
        <w:ind w:left="567" w:hanging="567"/>
        <w:rPr>
          <w:sz w:val="24"/>
          <w:lang w:val="cs-CZ"/>
        </w:rPr>
      </w:pPr>
      <w:r w:rsidRPr="00D00375">
        <w:rPr>
          <w:rStyle w:val="FootnoteReference"/>
          <w:sz w:val="24"/>
          <w:lang w:val="cs-CZ"/>
        </w:rPr>
        <w:footnoteRef/>
      </w:r>
      <w:r w:rsidR="00D00375" w:rsidRPr="00D00375">
        <w:rPr>
          <w:sz w:val="24"/>
          <w:lang w:val="cs-CZ"/>
        </w:rPr>
        <w:t xml:space="preserve"> </w:t>
      </w:r>
      <w:r w:rsidR="00D00375" w:rsidRPr="00D00375">
        <w:rPr>
          <w:sz w:val="24"/>
          <w:lang w:val="cs-CZ"/>
        </w:rPr>
        <w:tab/>
      </w:r>
      <w:r w:rsidRPr="00D00375">
        <w:rPr>
          <w:sz w:val="24"/>
          <w:lang w:val="cs-CZ"/>
        </w:rPr>
        <w:t>Studie „</w:t>
      </w:r>
      <w:proofErr w:type="spellStart"/>
      <w:r w:rsidRPr="00D00375">
        <w:rPr>
          <w:sz w:val="24"/>
          <w:lang w:val="cs-CZ"/>
        </w:rPr>
        <w:t>Women’s</w:t>
      </w:r>
      <w:proofErr w:type="spellEnd"/>
      <w:r w:rsidRPr="00D00375">
        <w:rPr>
          <w:sz w:val="24"/>
          <w:lang w:val="cs-CZ"/>
        </w:rPr>
        <w:t xml:space="preserve"> role in </w:t>
      </w:r>
      <w:proofErr w:type="spellStart"/>
      <w:r w:rsidRPr="00D00375">
        <w:rPr>
          <w:sz w:val="24"/>
          <w:lang w:val="cs-CZ"/>
        </w:rPr>
        <w:t>peace</w:t>
      </w:r>
      <w:proofErr w:type="spellEnd"/>
      <w:r w:rsidRPr="00D00375">
        <w:rPr>
          <w:sz w:val="24"/>
          <w:lang w:val="cs-CZ"/>
        </w:rPr>
        <w:t xml:space="preserve"> </w:t>
      </w:r>
      <w:proofErr w:type="spellStart"/>
      <w:r w:rsidRPr="00D00375">
        <w:rPr>
          <w:sz w:val="24"/>
          <w:lang w:val="cs-CZ"/>
        </w:rPr>
        <w:t>processes</w:t>
      </w:r>
      <w:proofErr w:type="spellEnd"/>
      <w:r w:rsidRPr="00D00375">
        <w:rPr>
          <w:sz w:val="24"/>
          <w:lang w:val="cs-CZ"/>
        </w:rPr>
        <w:t>“ (Úloha žen v mírových procesech), Evropský parlament, generální ředitelství pro vnitřní politiky Unie, tematická sekce Občanská práva a ústavní záležitosti, květen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168E6" w14:textId="77777777" w:rsidR="00064002" w:rsidRPr="00D003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6053" w14:textId="77777777" w:rsidR="00064002" w:rsidRPr="00D003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C595E" w14:textId="77777777" w:rsidR="00064002" w:rsidRPr="00D003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D90B9F"/>
    <w:multiLevelType w:val="hybridMultilevel"/>
    <w:tmpl w:val="2D185E4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DF5FFC"/>
    <w:multiLevelType w:val="hybridMultilevel"/>
    <w:tmpl w:val="3ED85424"/>
    <w:lvl w:ilvl="0" w:tplc="049AD32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733C1"/>
    <w:multiLevelType w:val="hybridMultilevel"/>
    <w:tmpl w:val="82A8040E"/>
    <w:lvl w:ilvl="0" w:tplc="B4A24A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525B2F11"/>
    <w:multiLevelType w:val="hybridMultilevel"/>
    <w:tmpl w:val="C00CFD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18843">
    <w:abstractNumId w:val="9"/>
  </w:num>
  <w:num w:numId="2" w16cid:durableId="212927722">
    <w:abstractNumId w:val="9"/>
  </w:num>
  <w:num w:numId="3" w16cid:durableId="346758451">
    <w:abstractNumId w:val="7"/>
  </w:num>
  <w:num w:numId="4" w16cid:durableId="1939167593">
    <w:abstractNumId w:val="7"/>
  </w:num>
  <w:num w:numId="5" w16cid:durableId="1029918344">
    <w:abstractNumId w:val="6"/>
  </w:num>
  <w:num w:numId="6" w16cid:durableId="1763255232">
    <w:abstractNumId w:val="6"/>
  </w:num>
  <w:num w:numId="7" w16cid:durableId="570316511">
    <w:abstractNumId w:val="5"/>
  </w:num>
  <w:num w:numId="8" w16cid:durableId="2039381196">
    <w:abstractNumId w:val="5"/>
  </w:num>
  <w:num w:numId="9" w16cid:durableId="1278948182">
    <w:abstractNumId w:val="4"/>
  </w:num>
  <w:num w:numId="10" w16cid:durableId="984285804">
    <w:abstractNumId w:val="4"/>
  </w:num>
  <w:num w:numId="11" w16cid:durableId="879516392">
    <w:abstractNumId w:val="8"/>
  </w:num>
  <w:num w:numId="12" w16cid:durableId="85537322">
    <w:abstractNumId w:val="8"/>
  </w:num>
  <w:num w:numId="13" w16cid:durableId="277491756">
    <w:abstractNumId w:val="3"/>
  </w:num>
  <w:num w:numId="14" w16cid:durableId="135072986">
    <w:abstractNumId w:val="3"/>
  </w:num>
  <w:num w:numId="15" w16cid:durableId="2075346277">
    <w:abstractNumId w:val="2"/>
  </w:num>
  <w:num w:numId="16" w16cid:durableId="356780058">
    <w:abstractNumId w:val="2"/>
  </w:num>
  <w:num w:numId="17" w16cid:durableId="776019305">
    <w:abstractNumId w:val="1"/>
  </w:num>
  <w:num w:numId="18" w16cid:durableId="130949019">
    <w:abstractNumId w:val="1"/>
  </w:num>
  <w:num w:numId="19" w16cid:durableId="1054699830">
    <w:abstractNumId w:val="0"/>
  </w:num>
  <w:num w:numId="20" w16cid:durableId="1280911635">
    <w:abstractNumId w:val="0"/>
  </w:num>
  <w:num w:numId="21" w16cid:durableId="679089230">
    <w:abstractNumId w:val="9"/>
  </w:num>
  <w:num w:numId="22" w16cid:durableId="1969778607">
    <w:abstractNumId w:val="7"/>
  </w:num>
  <w:num w:numId="23" w16cid:durableId="142695315">
    <w:abstractNumId w:val="6"/>
  </w:num>
  <w:num w:numId="24" w16cid:durableId="1797528250">
    <w:abstractNumId w:val="5"/>
  </w:num>
  <w:num w:numId="25" w16cid:durableId="1032223680">
    <w:abstractNumId w:val="4"/>
  </w:num>
  <w:num w:numId="26" w16cid:durableId="1594515369">
    <w:abstractNumId w:val="8"/>
  </w:num>
  <w:num w:numId="27" w16cid:durableId="1940942273">
    <w:abstractNumId w:val="3"/>
  </w:num>
  <w:num w:numId="28" w16cid:durableId="238443969">
    <w:abstractNumId w:val="2"/>
  </w:num>
  <w:num w:numId="29" w16cid:durableId="1853954543">
    <w:abstractNumId w:val="1"/>
  </w:num>
  <w:num w:numId="30" w16cid:durableId="1186866791">
    <w:abstractNumId w:val="0"/>
  </w:num>
  <w:num w:numId="31" w16cid:durableId="1584948799">
    <w:abstractNumId w:val="9"/>
  </w:num>
  <w:num w:numId="32" w16cid:durableId="52235633">
    <w:abstractNumId w:val="7"/>
  </w:num>
  <w:num w:numId="33" w16cid:durableId="1042292355">
    <w:abstractNumId w:val="6"/>
  </w:num>
  <w:num w:numId="34" w16cid:durableId="1087388724">
    <w:abstractNumId w:val="5"/>
  </w:num>
  <w:num w:numId="35" w16cid:durableId="486870200">
    <w:abstractNumId w:val="4"/>
  </w:num>
  <w:num w:numId="36" w16cid:durableId="900942522">
    <w:abstractNumId w:val="8"/>
  </w:num>
  <w:num w:numId="37" w16cid:durableId="850146183">
    <w:abstractNumId w:val="3"/>
  </w:num>
  <w:num w:numId="38" w16cid:durableId="101148637">
    <w:abstractNumId w:val="2"/>
  </w:num>
  <w:num w:numId="39" w16cid:durableId="58135920">
    <w:abstractNumId w:val="1"/>
  </w:num>
  <w:num w:numId="40" w16cid:durableId="1144347691">
    <w:abstractNumId w:val="0"/>
  </w:num>
  <w:num w:numId="41" w16cid:durableId="1721786465">
    <w:abstractNumId w:val="10"/>
  </w:num>
  <w:num w:numId="42" w16cid:durableId="795759402">
    <w:abstractNumId w:val="10"/>
  </w:num>
  <w:num w:numId="43" w16cid:durableId="1255476318">
    <w:abstractNumId w:val="10"/>
  </w:num>
  <w:num w:numId="44" w16cid:durableId="114376126">
    <w:abstractNumId w:val="14"/>
  </w:num>
  <w:num w:numId="45" w16cid:durableId="184441767">
    <w:abstractNumId w:val="13"/>
  </w:num>
  <w:num w:numId="46" w16cid:durableId="6540733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642819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121509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0/2026"/>
    <w:docVar w:name="dvlangue" w:val="CS"/>
    <w:docVar w:name="dvnumam" w:val="0"/>
    <w:docVar w:name="dvpe" w:val="776.895"/>
    <w:docVar w:name="dvrapporteur" w:val="Zpravodajka: "/>
    <w:docVar w:name="dvtitre" w:val="Doporučení Evropského parlamentu Radě ze dne ... o doporučení Evropského parlamentu Radě k prioritám EU pro 70. zasedání Komise OSN pro postavení žen(2025/2240(INI))"/>
  </w:docVars>
  <w:rsids>
    <w:rsidRoot w:val="00E05583"/>
    <w:rsid w:val="00002272"/>
    <w:rsid w:val="000404EB"/>
    <w:rsid w:val="00064002"/>
    <w:rsid w:val="000677B9"/>
    <w:rsid w:val="0007661B"/>
    <w:rsid w:val="000831BA"/>
    <w:rsid w:val="000A42CC"/>
    <w:rsid w:val="000E7DD9"/>
    <w:rsid w:val="0010095E"/>
    <w:rsid w:val="00125B37"/>
    <w:rsid w:val="00187494"/>
    <w:rsid w:val="001F32AE"/>
    <w:rsid w:val="00270CBE"/>
    <w:rsid w:val="002767FF"/>
    <w:rsid w:val="002B18FE"/>
    <w:rsid w:val="002B5493"/>
    <w:rsid w:val="002B7564"/>
    <w:rsid w:val="002D3DD2"/>
    <w:rsid w:val="00343214"/>
    <w:rsid w:val="00361C00"/>
    <w:rsid w:val="00371DE2"/>
    <w:rsid w:val="00385D86"/>
    <w:rsid w:val="00395FA1"/>
    <w:rsid w:val="003C0225"/>
    <w:rsid w:val="003E1216"/>
    <w:rsid w:val="003E15D4"/>
    <w:rsid w:val="00411CCE"/>
    <w:rsid w:val="0041666E"/>
    <w:rsid w:val="00421060"/>
    <w:rsid w:val="00460355"/>
    <w:rsid w:val="00471C19"/>
    <w:rsid w:val="00481D32"/>
    <w:rsid w:val="004867E3"/>
    <w:rsid w:val="00494A28"/>
    <w:rsid w:val="004B0D7D"/>
    <w:rsid w:val="004C0004"/>
    <w:rsid w:val="004C5D52"/>
    <w:rsid w:val="0050519A"/>
    <w:rsid w:val="005072A1"/>
    <w:rsid w:val="00514517"/>
    <w:rsid w:val="00545827"/>
    <w:rsid w:val="00560270"/>
    <w:rsid w:val="005C2568"/>
    <w:rsid w:val="005D2210"/>
    <w:rsid w:val="005F1B17"/>
    <w:rsid w:val="006037C0"/>
    <w:rsid w:val="00660DCA"/>
    <w:rsid w:val="006631B6"/>
    <w:rsid w:val="00680577"/>
    <w:rsid w:val="006E5CA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561"/>
    <w:rsid w:val="00842779"/>
    <w:rsid w:val="00865F67"/>
    <w:rsid w:val="00870906"/>
    <w:rsid w:val="00881A7B"/>
    <w:rsid w:val="008840E5"/>
    <w:rsid w:val="00887B3E"/>
    <w:rsid w:val="008C2AC6"/>
    <w:rsid w:val="008D66D3"/>
    <w:rsid w:val="008E7C7C"/>
    <w:rsid w:val="00930C23"/>
    <w:rsid w:val="0093193B"/>
    <w:rsid w:val="009509D8"/>
    <w:rsid w:val="00950B64"/>
    <w:rsid w:val="00956269"/>
    <w:rsid w:val="0095680B"/>
    <w:rsid w:val="00981893"/>
    <w:rsid w:val="00A1687D"/>
    <w:rsid w:val="00A43E52"/>
    <w:rsid w:val="00A4678D"/>
    <w:rsid w:val="00A60F7E"/>
    <w:rsid w:val="00A778C7"/>
    <w:rsid w:val="00AB441E"/>
    <w:rsid w:val="00AB6293"/>
    <w:rsid w:val="00AE0928"/>
    <w:rsid w:val="00AF3B82"/>
    <w:rsid w:val="00B12E95"/>
    <w:rsid w:val="00B22876"/>
    <w:rsid w:val="00B558F0"/>
    <w:rsid w:val="00BB0D63"/>
    <w:rsid w:val="00BC1884"/>
    <w:rsid w:val="00BD48FE"/>
    <w:rsid w:val="00BD7BD8"/>
    <w:rsid w:val="00BE6ADC"/>
    <w:rsid w:val="00C05BFE"/>
    <w:rsid w:val="00C23CD4"/>
    <w:rsid w:val="00C57432"/>
    <w:rsid w:val="00C61C0C"/>
    <w:rsid w:val="00C941CB"/>
    <w:rsid w:val="00CC2357"/>
    <w:rsid w:val="00CE0076"/>
    <w:rsid w:val="00CF071A"/>
    <w:rsid w:val="00D00375"/>
    <w:rsid w:val="00D058B8"/>
    <w:rsid w:val="00D56C11"/>
    <w:rsid w:val="00D834A0"/>
    <w:rsid w:val="00D852A3"/>
    <w:rsid w:val="00D872DF"/>
    <w:rsid w:val="00D91E21"/>
    <w:rsid w:val="00DA7FCD"/>
    <w:rsid w:val="00DC6955"/>
    <w:rsid w:val="00E05583"/>
    <w:rsid w:val="00E22FF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CA5"/>
    <w:rsid w:val="00F87713"/>
    <w:rsid w:val="00FB4360"/>
    <w:rsid w:val="00FB785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57D77"/>
  <w15:chartTrackingRefBased/>
  <w15:docId w15:val="{6AFBB5DD-9E1A-4A03-BC4D-FDC0D3C2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B0D6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B0D6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B0D6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B0D6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B0D6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B0D6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BB0D6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B0D6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B0D6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BB0D6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B0D6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B0D63"/>
    <w:pPr>
      <w:spacing w:before="480" w:after="240"/>
    </w:pPr>
  </w:style>
  <w:style w:type="paragraph" w:customStyle="1" w:styleId="TOCPage">
    <w:name w:val="TOC Page"/>
    <w:basedOn w:val="Normal"/>
    <w:next w:val="TOC1"/>
    <w:rsid w:val="00BB0D6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B0D6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B0D63"/>
    <w:rPr>
      <w:b/>
    </w:rPr>
  </w:style>
  <w:style w:type="paragraph" w:customStyle="1" w:styleId="NormalHanging12a">
    <w:name w:val="NormalHanging12a"/>
    <w:basedOn w:val="Normal"/>
    <w:link w:val="NormalHanging12aChar"/>
    <w:rsid w:val="00BB0D6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B0D63"/>
    <w:pPr>
      <w:spacing w:after="480"/>
      <w:ind w:left="1417"/>
    </w:pPr>
  </w:style>
  <w:style w:type="paragraph" w:customStyle="1" w:styleId="CoverNormal">
    <w:name w:val="CoverNormal"/>
    <w:basedOn w:val="Normal"/>
    <w:rsid w:val="00BB0D63"/>
    <w:pPr>
      <w:ind w:left="1418"/>
    </w:pPr>
  </w:style>
  <w:style w:type="paragraph" w:customStyle="1" w:styleId="CoverReference">
    <w:name w:val="CoverReference"/>
    <w:basedOn w:val="Normal"/>
    <w:rsid w:val="00BB0D6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BB0D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B0D63"/>
    <w:pPr>
      <w:spacing w:before="240" w:after="1200"/>
    </w:pPr>
  </w:style>
  <w:style w:type="paragraph" w:styleId="Header">
    <w:name w:val="header"/>
    <w:basedOn w:val="Normal"/>
    <w:link w:val="HeaderChar"/>
    <w:rsid w:val="00BB0D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0D63"/>
    <w:rPr>
      <w:sz w:val="24"/>
      <w:lang w:val="cs-CZ"/>
    </w:rPr>
  </w:style>
  <w:style w:type="paragraph" w:customStyle="1" w:styleId="EPBody">
    <w:name w:val="EPBody"/>
    <w:basedOn w:val="Normal"/>
    <w:rsid w:val="00BB0D6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B0D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HangingLeft12a">
    <w:name w:val="NormalHangingLeft12a"/>
    <w:basedOn w:val="Normal"/>
    <w:rsid w:val="00BB0D63"/>
    <w:pPr>
      <w:spacing w:after="240"/>
      <w:ind w:left="1134" w:hanging="567"/>
    </w:pPr>
  </w:style>
  <w:style w:type="paragraph" w:customStyle="1" w:styleId="Normal12a">
    <w:name w:val="Normal12a"/>
    <w:basedOn w:val="Normal"/>
    <w:rsid w:val="00BB0D63"/>
    <w:pPr>
      <w:spacing w:after="240"/>
    </w:pPr>
  </w:style>
  <w:style w:type="paragraph" w:styleId="ListParagraph">
    <w:name w:val="List Paragraph"/>
    <w:basedOn w:val="Normal"/>
    <w:uiPriority w:val="34"/>
    <w:qFormat/>
    <w:rsid w:val="00BB0D63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BB0D63"/>
    <w:rPr>
      <w:sz w:val="24"/>
      <w:lang w:val="cs-CZ"/>
    </w:rPr>
  </w:style>
  <w:style w:type="paragraph" w:customStyle="1" w:styleId="Action">
    <w:name w:val="Action"/>
    <w:basedOn w:val="Normal"/>
    <w:rsid w:val="00BB0D63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er">
    <w:name w:val="footer"/>
    <w:basedOn w:val="Normal"/>
    <w:link w:val="FooterChar"/>
    <w:rsid w:val="00BB0D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B0D63"/>
    <w:rPr>
      <w:sz w:val="24"/>
      <w:lang w:val="cs-CZ"/>
    </w:rPr>
  </w:style>
  <w:style w:type="paragraph" w:styleId="Revision">
    <w:name w:val="Revision"/>
    <w:hidden/>
    <w:uiPriority w:val="99"/>
    <w:semiHidden/>
    <w:rsid w:val="00BB0D63"/>
    <w:rPr>
      <w:sz w:val="24"/>
      <w:lang w:val="cs-CZ"/>
    </w:rPr>
  </w:style>
  <w:style w:type="character" w:styleId="CommentReference">
    <w:name w:val="annotation reference"/>
    <w:basedOn w:val="DefaultParagraphFont"/>
    <w:rsid w:val="00BB0D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0D6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0D6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B0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0D63"/>
    <w:rPr>
      <w:b/>
      <w:bCs/>
      <w:lang w:val="cs-CZ"/>
    </w:rPr>
  </w:style>
  <w:style w:type="character" w:styleId="Hyperlink">
    <w:name w:val="Hyperlink"/>
    <w:basedOn w:val="DefaultParagraphFont"/>
    <w:rsid w:val="00BB0D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D63"/>
    <w:rPr>
      <w:color w:val="605E5C"/>
      <w:shd w:val="clear" w:color="auto" w:fill="E1DFDD"/>
    </w:rPr>
  </w:style>
  <w:style w:type="paragraph" w:customStyle="1" w:styleId="Visa">
    <w:name w:val="Visa"/>
    <w:basedOn w:val="Normal"/>
    <w:rsid w:val="00BB0D63"/>
    <w:pPr>
      <w:keepNext/>
      <w:keepLines/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customStyle="1" w:styleId="pf0">
    <w:name w:val="pf0"/>
    <w:basedOn w:val="Normal"/>
    <w:rsid w:val="00BB0D63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BB0D63"/>
    <w:rPr>
      <w:rFonts w:ascii="Segoe UI" w:hAnsi="Segoe UI" w:cs="Segoe UI" w:hint="default"/>
      <w:sz w:val="18"/>
      <w:szCs w:val="18"/>
    </w:rPr>
  </w:style>
  <w:style w:type="paragraph" w:customStyle="1" w:styleId="Normal24a">
    <w:name w:val="Normal24a"/>
    <w:basedOn w:val="Normal"/>
    <w:rsid w:val="00BB0D63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BB0D63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BB0D63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BB0D63"/>
    <w:rPr>
      <w:szCs w:val="24"/>
      <w:lang w:val="en-GB"/>
    </w:rPr>
  </w:style>
  <w:style w:type="paragraph" w:customStyle="1" w:styleId="RollCallVotes">
    <w:name w:val="RollCallVotes"/>
    <w:basedOn w:val="Normal"/>
    <w:rsid w:val="00BB0D63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BB0D63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BB0D63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BB0D63"/>
    <w:pPr>
      <w:spacing w:before="120" w:after="120"/>
    </w:pPr>
    <w:rPr>
      <w:snapToGrid w:val="0"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385/oj" TargetMode="External"/><Relationship Id="rId2" Type="http://schemas.openxmlformats.org/officeDocument/2006/relationships/hyperlink" Target="http://data.europa.eu/eli/dir/2012/29/oj" TargetMode="External"/><Relationship Id="rId1" Type="http://schemas.openxmlformats.org/officeDocument/2006/relationships/hyperlink" Target="http://data.europa.eu/eli/C/2025/1279/oj" TargetMode="External"/><Relationship Id="rId4" Type="http://schemas.openxmlformats.org/officeDocument/2006/relationships/hyperlink" Target="https://documents.un.org/doc/undoc/gen/g24/073/47/pdf/g240734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5436</Words>
  <Characters>32586</Characters>
  <Application>Microsoft Office Word</Application>
  <DocSecurity>0</DocSecurity>
  <Lines>271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2026-02-12T14:51:00Z</dcterms:created>
  <dcterms:modified xsi:type="dcterms:W3CDTF">2026-02-12T14:51:00Z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A10-0010/2026</vt:lpwstr>
  </property>
  <property fmtid="{D5CDD505-2E9C-101B-9397-08002B2CF9AE}" pid="4" name="&lt;Type&gt;">
    <vt:lpwstr>RR</vt:lpwstr>
  </property>
</Properties>
</file>