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2FE" w14:paraId="0261F85A" w14:textId="77777777" w:rsidTr="0010095E">
        <w:trPr>
          <w:trHeight w:hRule="exact" w:val="1418"/>
        </w:trPr>
        <w:tc>
          <w:tcPr>
            <w:tcW w:w="6804" w:type="dxa"/>
            <w:shd w:val="clear" w:color="auto" w:fill="auto"/>
            <w:vAlign w:val="center"/>
          </w:tcPr>
          <w:p w14:paraId="222D7263" w14:textId="77777777" w:rsidR="00751A4A" w:rsidRPr="007F42FE" w:rsidRDefault="008D619B" w:rsidP="0010095E">
            <w:pPr>
              <w:pStyle w:val="EPName"/>
            </w:pPr>
            <w:r w:rsidRPr="007F42FE">
              <w:t>Euroopan parlamentti</w:t>
            </w:r>
          </w:p>
          <w:p w14:paraId="4489F70A" w14:textId="77777777" w:rsidR="00751A4A" w:rsidRPr="007F42FE" w:rsidRDefault="005F1B17" w:rsidP="005F1B17">
            <w:pPr>
              <w:pStyle w:val="EPTerm"/>
              <w:rPr>
                <w:rStyle w:val="HideTWBExt"/>
                <w:noProof w:val="0"/>
                <w:vanish w:val="0"/>
                <w:color w:val="auto"/>
              </w:rPr>
            </w:pPr>
            <w:r w:rsidRPr="007F42FE">
              <w:t>2024</w:t>
            </w:r>
            <w:r w:rsidR="00817416" w:rsidRPr="007F42FE">
              <w:t>-202</w:t>
            </w:r>
            <w:r w:rsidRPr="007F42FE">
              <w:t>9</w:t>
            </w:r>
          </w:p>
        </w:tc>
        <w:tc>
          <w:tcPr>
            <w:tcW w:w="2268" w:type="dxa"/>
            <w:shd w:val="clear" w:color="auto" w:fill="auto"/>
          </w:tcPr>
          <w:p w14:paraId="7BD70183" w14:textId="77777777" w:rsidR="00751A4A" w:rsidRPr="007F42FE" w:rsidRDefault="00187494" w:rsidP="0010095E">
            <w:pPr>
              <w:pStyle w:val="EPLogo"/>
            </w:pPr>
            <w:r w:rsidRPr="007F42FE">
              <w:rPr>
                <w:noProof/>
                <w:lang w:eastAsia="ja-JP"/>
              </w:rPr>
              <w:drawing>
                <wp:inline distT="0" distB="0" distL="0" distR="0" wp14:anchorId="350B098B" wp14:editId="0379EA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814E9E" w14:textId="77777777" w:rsidR="00D058B8" w:rsidRPr="007F42FE" w:rsidRDefault="00D058B8" w:rsidP="004C5D52">
      <w:pPr>
        <w:pStyle w:val="LineTop"/>
      </w:pPr>
    </w:p>
    <w:p w14:paraId="12B1C68A" w14:textId="77777777" w:rsidR="00680577" w:rsidRPr="007F42FE" w:rsidRDefault="008D619B" w:rsidP="00680577">
      <w:pPr>
        <w:pStyle w:val="EPBodyTA1"/>
      </w:pPr>
      <w:r w:rsidRPr="007F42FE">
        <w:t>HYVÄKSYTYT TEKSTIT</w:t>
      </w:r>
    </w:p>
    <w:p w14:paraId="491A5D03" w14:textId="77777777" w:rsidR="00D058B8" w:rsidRPr="007F42FE" w:rsidRDefault="00D058B8" w:rsidP="00D058B8">
      <w:pPr>
        <w:pStyle w:val="LineBottom"/>
      </w:pPr>
    </w:p>
    <w:p w14:paraId="136F1239" w14:textId="75CF10AD" w:rsidR="008D619B" w:rsidRPr="007F42FE" w:rsidRDefault="008D619B" w:rsidP="008D619B">
      <w:pPr>
        <w:pStyle w:val="ATHeading1"/>
      </w:pPr>
      <w:bookmarkStart w:id="0" w:name="TANumber"/>
      <w:r w:rsidRPr="007F42FE">
        <w:t>P10_TA(2026)00</w:t>
      </w:r>
      <w:bookmarkEnd w:id="0"/>
      <w:r w:rsidR="00BC2315" w:rsidRPr="007F42FE">
        <w:t>51</w:t>
      </w:r>
    </w:p>
    <w:p w14:paraId="271AD380" w14:textId="22830E37" w:rsidR="008D619B" w:rsidRPr="007F42FE" w:rsidRDefault="00E8622B" w:rsidP="00E8622B">
      <w:pPr>
        <w:pStyle w:val="ATHeading2"/>
      </w:pPr>
      <w:bookmarkStart w:id="1" w:name="title"/>
      <w:r w:rsidRPr="007F42FE">
        <w:rPr>
          <w:bCs/>
        </w:rPr>
        <w:t>Suositus neuvostolle EU:n painopisteistä naisten asemaa käsittelevän YK:n toimikunnan 70. istuntoa varten</w:t>
      </w:r>
      <w:bookmarkEnd w:id="1"/>
    </w:p>
    <w:p w14:paraId="4B309138" w14:textId="77777777" w:rsidR="008D619B" w:rsidRPr="007F42FE" w:rsidRDefault="008D619B" w:rsidP="008D619B">
      <w:pPr>
        <w:rPr>
          <w:i/>
          <w:vanish/>
        </w:rPr>
      </w:pPr>
      <w:r w:rsidRPr="007F42FE">
        <w:rPr>
          <w:i/>
        </w:rPr>
        <w:fldChar w:fldCharType="begin"/>
      </w:r>
      <w:r w:rsidRPr="007F42FE">
        <w:rPr>
          <w:i/>
        </w:rPr>
        <w:instrText xml:space="preserve"> TC"(</w:instrText>
      </w:r>
      <w:bookmarkStart w:id="2" w:name="DocNumber"/>
      <w:r w:rsidRPr="007F42FE">
        <w:rPr>
          <w:i/>
        </w:rPr>
        <w:instrText>A10-0010/2026</w:instrText>
      </w:r>
      <w:bookmarkEnd w:id="2"/>
      <w:r w:rsidRPr="007F42FE">
        <w:rPr>
          <w:i/>
        </w:rPr>
        <w:instrText xml:space="preserve"> - Esittelijä: Lina Gálvez)"\l3 \n&gt; \* MERGEFORMAT </w:instrText>
      </w:r>
      <w:r w:rsidRPr="007F42FE">
        <w:rPr>
          <w:i/>
        </w:rPr>
        <w:fldChar w:fldCharType="end"/>
      </w:r>
    </w:p>
    <w:p w14:paraId="213FE245" w14:textId="77777777" w:rsidR="008D619B" w:rsidRPr="007F42FE" w:rsidRDefault="008D619B" w:rsidP="008D619B">
      <w:pPr>
        <w:rPr>
          <w:vanish/>
        </w:rPr>
      </w:pPr>
      <w:bookmarkStart w:id="3" w:name="Commission"/>
      <w:r w:rsidRPr="007F42FE">
        <w:rPr>
          <w:vanish/>
        </w:rPr>
        <w:t>Naisten oikeuksien ja sukupuolten tasa-arvon valiokunta</w:t>
      </w:r>
      <w:bookmarkEnd w:id="3"/>
    </w:p>
    <w:p w14:paraId="2AD82B23" w14:textId="77777777" w:rsidR="008D619B" w:rsidRPr="007F42FE" w:rsidRDefault="008D619B" w:rsidP="008D619B">
      <w:pPr>
        <w:rPr>
          <w:vanish/>
        </w:rPr>
      </w:pPr>
      <w:bookmarkStart w:id="4" w:name="PE"/>
      <w:r w:rsidRPr="007F42FE">
        <w:rPr>
          <w:vanish/>
        </w:rPr>
        <w:t>PE776.895</w:t>
      </w:r>
      <w:bookmarkEnd w:id="4"/>
    </w:p>
    <w:p w14:paraId="41FBAECA" w14:textId="6964743A" w:rsidR="008D619B" w:rsidRPr="007F42FE" w:rsidRDefault="008D619B" w:rsidP="008D619B">
      <w:pPr>
        <w:pStyle w:val="ATHeading3"/>
      </w:pPr>
      <w:bookmarkStart w:id="5" w:name="Sujet"/>
      <w:r w:rsidRPr="007F42FE">
        <w:t>Euroopan parlamentin suositus neuvostolle</w:t>
      </w:r>
      <w:r w:rsidR="00E8622B" w:rsidRPr="007F42FE">
        <w:t xml:space="preserve"> 12. helmikuuta 2026</w:t>
      </w:r>
      <w:r w:rsidRPr="007F42FE">
        <w:t xml:space="preserve"> EU:n painopisteistä naisten asemaa käsittelevän YK:n toimikunnan 70. istuntoa varten</w:t>
      </w:r>
      <w:bookmarkEnd w:id="5"/>
      <w:r w:rsidRPr="007F42FE">
        <w:t xml:space="preserve"> </w:t>
      </w:r>
      <w:bookmarkStart w:id="6" w:name="References"/>
      <w:r w:rsidRPr="007F42FE">
        <w:t>(2025/2240(INI))</w:t>
      </w:r>
      <w:bookmarkEnd w:id="6"/>
    </w:p>
    <w:p w14:paraId="08020F9C" w14:textId="77777777" w:rsidR="00BD29C5" w:rsidRPr="007F42FE" w:rsidRDefault="00BD29C5" w:rsidP="00E8622B">
      <w:pPr>
        <w:pStyle w:val="EPComma"/>
        <w:widowControl/>
      </w:pPr>
      <w:r w:rsidRPr="007F42FE">
        <w:rPr>
          <w:i/>
          <w:iCs/>
        </w:rPr>
        <w:t>Euroopan parlamentti</w:t>
      </w:r>
      <w:r w:rsidRPr="007F42FE">
        <w:t>, joka</w:t>
      </w:r>
    </w:p>
    <w:p w14:paraId="521D7B15" w14:textId="74B65EDD" w:rsidR="00BD29C5" w:rsidRPr="007F42FE" w:rsidRDefault="00BD29C5" w:rsidP="00E8622B">
      <w:pPr>
        <w:pStyle w:val="NormalHanging12a"/>
        <w:widowControl/>
        <w:rPr>
          <w:bCs/>
          <w:iCs/>
        </w:rPr>
      </w:pPr>
      <w:r w:rsidRPr="007F42FE">
        <w:t>–</w:t>
      </w:r>
      <w:r w:rsidRPr="007F42FE">
        <w:tab/>
        <w:t>ottaa huomioon naisten asemaa käsittelevän YK:n toimikunnan 70. istunnon, joka on määrä pitää maaliskuussa 2026, sen ensisijaisen teeman, joka on kaikkien naisten ja tyttöjen oikeussuojan toteutumisen varmistaminen ja vahvistaminen muun muassa edistämällä osallistavia ja oikeudenmukaisia oikeusjärjestelmiä, poistamalla syrjiviä lakeja, politiikkoja ja käytäntöjä sekä puuttumalla rakenteellisiin esteisiin, ja sen seurantateeman, joka on naisten täysivaltainen ja tehokas osallistuminen ja päätöksenteko julkisessa elämässä sekä väkivallan poistaminen sukupuolten tasa-arvon saavuttamiseksi ja kaikkien naisten ja tyttöjen vaikutusvallan lisäämiseksi,</w:t>
      </w:r>
    </w:p>
    <w:p w14:paraId="5007C34C" w14:textId="77777777" w:rsidR="00BD29C5" w:rsidRPr="007F42FE" w:rsidRDefault="00BD29C5" w:rsidP="00E8622B">
      <w:pPr>
        <w:pStyle w:val="NormalHanging12a"/>
        <w:widowControl/>
        <w:rPr>
          <w:bCs/>
          <w:iCs/>
        </w:rPr>
      </w:pPr>
      <w:r w:rsidRPr="007F42FE">
        <w:t>–</w:t>
      </w:r>
      <w:r w:rsidRPr="007F42FE">
        <w:tab/>
        <w:t>ottaa huomioon 18. joulukuuta 1979 tehdyn YK:n yleissopimuksen kaikkinaisen naisten syrjinnän poistamisesta,</w:t>
      </w:r>
    </w:p>
    <w:p w14:paraId="54DC1F50" w14:textId="77777777" w:rsidR="00BD29C5" w:rsidRPr="007F42FE" w:rsidRDefault="00BD29C5" w:rsidP="00E8622B">
      <w:pPr>
        <w:pStyle w:val="NormalHanging12a"/>
        <w:widowControl/>
        <w:rPr>
          <w:bCs/>
          <w:iCs/>
        </w:rPr>
      </w:pPr>
      <w:r w:rsidRPr="007F42FE">
        <w:t>–</w:t>
      </w:r>
      <w:r w:rsidRPr="007F42FE">
        <w:tab/>
        <w:t>ottaa huomioon 12. joulukuuta 2006 tehdyn YK:n yleissopimuksen vammaisten henkilöiden oikeuksista ja erityisesti sen 6 ja 13 artiklan oikeussuojan saatavuudesta sekä vammaisiin naisiin ja tyttöihin kohdistuvasta moniperusteisestä syrjinnästä,</w:t>
      </w:r>
    </w:p>
    <w:p w14:paraId="1BAA1EB3" w14:textId="77777777" w:rsidR="00BD29C5" w:rsidRPr="007F42FE" w:rsidRDefault="00BD29C5" w:rsidP="00E8622B">
      <w:pPr>
        <w:pStyle w:val="NormalHanging12a"/>
        <w:widowControl/>
        <w:rPr>
          <w:bCs/>
          <w:iCs/>
        </w:rPr>
      </w:pPr>
      <w:r w:rsidRPr="007F42FE">
        <w:t>–</w:t>
      </w:r>
      <w:r w:rsidRPr="007F42FE">
        <w:tab/>
        <w:t>ottaa huomioon YK:n kestävän kehityksen Agenda 2030 -toimintaohjelman eli ketään ei jätetä -periaatteen ja erityisesti kestävän kehityksen tavoitteen 5, jolla pyritään saavuttamaan sukupuolten välinen tasa-arvo ja varmistamaan, että naisilla on yhtäläiset oikeudet taloudellisiin resursseihin sekä maan ja muunlaisen omaisuuden omistajuuteen sekä hallintaan, rahoituspalveluihin, perintöön ja luonnonvaroihin, ja kestävän kehityksen tavoitteen 10, jolla pyritään poistamaan syrjinnän mahdollistavat lait, politiikat ja käytännöt ja edistämään asianmukaista lainsäädäntöä, politiikkoja ja toimenpiteitä,</w:t>
      </w:r>
    </w:p>
    <w:p w14:paraId="68687C50" w14:textId="77777777" w:rsidR="00BD29C5" w:rsidRPr="007F42FE" w:rsidRDefault="00BD29C5" w:rsidP="00E8622B">
      <w:pPr>
        <w:pStyle w:val="NormalHanging12a"/>
        <w:widowControl/>
        <w:rPr>
          <w:bCs/>
          <w:iCs/>
        </w:rPr>
      </w:pPr>
      <w:r w:rsidRPr="007F42FE">
        <w:t>–</w:t>
      </w:r>
      <w:r w:rsidRPr="007F42FE">
        <w:tab/>
        <w:t>ottaa huomioon Euroopan unionin perusoikeuskirjan 20, 21, 23 ja 47 artiklan,</w:t>
      </w:r>
    </w:p>
    <w:p w14:paraId="0B75E740" w14:textId="77777777" w:rsidR="00BD29C5" w:rsidRPr="007F42FE" w:rsidRDefault="00BD29C5" w:rsidP="00E8622B">
      <w:pPr>
        <w:pStyle w:val="NormalHanging12a"/>
        <w:widowControl/>
        <w:rPr>
          <w:bCs/>
          <w:iCs/>
        </w:rPr>
      </w:pPr>
      <w:r w:rsidRPr="007F42FE">
        <w:t>–</w:t>
      </w:r>
      <w:r w:rsidRPr="007F42FE">
        <w:tab/>
        <w:t>ottaa huomioon 11. huhtikuuta 2024 antamansa päätöslauselman aborttioikeuden sisällyttämisestä Euroopan unionin perusoikeuskirjaan</w:t>
      </w:r>
      <w:r w:rsidRPr="007F42FE">
        <w:rPr>
          <w:rStyle w:val="FootnoteReference"/>
          <w:bCs/>
          <w:iCs/>
        </w:rPr>
        <w:footnoteReference w:id="1"/>
      </w:r>
      <w:r w:rsidRPr="007F42FE">
        <w:t>,</w:t>
      </w:r>
    </w:p>
    <w:p w14:paraId="45354217" w14:textId="77777777" w:rsidR="00BD29C5" w:rsidRPr="007F42FE" w:rsidRDefault="00BD29C5" w:rsidP="00E8622B">
      <w:pPr>
        <w:pStyle w:val="NormalHanging12a"/>
        <w:widowControl/>
        <w:rPr>
          <w:bCs/>
          <w:iCs/>
        </w:rPr>
      </w:pPr>
      <w:r w:rsidRPr="007F42FE">
        <w:lastRenderedPageBreak/>
        <w:t>–</w:t>
      </w:r>
      <w:r w:rsidRPr="007F42FE">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jossa esitetään vuosiksi 2021–2025 EU:n toimintasuunnitelma sukupuolten tasa-arvon edistämiseksi,</w:t>
      </w:r>
    </w:p>
    <w:p w14:paraId="27353CE8" w14:textId="77777777" w:rsidR="00BD29C5" w:rsidRPr="007F42FE" w:rsidRDefault="00BD29C5" w:rsidP="00E8622B">
      <w:pPr>
        <w:pStyle w:val="NormalHanging12a"/>
        <w:widowControl/>
        <w:rPr>
          <w:bCs/>
          <w:iCs/>
        </w:rPr>
      </w:pPr>
      <w:r w:rsidRPr="007F42FE">
        <w:t>–</w:t>
      </w:r>
      <w:r w:rsidRPr="007F42FE">
        <w:tab/>
        <w:t>ottaa huomioon 7. maaliskuuta 2025 annetun komission tiedonannon ”Naisten oikeuksien edistämissuunnitelma” (COM(2025)0097), jossa vahvistetaan EU:n sitoutuminen sukupuolten tasa-arvoon,</w:t>
      </w:r>
    </w:p>
    <w:p w14:paraId="406E4DDF" w14:textId="77777777" w:rsidR="00BD29C5" w:rsidRPr="007F42FE" w:rsidRDefault="00BD29C5" w:rsidP="00E8622B">
      <w:pPr>
        <w:pStyle w:val="NormalHanging12a"/>
        <w:widowControl/>
        <w:rPr>
          <w:bCs/>
          <w:iCs/>
        </w:rPr>
      </w:pPr>
      <w:r w:rsidRPr="007F42FE">
        <w:t>–</w:t>
      </w:r>
      <w:r w:rsidRPr="007F42FE">
        <w:tab/>
        <w:t>ottaa huomioon 5. maaliskuuta 2020 annetun komission tiedonannon ”Tasa-arvon unioni: sukupuolten tasa-arvostrategia 2020–2025” (COM(2020)0152),</w:t>
      </w:r>
    </w:p>
    <w:p w14:paraId="62AE49B0" w14:textId="77777777" w:rsidR="00BD29C5" w:rsidRPr="007F42FE" w:rsidRDefault="00BD29C5" w:rsidP="00E8622B">
      <w:pPr>
        <w:pStyle w:val="NormalHanging12a"/>
        <w:widowControl/>
        <w:rPr>
          <w:bCs/>
          <w:iCs/>
        </w:rPr>
      </w:pPr>
      <w:r w:rsidRPr="007F42FE">
        <w:t>–</w:t>
      </w:r>
      <w:r w:rsidRPr="007F42FE">
        <w:tab/>
        <w:t>ottaa huomioon 13. marraskuuta 2025 antamansa päätöslauselman sukupuolten tasa</w:t>
      </w:r>
      <w:r w:rsidRPr="007F42FE">
        <w:noBreakHyphen/>
        <w:t>arvostrategiasta 2025</w:t>
      </w:r>
      <w:r w:rsidRPr="007F42FE">
        <w:rPr>
          <w:rStyle w:val="FootnoteReference"/>
          <w:bCs/>
          <w:iCs/>
        </w:rPr>
        <w:footnoteReference w:id="2"/>
      </w:r>
      <w:r w:rsidRPr="007F42FE">
        <w:t>,</w:t>
      </w:r>
    </w:p>
    <w:p w14:paraId="534DD16F" w14:textId="77777777" w:rsidR="00BD29C5" w:rsidRPr="007F42FE" w:rsidRDefault="00BD29C5" w:rsidP="00E8622B">
      <w:pPr>
        <w:pStyle w:val="NormalHanging12a"/>
        <w:widowControl/>
        <w:rPr>
          <w:bCs/>
          <w:iCs/>
        </w:rPr>
      </w:pPr>
      <w:r w:rsidRPr="007F42FE">
        <w:t>–</w:t>
      </w:r>
      <w:r w:rsidRPr="007F42FE">
        <w:tab/>
        <w:t>ottaa huomioon rikoksen uhrien oikeuksia, tukea ja suojelua koskevista vähimmäisvaatimuksista sekä neuvoston puitepäätöksen 2001/220/YOS korvaamisesta 25. lokakuuta 2012 annetun Euroopan parlamentin ja neuvoston direktiivin 2012/29/EU</w:t>
      </w:r>
      <w:r w:rsidRPr="007F42FE">
        <w:rPr>
          <w:bCs/>
          <w:iCs/>
          <w:vertAlign w:val="superscript"/>
        </w:rPr>
        <w:footnoteReference w:id="3"/>
      </w:r>
      <w:r w:rsidRPr="007F42FE">
        <w:t xml:space="preserve"> ja sen meneillään olevan uudelleenlaadinnan,</w:t>
      </w:r>
    </w:p>
    <w:p w14:paraId="6B6869C3" w14:textId="1483A8FE" w:rsidR="00BD29C5" w:rsidRPr="007F42FE" w:rsidRDefault="00BD29C5" w:rsidP="00E8622B">
      <w:pPr>
        <w:pStyle w:val="NormalHanging12a"/>
        <w:widowControl/>
        <w:rPr>
          <w:bCs/>
          <w:iCs/>
        </w:rPr>
      </w:pPr>
      <w:r w:rsidRPr="007F42FE">
        <w:t>–</w:t>
      </w:r>
      <w:r w:rsidRPr="007F42FE">
        <w:tab/>
        <w:t>ottaa huomioon naisiin kohdistuvan väkivallan ja perheväkivallan torjumisesta 14. toukokuuta 2024 annetun Euroopan parlamentin ja neuvoston direktiivin (EU) 2024/1385</w:t>
      </w:r>
      <w:r w:rsidRPr="007F42FE">
        <w:rPr>
          <w:rStyle w:val="FootnoteReference"/>
          <w:bCs/>
          <w:iCs/>
        </w:rPr>
        <w:footnoteReference w:id="4"/>
      </w:r>
      <w:r w:rsidRPr="007F42FE">
        <w:t>,</w:t>
      </w:r>
    </w:p>
    <w:p w14:paraId="1FAE40E6" w14:textId="77777777" w:rsidR="00BD29C5" w:rsidRPr="007F42FE" w:rsidRDefault="00BD29C5" w:rsidP="00E8622B">
      <w:pPr>
        <w:pStyle w:val="NormalHanging12a"/>
        <w:widowControl/>
        <w:rPr>
          <w:bCs/>
          <w:iCs/>
        </w:rPr>
      </w:pPr>
      <w:r w:rsidRPr="007F42FE">
        <w:t>–</w:t>
      </w:r>
      <w:r w:rsidRPr="007F42FE">
        <w:tab/>
        <w:t>ottaa huomioon 19. kesäkuuta 2008 annetun YK:n turvallisuusneuvoston päätöslauselman 1820 (2008) seksuaalisesta väkivallasta sodankäynnin välineenä,</w:t>
      </w:r>
    </w:p>
    <w:p w14:paraId="7AFC701F" w14:textId="77777777" w:rsidR="00BD29C5" w:rsidRPr="007F42FE" w:rsidRDefault="00BD29C5" w:rsidP="00E8622B">
      <w:pPr>
        <w:pStyle w:val="NormalHanging12a"/>
        <w:widowControl/>
        <w:rPr>
          <w:bCs/>
          <w:iCs/>
        </w:rPr>
      </w:pPr>
      <w:r w:rsidRPr="007F42FE">
        <w:t>–</w:t>
      </w:r>
      <w:r w:rsidRPr="007F42FE">
        <w:tab/>
        <w:t>ottaa huomioon joulukuussa 2012 hyväksytyt oikeusavun saatavuutta rikosoikeusjärjestelmissä koskevat YK:n periaatteet ja suuntaviivat,</w:t>
      </w:r>
    </w:p>
    <w:p w14:paraId="41665AC9" w14:textId="77777777" w:rsidR="00BD29C5" w:rsidRPr="007F42FE" w:rsidRDefault="00BD29C5" w:rsidP="00E8622B">
      <w:pPr>
        <w:pStyle w:val="NormalHanging12a"/>
        <w:widowControl/>
        <w:rPr>
          <w:bCs/>
          <w:iCs/>
        </w:rPr>
      </w:pPr>
      <w:r w:rsidRPr="007F42FE">
        <w:t>–</w:t>
      </w:r>
      <w:r w:rsidRPr="007F42FE">
        <w:tab/>
        <w:t>ottaa huomioon komission oikeusalan ohjelman 2021–2027, josta myönnettävällä rahoituksella tuetaan yksityis- ja rikosoikeudellisissa asioissa tehtävää oikeudellista yhteistyötä, kuten tuomareiden ja muiden oikeusalan ammattilaisten koulutusta, sekä kansalaisten ja yritysten oikeussuojan tehokasta toteutumista,</w:t>
      </w:r>
    </w:p>
    <w:p w14:paraId="0EB59EE0" w14:textId="77777777" w:rsidR="00BD29C5" w:rsidRPr="007F42FE" w:rsidRDefault="00BD29C5" w:rsidP="00E8622B">
      <w:pPr>
        <w:pStyle w:val="NormalHanging12a"/>
        <w:widowControl/>
        <w:rPr>
          <w:bCs/>
          <w:iCs/>
        </w:rPr>
      </w:pPr>
      <w:r w:rsidRPr="007F42FE">
        <w:t>–</w:t>
      </w:r>
      <w:r w:rsidRPr="007F42FE">
        <w:tab/>
        <w:t>ottaa huomioon Euroopan neuvoston yleissopimuksen naisiin kohdistuvan väkivallan ja perheväkivallan ehkäisemisestä ja torjumisesta (Istanbulin yleissopimus),</w:t>
      </w:r>
    </w:p>
    <w:p w14:paraId="689CA049" w14:textId="77777777" w:rsidR="00BD29C5" w:rsidRPr="007F42FE" w:rsidRDefault="00BD29C5" w:rsidP="00E8622B">
      <w:pPr>
        <w:pStyle w:val="NormalHanging12a"/>
        <w:widowControl/>
        <w:rPr>
          <w:bCs/>
          <w:iCs/>
        </w:rPr>
      </w:pPr>
      <w:r w:rsidRPr="007F42FE">
        <w:t>–</w:t>
      </w:r>
      <w:r w:rsidRPr="007F42FE">
        <w:tab/>
        <w:t>ottaa huomioon Euroopan unionin toiminnasta tehdyn sopimuksen 81 artiklan 2 kohdan,</w:t>
      </w:r>
    </w:p>
    <w:p w14:paraId="5BBDF11A" w14:textId="77777777" w:rsidR="00BD29C5" w:rsidRPr="007F42FE" w:rsidRDefault="00BD29C5" w:rsidP="00E8622B">
      <w:pPr>
        <w:pStyle w:val="NormalHanging12a"/>
        <w:widowControl/>
        <w:rPr>
          <w:bCs/>
          <w:iCs/>
        </w:rPr>
      </w:pPr>
      <w:r w:rsidRPr="007F42FE">
        <w:t>–</w:t>
      </w:r>
      <w:r w:rsidRPr="007F42FE">
        <w:tab/>
        <w:t>ottaa huomioon työjärjestyksen 121 artiklan,</w:t>
      </w:r>
    </w:p>
    <w:p w14:paraId="20D75175" w14:textId="77777777" w:rsidR="00BD29C5" w:rsidRPr="007F42FE" w:rsidRDefault="00BD29C5" w:rsidP="00E8622B">
      <w:pPr>
        <w:pStyle w:val="NormalHanging12a"/>
        <w:widowControl/>
        <w:rPr>
          <w:bCs/>
          <w:iCs/>
        </w:rPr>
      </w:pPr>
      <w:r w:rsidRPr="007F42FE">
        <w:t>–</w:t>
      </w:r>
      <w:r w:rsidRPr="007F42FE">
        <w:tab/>
        <w:t>ottaa huomioon naisten oikeuksien ja sukupuolten tasa-arvon valiokunnan mietinnön (A10-0010/2026),</w:t>
      </w:r>
    </w:p>
    <w:p w14:paraId="7F5CB544" w14:textId="77777777" w:rsidR="00BD29C5" w:rsidRPr="007F42FE" w:rsidRDefault="00BD29C5" w:rsidP="00E8622B">
      <w:pPr>
        <w:pStyle w:val="NormalHanging12a"/>
        <w:widowControl/>
        <w:rPr>
          <w:bCs/>
          <w:iCs/>
        </w:rPr>
      </w:pPr>
      <w:r w:rsidRPr="007F42FE">
        <w:t>A.</w:t>
      </w:r>
      <w:r w:rsidRPr="007F42FE">
        <w:tab/>
        <w:t xml:space="preserve">ottaa huomioon, että naisten ja miesten tasa-arvo on Euroopan unionista tehdyn sopimuksen 2 artiklassa ja Euroopan unionin perusoikeuskirjan 23 artiklassa vahvistettu </w:t>
      </w:r>
      <w:r w:rsidRPr="007F42FE">
        <w:lastRenderedPageBreak/>
        <w:t>perusperiaate; ottaa huomioon, että tämä periaate on voimassa kaikilla elämänaloilla ja kaikissa politiikoissa ja koskee myös oikeussuojan saatavuutta; toteaa, että sukupuolten tasa-arvon valtavirtaistaminen, sukupuolitietoinen budjetointi ja intersektionaalinen lähestymistapa olisi pantava täytäntöön kaikissa asiaankuuluvissa EU:n politiikoissa ja sisällytettävä niihin ja että ne ovat olennaisia sukupuolten tasa-arvon saavuttamiseksi; katsoo, että sisä- ja ulkopolitiikan olisi pysyttävä yhtenäisenä ja johdonmukaisena, jotta voidaan varmistaa ihmisoikeuksien ja perusoikeuksien, demokratian ja sukupuolten tasa-arvon tehokas ja uskottava edistäminen kaikkialla maailmassa;</w:t>
      </w:r>
    </w:p>
    <w:p w14:paraId="22A2E1A6" w14:textId="77777777" w:rsidR="00BD29C5" w:rsidRPr="007F42FE" w:rsidRDefault="00BD29C5" w:rsidP="00E8622B">
      <w:pPr>
        <w:pStyle w:val="NormalHanging12a"/>
        <w:widowControl/>
        <w:rPr>
          <w:bCs/>
          <w:iCs/>
        </w:rPr>
      </w:pPr>
      <w:r w:rsidRPr="007F42FE">
        <w:t>B.</w:t>
      </w:r>
      <w:r w:rsidRPr="007F42FE">
        <w:tab/>
        <w:t>ottaa huomioon, että sukupuolten tasa-arvo, demokratia, perusoikeudet ja oikeusvaltioperiaate liittyvät erottamattomasti toisiinsa; toteaa, että pyrkimykset heikentää naisten oikeuksia ja sukupuolten tasa-arvoa lisääntyvät, mikä johtuu sukupuolten tasa-arvoa ja demokratiaa vastustavien liikkeiden voimistumisesta; toteaa, että viimeaikaiset Yhdysvaltojen kehitysavun leikkaukset vaikuttavat suhteettomasti naisiin ja tyttöihin kaikkialla maailmassa, lisäävät haavoittuvuutta ja vahingoittavat yhteisöjä; ottaa huomioon, että YK:n yleiskokous on varoittanut aktiivisesta vastarinnasta sukupuolten tasa-arvoa kohtaan ja naisten oikeuksien taantumisesta monissa maissa; katsoo, että naisten ja tyttöjen todellinen tasa-arvo ja ihmisoikeudet on vahvistettava kiireellisesti</w:t>
      </w:r>
      <w:r w:rsidRPr="007F42FE">
        <w:rPr>
          <w:bCs/>
          <w:iCs/>
          <w:vertAlign w:val="superscript"/>
        </w:rPr>
        <w:footnoteReference w:id="5"/>
      </w:r>
      <w:r w:rsidRPr="007F42FE">
        <w:t>;</w:t>
      </w:r>
    </w:p>
    <w:p w14:paraId="5DB75F2A" w14:textId="77777777" w:rsidR="00BD29C5" w:rsidRPr="007F42FE" w:rsidRDefault="00BD29C5" w:rsidP="00E8622B">
      <w:pPr>
        <w:pStyle w:val="NormalHanging12a"/>
        <w:widowControl/>
      </w:pPr>
      <w:r w:rsidRPr="007F42FE">
        <w:t>C.</w:t>
      </w:r>
      <w:r w:rsidRPr="007F42FE">
        <w:tab/>
        <w:t>toteaa, että naisten ja tyttöjen oikeudet ja sukupuolten tasa-arvo ovat perusihmisoikeuksia ja keskeisiä edellytyksiä inhimilliselle kehitykselle, sosiaaliselle oikeudenmukaisuudelle, demokratialle, oikeusvaltioperiaatteelle, elintason parantamiselle, köyhyyden vähentämiselle, ilmastokriisin torjumiselle ja tarvittavan perustan rakentamiselle sellaiselle maailmalle, jossa vallitsee rauha, oikeudenmukaisuus, vauraus ja kestävä kehitys; ottaa huomioon, että kun naisten ja tyttöjen oikeudet toteutuvat kaikkialla maailmassa, kilpailukyky yleisesti ottaen paranee, koska osallistava kasvu lisääntyy, eriarvoisuus vähenee ja naisten taidot ja potentiaali otetaan kattavasti käyttöön kaikilla yhteiskunnan aloilla;</w:t>
      </w:r>
    </w:p>
    <w:p w14:paraId="5ECAC17F" w14:textId="77777777" w:rsidR="00BD29C5" w:rsidRPr="007F42FE" w:rsidRDefault="00BD29C5" w:rsidP="00E8622B">
      <w:pPr>
        <w:pStyle w:val="NormalHanging12a"/>
        <w:widowControl/>
        <w:rPr>
          <w:bCs/>
          <w:iCs/>
        </w:rPr>
      </w:pPr>
      <w:r w:rsidRPr="007F42FE">
        <w:t>D.</w:t>
      </w:r>
      <w:r w:rsidRPr="007F42FE">
        <w:tab/>
        <w:t>ottaa huomioon, että risteävät tekijät, kuten rasismi, vammaisuus, maahanmuuttajastatus, seksuaalinen suuntautuminen, sukupuoli-identiteetti ja sukupuoliominaisuudet, pahentavat köyhyyttä ja syrjintää, kuten Euroopan unionin perusoikeuskirjan 21 artiklassa korostetaan; ottaa huomioon, että kuukautisköyhyys on edelleen merkittävä sukupuolten tasa-arvon este, sillä se rajoittaa miljoonien eri puolilla maailmaa elävien naisten ja tyttöjen mahdollisuutta kouluttautua, saada terveydenhuoltoa ja ottaa osaa talouselämään ja näin heikentää heidän oikeussuojansa toteutumista sekä heidän edustustaan kaikkien tasojen päätöksentekoprosesseissa ja osallistumistaan niihin;</w:t>
      </w:r>
    </w:p>
    <w:p w14:paraId="236E0CEA" w14:textId="77777777" w:rsidR="00BD29C5" w:rsidRPr="007F42FE" w:rsidRDefault="00BD29C5" w:rsidP="00E8622B">
      <w:pPr>
        <w:pStyle w:val="NormalHanging12a"/>
        <w:widowControl/>
      </w:pPr>
      <w:r w:rsidRPr="007F42FE">
        <w:t>E.</w:t>
      </w:r>
      <w:r w:rsidRPr="007F42FE">
        <w:tab/>
        <w:t xml:space="preserve">ottaa huomioon, että oikeussuojan saatavuus tunnustetaan kansainvälisessä oikeudessa laajalti perusihmisoikeudeksi ja että se on keskeinen käsite oikeusalalla laajemmin ja oikeusvaltion ja demokratian kulmakivi; ottaa huomioon, että EU tunnustaa oikeussuojan saatavuuden perusoikeudeksi Euroopan unionin perusoikeuskirjan 47 artiklassa; toteaa, että oikeussuojan tosiasiallinen saatavuus edellyttää luotettavia tietoja, avoimia menettelyjä, näyttöön perustuvaa päätöksentekoa ja puolueettomia instituutioita, jotka varmistavat, että naiset ja tytöt voivat käyttää oikeuksiaan ilman syrjintää; ottaa huomioon, että oikeussuojan saatavuus on perusihmisoikeus, joka pohjautuu oikeudenmukaiseen lainsäädäntöön, tehokkaaseen täytäntöönpanoon, kohtuuhintaiseen tukeen, </w:t>
      </w:r>
      <w:proofErr w:type="spellStart"/>
      <w:r w:rsidRPr="007F42FE">
        <w:t>sukupuoliresponsiivisiin</w:t>
      </w:r>
      <w:proofErr w:type="spellEnd"/>
      <w:r w:rsidRPr="007F42FE">
        <w:t xml:space="preserve"> instituutioihin sekä </w:t>
      </w:r>
      <w:r w:rsidRPr="007F42FE">
        <w:lastRenderedPageBreak/>
        <w:t>vastuuvelvollisuusmekanismeihin; ottaa huomioon, että syrjivät lait, sukupuolistereotypiat, taloudelliset esteet ja rakenteelliset ennakkoasenteet ovat edelleen esteenä monille naisille ja tytöille – erityisesti niille, jotka kohtaavat risteävää syrjintää; ottaa huomioon, että haavoittuvassa asemassa olevat naiset ja tytöt, myös vammaiset, maaseudulla tai syrjäisillä alueilla asuvat ja ikääntyneet naiset, kohtaavat usein lisäesteitä oikeussuojan ja oikeudellisen tuen saatavuudessa; ottaa huomioon, että digitaalinen siirtymä ja tekoäly vaikuttavat yhä enemmän oikeussuojan saatavuuteen, joten on olennaisen tärkeää puuttua algoritmiseen syrjintään, digitaaliseen syrjäytymiseen ja verkon haittoihin; ottaa huomioon, että oikeusapu on olennaisen tärkeää oikeussuojan tasapuolisen saatavuuden kannalta ja että parhaiden käytäntöjen vaihto auttaa vahvistamaan oikeusapujärjestelmien laatua ja johdonmukaisuutta;</w:t>
      </w:r>
    </w:p>
    <w:p w14:paraId="4FF23670" w14:textId="77777777" w:rsidR="00BD29C5" w:rsidRPr="007F42FE" w:rsidRDefault="00BD29C5" w:rsidP="00E8622B">
      <w:pPr>
        <w:pStyle w:val="NormalHanging12a"/>
        <w:widowControl/>
      </w:pPr>
      <w:r w:rsidRPr="007F42FE">
        <w:t>F.</w:t>
      </w:r>
      <w:r w:rsidRPr="007F42FE">
        <w:tab/>
        <w:t>toteaa, että naisten ja tyttöjen oikeussuojan yleinen ja yhdenvertainen toteutuminen on yhä monimutkainen ja kriittinen kysymys maailman kaikilla alueilla ja erityisen haasteellinen tietyillä alueilla, varsinkin siellä, missä demokraattiset instituutiot ja oikeusvaltioperiaate ovat heikkoja; ottaa huomioon, että taloudellinen pelote, oikeusavun rajallinen saatavuus, korkeat kustannukset, oikeudenkäyntien monimutkaisuus, digitaaliset ja kielelliset esteet, epäluottamus oikeusjärjestelmää kohtaan, vallitsevat sukupuolistereotypiat, rotuun liittyvät ennakkoluulot, naisviha ja systeeminen syrjintä ovat edelleen esteenä naisten ja tyttöjen oikeussuojan tosiasialliselle toteutumiselle;</w:t>
      </w:r>
    </w:p>
    <w:p w14:paraId="1A1F40D4" w14:textId="43B0F9A0" w:rsidR="00BD29C5" w:rsidRPr="007F42FE" w:rsidRDefault="00BD29C5" w:rsidP="00E8622B">
      <w:pPr>
        <w:pStyle w:val="NormalHanging12a"/>
        <w:widowControl/>
      </w:pPr>
      <w:r w:rsidRPr="007F42FE">
        <w:t>G.</w:t>
      </w:r>
      <w:r w:rsidRPr="007F42FE">
        <w:tab/>
        <w:t>ottaa huomioon, että naiset ovat edelleen kaikkialla maailmassa vakavasti aliedustettuina oikeus- ja syyttäjäviranomaisten korkeimmalla tasolla, varsinkin johtoasemissa, kuten tuomioistuinten presidentteinä, ylituomareina ja syyttäjänvirastojen johdossa; katsoo, että ensisijaisena tavoitteena on oltava sukupuolten tasapuolinen edustus näissä päätöksentekoelimissä; toteaa, että sukupuolisensitiivisen lähestymistavan noudattamista on jatkettava silloinkin, kun naisten läsnäolo on varmistettu; katsoo, että sukupuolinäkökulman sisällyttäminen oikeudelliseen päätöksentekoon on olennaisen tärkeää naisten ja tyttöjen yhtäläisen oikeussuojan saatavuuden varmistamiseksi ja edellyttää, että sekä itse päätöksessä että päätöksentekomenettelyssä arvioidaan tosiseikkoja ja sovelletaan lainsäädäntöä ilman sukupuolivinoumia ja haitallisia stereotypioita; ottaa huomioon, että YK:n naisten syrjinnän poistamista käsittelevä komitea (CEDAW) antoi vuonna 2024 naisten tasa</w:t>
      </w:r>
      <w:r w:rsidRPr="007F42FE">
        <w:noBreakHyphen/>
        <w:t>arvoista ja osallistavaa edustusta päätöksentekojärjestelmissä koskevan yleisen suosituksen nro 40, kun on kyse tasavertaisesta pääsystä kyseisiin järjestelmiin ja yhtäläisestä vallasta niissä;</w:t>
      </w:r>
    </w:p>
    <w:p w14:paraId="3C06CC33" w14:textId="01BBB3C8" w:rsidR="00BD29C5" w:rsidRPr="007F42FE" w:rsidRDefault="00BD29C5" w:rsidP="00E8622B">
      <w:pPr>
        <w:pStyle w:val="NormalHanging12a"/>
        <w:widowControl/>
      </w:pPr>
      <w:r w:rsidRPr="007F42FE">
        <w:t>H.</w:t>
      </w:r>
      <w:r w:rsidRPr="007F42FE">
        <w:tab/>
        <w:t>ottaa huomioon, että YK tukee naisten laajempaa osallistumista oikeusalalla aktiivisesti erityisillä aloitteilla ja kampanjoilla; toteaa, että naisten kasvanut edustus oikeuslaitoksissa on yhdistetty uhrikeskeisempien lähestymistapojen yleistymiseen oikeudenkäytössä ja se on olennaisen tärkeää, jotta uhrit kokevat saavansa tukea ja tulevansa kuulluiksi, kun he päättävät hakea oikeutta; ottaa huomioon, että sekä oikeusalan ammattilaisille että kansalaisyhteiskunnalle tarvitaan selkeitä sääntöjä, vahvoja säännöksiä ja koulutusta niiden soveltamisesta sekä sukupuolta ja oikeusalaa käsitteleviä tiedotuskampanjoita;</w:t>
      </w:r>
    </w:p>
    <w:p w14:paraId="6BD4896E" w14:textId="77777777" w:rsidR="00BD29C5" w:rsidRPr="007F42FE" w:rsidRDefault="00BD29C5" w:rsidP="00E8622B">
      <w:pPr>
        <w:pStyle w:val="NormalHanging12a"/>
        <w:widowControl/>
      </w:pPr>
      <w:r w:rsidRPr="007F42FE">
        <w:t>I.</w:t>
      </w:r>
      <w:r w:rsidRPr="007F42FE">
        <w:tab/>
        <w:t xml:space="preserve">toteaa, että naisiin kohdistuva väkivalta, </w:t>
      </w:r>
      <w:proofErr w:type="spellStart"/>
      <w:r w:rsidRPr="007F42FE">
        <w:t>sukupuolistunut</w:t>
      </w:r>
      <w:proofErr w:type="spellEnd"/>
      <w:r w:rsidRPr="007F42FE">
        <w:t xml:space="preserve"> väkivalta ja lähisuhdeväkivalta ovat perusoikeuksien loukkauksia; katsoo, että oikeusjärjestelmien on vastattava kattavasti uhrien erityistarpeisiin tarjoamalla riittävää suojelua, tehokkaita oikeussuojakeinoja, saavutettavia tukipalveluja ja asianmukaista koulutusta toimivaltaisille viranomaisille, jotka ovat tekemisissä sukupuolistuneen väkivallan </w:t>
      </w:r>
      <w:r w:rsidRPr="007F42FE">
        <w:lastRenderedPageBreak/>
        <w:t xml:space="preserve">uhrien kanssa, jotta voidaan välttää toissijainen uhriksi joutuminen; panee merkille, että monet naiset ja tytöt kohtaavat edelleen huomattavia esteitä ilmoittaessaan väkivallasta ja hakiessaan oikeudellista tukea; katsoo, että kaikki väkivallan muodot – psyykkinen, emotionaalinen ja henkinen hyväksikäyttö sekä pakottava ja taloudellinen kontrollointi – on tunnustettava virallisesti; ottaa huomioon, että instituutioissa vallitsevat sitkeät sukupuolistereotypiat, naisviha ja seksismi sekä rakenteelliset ja menettelyihin liittyvät esteet haittaavat edelleen väkivallan uhreiksi joutuneiden naisten oikeussuojan toteutumista; toteaa, että oikeudellinen erikoistuminen </w:t>
      </w:r>
      <w:proofErr w:type="spellStart"/>
      <w:r w:rsidRPr="007F42FE">
        <w:t>sukupuolistuneeseen</w:t>
      </w:r>
      <w:proofErr w:type="spellEnd"/>
      <w:r w:rsidRPr="007F42FE">
        <w:t xml:space="preserve"> väkivaltaan on osoittautunut tehokkaaksi, koska sillä keskitetään asiantuntemusta, parannetaan asianhallintaa ja edistetään sukupuolisensitiivisempää ja uhreja paremmin tukevaa ympäristöä</w:t>
      </w:r>
      <w:r w:rsidRPr="007F42FE">
        <w:rPr>
          <w:vertAlign w:val="superscript"/>
        </w:rPr>
        <w:footnoteReference w:id="6"/>
      </w:r>
      <w:r w:rsidRPr="007F42FE">
        <w:t>;</w:t>
      </w:r>
    </w:p>
    <w:p w14:paraId="53A9370C" w14:textId="77777777" w:rsidR="00BD29C5" w:rsidRPr="007F42FE" w:rsidRDefault="00BD29C5" w:rsidP="00E8622B">
      <w:pPr>
        <w:pStyle w:val="NormalHanging12a"/>
        <w:widowControl/>
        <w:rPr>
          <w:bCs/>
          <w:iCs/>
          <w:szCs w:val="24"/>
        </w:rPr>
      </w:pPr>
      <w:r w:rsidRPr="007F42FE">
        <w:t>J.</w:t>
      </w:r>
      <w:r w:rsidRPr="007F42FE">
        <w:tab/>
        <w:t>ottaa huomioon, että työpaikoilla sekä poliittisissa, oikeudellisissa, akateemisissa ja verkkoympäristössä esiintyvä häirintä estää naisten oikeussuojan toteutumista ja heidän pääsyään julkisiin tehtäviin ja päätöksentekoasemiin ja niissä pysymistä; ottaa huomioon, että laajamittainen verkkoväkivalta, vihapuhe ja viharikokset, joita naisiin ja tyttöihin yhä enemmän kohdistuu, aiheuttavat vakavia seurauksia heidän jokapäiväiselle elämälleen, rajoittavat heidän osallistumistaan julkiseen elämään ja heikentävät heidän tasapuolista edustustaan;</w:t>
      </w:r>
    </w:p>
    <w:p w14:paraId="1DB1AB64" w14:textId="492E4D38" w:rsidR="00BD29C5" w:rsidRPr="007F42FE" w:rsidRDefault="00BD29C5" w:rsidP="00E8622B">
      <w:pPr>
        <w:pStyle w:val="NormalHanging12a"/>
        <w:widowControl/>
        <w:rPr>
          <w:bCs/>
          <w:iCs/>
        </w:rPr>
      </w:pPr>
      <w:r w:rsidRPr="007F42FE">
        <w:t>K.</w:t>
      </w:r>
      <w:r w:rsidRPr="007F42FE">
        <w:tab/>
        <w:t xml:space="preserve">ottaa huomioon, että aseelliset konfliktit, pakkomuutto, ilmastonmuutoksen seuraukset ja humanitaariset hätätilat pahentavat eriarvoisuutta ja heikentävät suojelujärjestelmiä, minkä seurauksena naiset ja tytöt ovat suuremmassa vaarassa kokea </w:t>
      </w:r>
      <w:proofErr w:type="spellStart"/>
      <w:r w:rsidRPr="007F42FE">
        <w:t>sukupuolistunutta</w:t>
      </w:r>
      <w:proofErr w:type="spellEnd"/>
      <w:r w:rsidRPr="007F42FE">
        <w:t xml:space="preserve"> väkivaltaa, mukaan luettuina pakkoavioliitot, kauttakulun aikana tapahtuva seksuaalinen väkivalta, ihmiskauppa, </w:t>
      </w:r>
      <w:proofErr w:type="spellStart"/>
      <w:r w:rsidRPr="007F42FE">
        <w:t>sukupuolistunut</w:t>
      </w:r>
      <w:proofErr w:type="spellEnd"/>
      <w:r w:rsidRPr="007F42FE">
        <w:t xml:space="preserve"> väkivalta vastaanotto- tai turvapaikkakeskuksissa sekä seksuaalinen väkivalta ja kidutus sodankäynnin välineinä; ottaa huomioon, että konflikteihin liittyvä seksuaalinen väkivalta on edelleen yksi yleisimmistä ihmisoikeusloukkauksista, jota käytetään siviiliväestön terrorisoimiseen, vastarinnan tukahduttamiseen ja yhteisöjen tuhoamiseen ja joka </w:t>
      </w:r>
      <w:proofErr w:type="spellStart"/>
      <w:r w:rsidR="005A0C63" w:rsidRPr="007F42FE">
        <w:t>katsotaan</w:t>
      </w:r>
      <w:r w:rsidRPr="007F42FE">
        <w:t>kansainvälisen</w:t>
      </w:r>
      <w:proofErr w:type="spellEnd"/>
      <w:r w:rsidRPr="007F42FE">
        <w:t xml:space="preserve"> oikeuden mukaan sotarikokseksi, rikokseksi ihmisyyttä vastaan tai kansanmurhaa edistäväksi teoksi; katsoo, että YK:n naisia, rauhaa ja turvallisuutta koskeva toimintaohjelma on keskeisessä asemassa nykyisten maailmanlaajuisten rauhan- ja turvallisuushaasteiden ratkaisemisessa; ottaa huomioon, että meneillään olevat aseelliset konfliktit sekä uudet, yhä monimutkaisemmat turvallisuusuhkat ovat suhteettoman haitallisia naisille ja tytöille ja ne ovat heikentäneet heidän asemaansa, mikä on tuhoisaa heidän ihmisoikeuksiensa täysipainoiselle toteutumiselle kautta maailman;</w:t>
      </w:r>
    </w:p>
    <w:p w14:paraId="4408E19C" w14:textId="77777777" w:rsidR="00BD29C5" w:rsidRPr="007F42FE" w:rsidRDefault="00BD29C5" w:rsidP="00E8622B">
      <w:pPr>
        <w:pStyle w:val="NormalHanging12a"/>
        <w:widowControl/>
        <w:rPr>
          <w:bCs/>
          <w:iCs/>
          <w:szCs w:val="24"/>
        </w:rPr>
      </w:pPr>
      <w:r w:rsidRPr="007F42FE">
        <w:t>L.</w:t>
      </w:r>
      <w:r w:rsidRPr="007F42FE">
        <w:tab/>
        <w:t>ottaa huomioon, että Istanbulin yleissopimus on yksi edistyneimmistä kansainvälisistä oikeudellisista asiakirjoista ja siinä asetetaan sitovia velvoitteita sukupuolistuneen väkivallan ehkäisemiseksi ja torjumiseksi;</w:t>
      </w:r>
    </w:p>
    <w:p w14:paraId="23C4060D" w14:textId="77777777" w:rsidR="00BD29C5" w:rsidRPr="007F42FE" w:rsidRDefault="00BD29C5" w:rsidP="00E8622B">
      <w:pPr>
        <w:pStyle w:val="NormalHanging12a"/>
        <w:widowControl/>
        <w:rPr>
          <w:bCs/>
          <w:iCs/>
        </w:rPr>
      </w:pPr>
      <w:r w:rsidRPr="007F42FE">
        <w:t>M.</w:t>
      </w:r>
      <w:r w:rsidRPr="007F42FE">
        <w:tab/>
        <w:t xml:space="preserve">toteaa, että seksuaali- ja lisääntymisterveyteen ja -oikeuksiin kohdistuvat loukkaukset, mukaan lukien turvallisten ja laillisten aborttipalvelujen epääminen ja kaikenlainen synnytysväkivalta ja gynekologinen väkivalta, ovat </w:t>
      </w:r>
      <w:proofErr w:type="spellStart"/>
      <w:r w:rsidRPr="007F42FE">
        <w:t>sukupuolistunutta</w:t>
      </w:r>
      <w:proofErr w:type="spellEnd"/>
      <w:r w:rsidRPr="007F42FE">
        <w:t xml:space="preserve"> väkivaltaa ja perusihmisoikeuksien loukkauksia; ottaa huomioon, että sitkeässä olevat sosiaaliset normit oikeuttavat sukupuolistuneen väkivallan, rajoittavat terveyspalvelujen, myös seksuaali- ja lisääntymisterveyspalvelujen, saatavuutta, jättävät palkattoman hoivatyön ensisijaisesti naisten tehtäväksi ja kaventavat naisten mahdollisuuksia päästä johtotehtäviin; katsoo, että mahdollisuus seksuaali- ja lisääntymisterveydenhuoltoon, myös turvalliseen ja lailliseen aborttiin, on perusihmisoikeus, joka on säilytettävä </w:t>
      </w:r>
      <w:r w:rsidRPr="007F42FE">
        <w:lastRenderedPageBreak/>
        <w:t>kaikkialla maailmassa; ottaa huomioon, että miljoonilla naisilla ei edelleenkään ole mahdollisuutta saada tällaista terveydenhuoltoa, mikä altistaa heidät ruumiilliselle haitalle sekä taloudelliselle ja psyykkiselle stressille; toteaa, että erityisesti seksuaali- ja lisääntymisterveyttä ja -oikeuksia tukeviin kansalaisyhteiskunnan järjestöihin ja ihmisoikeuksien puolustajiin kohdistuvat uhkaukset ja hyökkäykset lisääntyvät hälyttävää vauhtia;</w:t>
      </w:r>
    </w:p>
    <w:p w14:paraId="3228D52C" w14:textId="77777777" w:rsidR="00BD29C5" w:rsidRPr="007F42FE" w:rsidRDefault="00BD29C5" w:rsidP="00E8622B">
      <w:pPr>
        <w:pStyle w:val="NormalHanging12a"/>
        <w:widowControl/>
        <w:rPr>
          <w:bCs/>
          <w:iCs/>
        </w:rPr>
      </w:pPr>
      <w:r w:rsidRPr="007F42FE">
        <w:t>N.</w:t>
      </w:r>
      <w:r w:rsidRPr="007F42FE">
        <w:tab/>
        <w:t>ottaa huomioon, että raiskaus on edelleen yleinen ihmisoikeusloukkaus ja sitä käytetään usein sodankäynnin välineenä siviiliväestön terrorisoimiseen ja yhteisöjen tuhoamiseen; katsoo, että tarvitaan kiireellisiä toimia, jotta tähän liittyvä rankaisemattomuus loppuu ja varmistetaan, että raiskauksen uhrit saavat oikeutta;</w:t>
      </w:r>
    </w:p>
    <w:p w14:paraId="6386D884" w14:textId="77777777" w:rsidR="00BD29C5" w:rsidRPr="007F42FE" w:rsidRDefault="00BD29C5" w:rsidP="00E8622B">
      <w:pPr>
        <w:pStyle w:val="NormalHanging12a"/>
        <w:widowControl/>
      </w:pPr>
      <w:r w:rsidRPr="007F42FE">
        <w:t>O.</w:t>
      </w:r>
      <w:r w:rsidRPr="007F42FE">
        <w:tab/>
        <w:t xml:space="preserve">toteaa, että oikeuslaitoksen stereotyyppiset oletukset ja vallitsevat sukupuolinormit voivat yhdessä riittämättömän tiedotuksen kanssa estää väkivallan uhreiksi joutuneiden ja väkivallasta selvinneiden naisten ja tyttöjen oikeussuojan tosiasiallisen toteutumisen; ottaa huomioon, että </w:t>
      </w:r>
      <w:proofErr w:type="spellStart"/>
      <w:r w:rsidRPr="007F42FE">
        <w:t>sukupuolistunut</w:t>
      </w:r>
      <w:proofErr w:type="spellEnd"/>
      <w:r w:rsidRPr="007F42FE">
        <w:t xml:space="preserve"> väkivalta ja naisten oikeussuojan toteutumisen esteet voivat haitata heidän täysivaltaista osallistumistaan julkiseen elämään; toteaa, että tämä asiantila heikentää naisten ja tyttöjen luottamusta oikeusjärjestelmään ja myötävaikuttaa aliraportointiin erityisesti tapauksissa, joissa on kyse </w:t>
      </w:r>
      <w:proofErr w:type="spellStart"/>
      <w:r w:rsidRPr="007F42FE">
        <w:t>sukupuolistuneesta</w:t>
      </w:r>
      <w:proofErr w:type="spellEnd"/>
      <w:r w:rsidRPr="007F42FE">
        <w:t xml:space="preserve"> väkivallasta; toteaa, että monet selviytyjät kokevat edelleen uhrin syyllistämistä, stigmaa sekä pelkoa kostotoimista ja toissijaisesta uhriksi joutumisesta, mikä saa heidät sitäkin herkemmin olemaan hakematta oikeutta;</w:t>
      </w:r>
    </w:p>
    <w:p w14:paraId="472D307F" w14:textId="77777777" w:rsidR="00BD29C5" w:rsidRPr="007F42FE" w:rsidRDefault="00BD29C5" w:rsidP="00E8622B">
      <w:pPr>
        <w:pStyle w:val="NormalHanging12a"/>
        <w:widowControl/>
        <w:rPr>
          <w:bCs/>
          <w:iCs/>
        </w:rPr>
      </w:pPr>
      <w:r w:rsidRPr="007F42FE">
        <w:t>P.</w:t>
      </w:r>
      <w:r w:rsidRPr="007F42FE">
        <w:tab/>
        <w:t xml:space="preserve">ottaa huomioon, että oikeusjärjestelmän sisällä esiintyvät sukupuolistereotypiat, naisviha ja seksismi vahvistavat edelleen sukupuolten eriarvoisuutta pitämällä yllä ennakkoasenteita, syrjiviä käytäntöjä ja epätasa-arvoista valtadynamiikkaa; toteaa, että nämä systeemiset esteet heikentävät naisten luottamusta oikeuden hakemiseen, rajoittavat heidän tasapuolista edustustaan ja edistävät osaltaan oikeudellisissa prosesseissa vallitsevaa epäoikeudenmukaisuutta ja syrjäytymistä; ottaa huomioon, että naisia ja tyttöjä kaikissa maanosissa liikkeelle saanut </w:t>
      </w:r>
      <w:proofErr w:type="spellStart"/>
      <w:r w:rsidRPr="007F42FE">
        <w:t>MeToo</w:t>
      </w:r>
      <w:proofErr w:type="spellEnd"/>
      <w:r w:rsidRPr="007F42FE">
        <w:t>-liike toi kirkkaasti näkyviin ja tuomitsi oikeusjärjestelmässä vallitsevat sukupuolivinoumat ja stereotypiat ja osoitti, että vaikka yhteiskunnalliset, taloudelliset ja oikeudelliset kontekstit eroavat toisistaan, naisten ja tyttöjen oikeusjärjestelmissä kohtaamat haasteet ovat hyvin samankaltaisia ja edellyttävät siksi yhtenäistä toimintaa;</w:t>
      </w:r>
    </w:p>
    <w:p w14:paraId="2BAA4B3C" w14:textId="77777777" w:rsidR="00BD29C5" w:rsidRPr="007F42FE" w:rsidRDefault="00BD29C5" w:rsidP="002B4E4C">
      <w:pPr>
        <w:pStyle w:val="NormalHanging12a"/>
        <w:keepNext/>
        <w:widowControl/>
      </w:pPr>
      <w:r w:rsidRPr="007F42FE">
        <w:t>1.</w:t>
      </w:r>
      <w:r w:rsidRPr="007F42FE">
        <w:tab/>
        <w:t>suosittaa neuvostolle, että</w:t>
      </w:r>
    </w:p>
    <w:p w14:paraId="3F150122" w14:textId="77777777" w:rsidR="00BD29C5" w:rsidRPr="007F42FE" w:rsidRDefault="00BD29C5" w:rsidP="00E8622B">
      <w:pPr>
        <w:pStyle w:val="NormalHanging12a"/>
        <w:widowControl/>
        <w:ind w:left="1134"/>
      </w:pPr>
      <w:r w:rsidRPr="007F42FE">
        <w:t>a)</w:t>
      </w:r>
      <w:r w:rsidRPr="007F42FE">
        <w:tab/>
        <w:t>vahvistetaan EU:n vahva sitoutuminen sukupuolten tasa-arvoon ja taataan, että sukupuolten tasa-arvo ja naisten ja tyttöjen oikeudet pannaan kaikilta osin täytäntöön kaikilla unionin ulkoisten toimien osa-alueilla, myös kehitys-, kauppa- ja ulkopolitiikassa, asianmukaisesti rahoitetulla, osallistavalla ja intersektionaalisella lähestymistavalla, joka haastaa sukupuolistereotypioita ja pohjautuu syrjimättömyyden periaatteeseen, jotta sukupuolten tasa-arvoa voidaan edistää nopeasti;</w:t>
      </w:r>
    </w:p>
    <w:p w14:paraId="23D94201" w14:textId="77777777" w:rsidR="00BD29C5" w:rsidRPr="007F42FE" w:rsidRDefault="00BD29C5" w:rsidP="00E8622B">
      <w:pPr>
        <w:pStyle w:val="NormalHanging12a"/>
        <w:widowControl/>
        <w:ind w:left="1134"/>
      </w:pPr>
      <w:r w:rsidRPr="007F42FE">
        <w:t>b)</w:t>
      </w:r>
      <w:r w:rsidRPr="007F42FE">
        <w:tab/>
        <w:t xml:space="preserve">varmistetaan parlamentin ja sen naisten oikeuksien ja sukupuolten tasa-arvon valiokunnan täysipainoinen osallistuminen päätöksentekoon, joka koskee EU:n kantaa naisten asemaa käsittelevän YK:n toimikunnan 70. istunnossa; varmistetaan, että parlamentti saa asianmukaiset tiedot EU:n kannasta ja mahdollisuuden tutustua sitä koskevaan asiakirjaan ennen neuvotteluja; parannetaan edelleen toimielinten välistä yhteistyötä, myös neuvottelujen aikana, jotta parlamentin painopisteet voidaan ottaa asianmukaisesti huomioon; </w:t>
      </w:r>
      <w:r w:rsidRPr="007F42FE">
        <w:lastRenderedPageBreak/>
        <w:t>korostetaan, että naisten osallistuminen ja johtajuus päätöksentekorooleissa on edelleen vähäistä, myös ulkopolitiikassa ja rauhanrakentamisessa; tunnustetaan, että tutkimusten mukaan rauhansopimukset, joiden neuvottelussa naiset ovat olleet aktiivisesti mukana, osoittautuvat todennäköisemmin kestäviksi ja vaikuttaviksi</w:t>
      </w:r>
      <w:r w:rsidRPr="007F42FE">
        <w:rPr>
          <w:vertAlign w:val="superscript"/>
        </w:rPr>
        <w:footnoteReference w:id="7"/>
      </w:r>
      <w:r w:rsidRPr="007F42FE">
        <w:t>; todetaan, että viimeaikaisissa maailmanlaajuisissa arvioinneissa korostetaan, että nykyisistä sitoumuksista huolimatta naisten kokonaisvaltaisen, yhdenvertaisen ja merkityksellisen osallistumisen ja johtajuuden edistäminen rauhan- ja turvallisuusprosesseissa on edelleen vähäistä;</w:t>
      </w:r>
    </w:p>
    <w:p w14:paraId="60C5F33B" w14:textId="77777777" w:rsidR="00BD29C5" w:rsidRPr="007F42FE" w:rsidRDefault="00BD29C5" w:rsidP="00E8622B">
      <w:pPr>
        <w:pStyle w:val="NormalHanging12a"/>
        <w:widowControl/>
        <w:ind w:left="1134"/>
        <w:rPr>
          <w:bCs/>
          <w:iCs/>
        </w:rPr>
      </w:pPr>
      <w:r w:rsidRPr="007F42FE">
        <w:t>c)</w:t>
      </w:r>
      <w:r w:rsidRPr="007F42FE">
        <w:tab/>
        <w:t>vahvistetaan, että EU on sitoutunut sukupuolten tasa-arvoon laaja-alaisena painopisteenä; tuetaan ja puolustetaan monimuotoisuuden, yhdenvertaisuusvertaisuuden ja osallisuuden arvoja; korostetaan tarvetta kehittää kattava väline, jolla seurataan ja torjutaan demokratian taantumista ja naisten oikeuksien heikkenemistä, jotka liittyvät erottamattomasti toisiinsa; otetaan johtoasema maailmanlaajuisessa taistelussa sukupuolten tasa-arvon heikentämispyrkimyksiä vastaan ja tuomitaan jyrkästi hyökkäykset sukupuolten tasa-arvon ja oikeuksien vastaisten liikkeiden taholta, sillä nämä liikkeet levittävät valheita, heikentävät demokratiaa ja ottavat tähtäimeensä naisten ja hlbtiq+ -henkilöiden oikeudet;</w:t>
      </w:r>
    </w:p>
    <w:p w14:paraId="1C35EBDF" w14:textId="7495F820" w:rsidR="00BD29C5" w:rsidRPr="007F42FE" w:rsidRDefault="00AF7A6A" w:rsidP="00E8622B">
      <w:pPr>
        <w:pStyle w:val="NormalHanging12a"/>
        <w:widowControl/>
        <w:ind w:left="1134"/>
        <w:rPr>
          <w:bCs/>
          <w:iCs/>
        </w:rPr>
      </w:pPr>
      <w:r w:rsidRPr="007F42FE">
        <w:t>d</w:t>
      </w:r>
      <w:r w:rsidR="00BD29C5" w:rsidRPr="007F42FE">
        <w:t>)</w:t>
      </w:r>
      <w:r w:rsidR="00BD29C5" w:rsidRPr="007F42FE">
        <w:tab/>
        <w:t xml:space="preserve">varmistetaan, että eurooppalaiset ja kansainväliset välineet ovat toisiaan täydentäviä ja kunnianhimoisia ja että niihin sisältyy määrätietoisia aineellisia määräyksiä, joilla lisätään naisten ja tyttöjen vaikutusvaltaa ja taataan oikeussuojan saatavuus; korostetaan, että oikeus oikeusapuun ja oikeudelliseen edunvalvontaan on olennaisen tärkeä, jotta voidaan taata jokaisen yleiset ja yhtäläiset mahdollisuudet saada oikeussuojaa ja tosiasiallinen osallistuminen asiaankuuluviin menettelyihin; korostetaan lisäksi, että vammaiset henkilöt, etenkin vammaiset naiset ja tytöt, kohtaavat rakenteellisia ja käytännön esteitä oikeussuojan saatavuudessa ja julkisessa osallistumisessa; painotetaan tarvetta toteuttaa erityisiä toimenpiteitä, joilla heille taataan kokonaisvaltainen osallisuus ja yleinen mahdollisuus saada tosiasiallista suojelua; varmistetaan, että EU osoittaa vahvaa johtajuutta ja omaksuu yhtenäisen näkemyksen siitä, että oikeuslaitosten on oltava osallistavia ja puolueettomia; edistetään kattavia oikeudellisia kehyksiä, joilla suojellaan naisten oikeuksia ja varmistetaan naisten, tyttöjen ja kaikenlaisten ihmisten täysivaltainen ja yhdenvertainen osallistuminen sekä kansallisen että kansainvälisen oikeuden nojalla; vaaditaan varmistamaan se ja edistämään sitä, että uhrilla on oikeus rikoksentekijän maksamaan oikea-aikaiseen korvaukseen rikosoikeudellisessa menettelyssä, ja vaihtamaan parhaita käytäntöjä toissijaisen uhriksi joutumisen estämiseksi, myös valtion </w:t>
      </w:r>
      <w:proofErr w:type="spellStart"/>
      <w:r w:rsidR="00BD29C5" w:rsidRPr="007F42FE">
        <w:t>sijaantulomenettelyjen</w:t>
      </w:r>
      <w:proofErr w:type="spellEnd"/>
      <w:r w:rsidR="00BD29C5" w:rsidRPr="007F42FE">
        <w:t xml:space="preserve"> avulla;</w:t>
      </w:r>
    </w:p>
    <w:p w14:paraId="67860498" w14:textId="5AEE382E" w:rsidR="00E70EB1" w:rsidRPr="007F42FE" w:rsidRDefault="00AF7A6A" w:rsidP="00E70EB1">
      <w:pPr>
        <w:pStyle w:val="NormalHanging12a"/>
        <w:widowControl/>
        <w:ind w:left="1134"/>
      </w:pPr>
      <w:r w:rsidRPr="007F42FE">
        <w:t>e</w:t>
      </w:r>
      <w:r w:rsidR="00BD29C5" w:rsidRPr="007F42FE">
        <w:t>)</w:t>
      </w:r>
      <w:r w:rsidR="00BD29C5" w:rsidRPr="007F42FE">
        <w:tab/>
        <w:t xml:space="preserve">toteutetaan toimia, joilla </w:t>
      </w:r>
      <w:proofErr w:type="spellStart"/>
      <w:r w:rsidR="00BD29C5" w:rsidRPr="007F42FE">
        <w:t>olemassaolevat</w:t>
      </w:r>
      <w:proofErr w:type="spellEnd"/>
      <w:r w:rsidR="00BD29C5" w:rsidRPr="007F42FE">
        <w:t xml:space="preserve"> sukupuolten tasa-arvoa ja naisten vaikutusvallan lisäämistä koskevat sitoumukset pannaan kattavasti täytäntöön, jotta varmistetaan naisten yhtäläisten ihmisoikeuksien ja perusvapauksien suojelu ilman syrjintää, ja edistetään näin heidän osallistumistaan julkiseen elämään;</w:t>
      </w:r>
    </w:p>
    <w:p w14:paraId="0DEC5A20" w14:textId="7FEE260E" w:rsidR="00E70EB1" w:rsidRPr="007F42FE" w:rsidRDefault="00E70EB1" w:rsidP="00E70EB1">
      <w:pPr>
        <w:pStyle w:val="NormalHanging12a"/>
        <w:widowControl/>
        <w:ind w:left="1134"/>
      </w:pPr>
      <w:r w:rsidRPr="007F42FE">
        <w:rPr>
          <w:bCs/>
          <w:iCs/>
        </w:rPr>
        <w:t>f)</w:t>
      </w:r>
      <w:r w:rsidRPr="007F42FE">
        <w:rPr>
          <w:bCs/>
          <w:iCs/>
        </w:rPr>
        <w:tab/>
        <w:t>painottaa, että on tärkeää tukea äitiyttä edistävää ja tukevaa julkista politiikkaa;</w:t>
      </w:r>
    </w:p>
    <w:p w14:paraId="21B241D6" w14:textId="4D8CFA06" w:rsidR="00BD29C5" w:rsidRPr="007F42FE" w:rsidRDefault="00BD29C5" w:rsidP="00E8622B">
      <w:pPr>
        <w:pStyle w:val="NormalHanging12a"/>
        <w:widowControl/>
        <w:ind w:left="1134"/>
        <w:rPr>
          <w:bCs/>
          <w:iCs/>
        </w:rPr>
      </w:pPr>
      <w:r w:rsidRPr="007F42FE">
        <w:lastRenderedPageBreak/>
        <w:t>g)</w:t>
      </w:r>
      <w:r w:rsidRPr="007F42FE">
        <w:tab/>
        <w:t xml:space="preserve">tähdennetään, että on tärkeää taata naisille ja tytöille tosiasiallinen oikeussuojan saatavuus kaikilla tasoilla, mihin sisältyvät myös selkeät ilmoituskanavat ja suojelu- ja tukitoimenpiteiden nopea käsittely; poistetaan esteitä erityisesti muita heikommassa ja haavoittuvassa asemassa olevien naisten ryhmiltä, jotka usein kohtaavat niitä oikeussuojan saatavuudessa oikeusjärjestelmän rajallisten ja alirahoitettujen resurssien kerrannaisvaikutusten sekä sosioekonomisten ja -kulttuuristen syiden ja risteävän syrjinnän vuoksi; varmistetaan riittävät, uhrikeskeiset tuki- ja suojelupalvelut tapauksissa, joissa on kyse </w:t>
      </w:r>
      <w:proofErr w:type="spellStart"/>
      <w:r w:rsidRPr="007F42FE">
        <w:t>sukupuolistuneesta</w:t>
      </w:r>
      <w:proofErr w:type="spellEnd"/>
      <w:r w:rsidRPr="007F42FE">
        <w:t xml:space="preserve"> väkivallasta, ja ehkäistään kaikenlaista toissijaista uhriksi joutumista poliisille ilmoitettaessa ja tuomioistuinmenettelyn aikana;  korostetaan, että taloudellinen eriarvoisuus on edelleen merkittävä oikeussuojan saatavuuden este;</w:t>
      </w:r>
    </w:p>
    <w:p w14:paraId="4E9478D9" w14:textId="4EBEE9AE" w:rsidR="00BD29C5" w:rsidRPr="007F42FE" w:rsidRDefault="00BD29C5" w:rsidP="00E8622B">
      <w:pPr>
        <w:pStyle w:val="NormalHanging12a"/>
        <w:widowControl/>
        <w:ind w:left="1134"/>
        <w:rPr>
          <w:bCs/>
          <w:iCs/>
        </w:rPr>
      </w:pPr>
      <w:r w:rsidRPr="007F42FE">
        <w:t>h)</w:t>
      </w:r>
      <w:r w:rsidRPr="007F42FE">
        <w:tab/>
        <w:t>painotetaan tarvetta tunnustaa sukupuoleen perustuva erottelu rikokseksi ihmisyyttä vastaan Rooman perussäännön nojalla ja edistetään sen kansainvälistä tunnustamista, jotta varmistetaan oikeussuojan saatavuus, vastuuseen saattaminen ja mahdollisuus nostaa syytteitä kansainvälisissä tuomioistuimissa; tuetaan naisten ja tyttöjen syrjintää käsittelevän YK:n työryhmän esittämää sukupuoleen perustuvan erottelun määritelmää, jossa sillä tarkoitetaan sellaisen järjestelmän puitteissa tehtyjä tekoja, johon sukupuoleen perustuva syrjintä ja alistaminen ovat vakiintuneet;</w:t>
      </w:r>
    </w:p>
    <w:p w14:paraId="30ECE8F6" w14:textId="34608E46" w:rsidR="00BD29C5" w:rsidRPr="007F42FE" w:rsidRDefault="00BD29C5" w:rsidP="00E8622B">
      <w:pPr>
        <w:pStyle w:val="NormalHanging12a"/>
        <w:widowControl/>
        <w:ind w:left="1134"/>
        <w:rPr>
          <w:rFonts w:eastAsiaTheme="minorHAnsi"/>
          <w:bCs/>
          <w:iCs/>
          <w:szCs w:val="24"/>
        </w:rPr>
      </w:pPr>
      <w:r w:rsidRPr="007F42FE">
        <w:t>i)</w:t>
      </w:r>
      <w:r w:rsidRPr="007F42FE">
        <w:tab/>
        <w:t>varmistetaan sukupuolistuneen väkivallan psykologisia, henkisiä, fyysisiä, pakottavia ja taloudellisia vaikutuksia koskevien parhaiden käytäntöjen vaihto muun muassa oikeusalalla annettavan koulutuksen avulla; sitoudutaan sisällyttämään oikeudelliseen päätöksentekoon sukupuolten tasa-arvoon liittyvät näkökohdat ja kannustetaan siihen; edistetään mahdollisuutta tarjota uhreille pyynnöstä naispuolisia asianajajia; edistetään sukupuolisensitiivisen, uhrikeskeisen koulutuksen antamista uhrien kanssa tekemisiin joutuville viranomaisille, kuten poliiseille, syyttäjille ja tuomareille, heidän tehtäviensä mukaisesti, jotta estetään toissijaista uhriksi joutumista, puututaan sukupuolistereotypioihin ja -vinoumiin sekä varmistetaan uhrien kunnioittava, traumasensitiivinen ja syrjimätön kohtelu;</w:t>
      </w:r>
    </w:p>
    <w:p w14:paraId="0BB1EDD4" w14:textId="277596EB" w:rsidR="00BD29C5" w:rsidRPr="007F42FE" w:rsidRDefault="00BD29C5" w:rsidP="00E8622B">
      <w:pPr>
        <w:pStyle w:val="NormalHanging12a"/>
        <w:widowControl/>
        <w:ind w:left="1134"/>
        <w:rPr>
          <w:bCs/>
          <w:iCs/>
        </w:rPr>
      </w:pPr>
      <w:r w:rsidRPr="007F42FE">
        <w:t>j)</w:t>
      </w:r>
      <w:r w:rsidRPr="007F42FE">
        <w:tab/>
        <w:t>korostetaan, että naisille ja tytöille on tärkeää olla tarjolla saavutettavaa, kattavaa ja johdonmukaista tietoa heidän oikeuksistaan, tuesta ja suojelusta kaikissa oikeusprosessin vaiheissa, etenkin tapauksissa, joissa on kyse naisiin kohdistuvasta väkivallasta tai perheväkivallasta, mitä varten toteutetaan myös tiedotustoimia; korostetaan tarvetta tukea ruohonjuuritason oikeudellisen vaikutusvallan lisäämisen ohjelmia, joilla autetaan naisia ja tyttöjä ymmärtämään ja käyttämään oikeuksiaan, ja edistetään rikosten uhreille tarkoitettujen sekä yleisten että erikoistuneiden tukipalvelujen perustamista ja varmistetaan, että niiden koordinointi ja niihin ohjaamisen menetelmät ovat tehokkaita; korostetaan, että näillä palveluilla on keskeinen rooli, kun tiedotetaan uhreille heidän oikeuksistaan ja parannetaan oikeussuojan saatavuutta heidän osaltaan; varmistetaan, että uhreille suunnattu tieto on helposti saatavilla ja siinä käytetään selkeää kieltä; tuetaan uhrien tukipuhelimien tarjoamista ja käyttöä ja varmistetaan, että niitä on saatavilla eri kanavien kautta, kuten puhelimitse sekä tieto- ja viestintäteknologian välityksellä; todetaan, että rajalliset mahdollisuudet käyttää tieto- ja viestintäteknologiaa vaikeuttavat monissa maailman maissa naisten ja tyttöjen kaiken potentiaalin hyödyntämistä;</w:t>
      </w:r>
    </w:p>
    <w:p w14:paraId="43FD83EE" w14:textId="773EE1F4" w:rsidR="00BD29C5" w:rsidRPr="007F42FE" w:rsidRDefault="00BD29C5" w:rsidP="00E8622B">
      <w:pPr>
        <w:pStyle w:val="NormalHanging12a"/>
        <w:widowControl/>
        <w:ind w:left="1134"/>
        <w:rPr>
          <w:rFonts w:eastAsiaTheme="minorHAnsi"/>
          <w:bCs/>
          <w:iCs/>
          <w:szCs w:val="24"/>
        </w:rPr>
      </w:pPr>
      <w:r w:rsidRPr="007F42FE">
        <w:lastRenderedPageBreak/>
        <w:t>k)</w:t>
      </w:r>
      <w:r w:rsidRPr="007F42FE">
        <w:tab/>
        <w:t xml:space="preserve">sitoudutaan varmistamaan oikeusavun saatavuus uhreille siviili- tai rikosoikeudellisten menettelyjen alusta lähtien ja edistetään tätä toimintatapaa maailmanlaajuisesti yhdessä kansainvälisten kumppaneiden kanssa; kehotetaan sisällyttämään sukupuolinäkökulma kaikkiin toimintapolitiikkoihin, lakeihin, menettelyihin, ohjelmiin ja käytäntöihin, jotta voidaan puuttua naisten ja tyttöjen kohtaamiin erityisiin esteisiin, mukaan luettuina vähäinen tietoisuus oikeuksista, syrjivät asenteet ja sukupuolistereotypiat oikeusjärjestelmissä ja erikoistuneiden palvelujen riittämätön saatavuus erityisesti maaseutualueilla ja syrjäisillä alueilla; edistetään käytäntöä, jossa naisten ja tyttöjen oikeutta oikeusapuun arvioidaan yksinomaan heidän omien varojensa perusteella riippumatta heidän aviomiehensä, kumppaninsa tai perheensä tuloista, mikä on erityisen tärkeää tapauksissa, joissa on kyse </w:t>
      </w:r>
      <w:proofErr w:type="spellStart"/>
      <w:r w:rsidRPr="007F42FE">
        <w:t>sukupuolistuneesta</w:t>
      </w:r>
      <w:proofErr w:type="spellEnd"/>
      <w:r w:rsidRPr="007F42FE">
        <w:t xml:space="preserve"> väkivallasta; korostetaan, että oikeussuojan saatavuudesta, tapausten tuloksista, oikeusavun käytöstä ja esteistä on tärkeää olla sukupuolen mukaan eriteltyä tietoa, joka voi toimia näyttöön perustuvan päätöksenteon tukena;</w:t>
      </w:r>
    </w:p>
    <w:p w14:paraId="6FBB17DA" w14:textId="257B30F2" w:rsidR="00BD29C5" w:rsidRPr="007F42FE" w:rsidRDefault="00BD29C5" w:rsidP="00E8622B">
      <w:pPr>
        <w:pStyle w:val="NormalHanging12a"/>
        <w:widowControl/>
        <w:ind w:left="1134"/>
        <w:rPr>
          <w:bCs/>
          <w:iCs/>
        </w:rPr>
      </w:pPr>
      <w:r w:rsidRPr="007F42FE">
        <w:t>l)</w:t>
      </w:r>
      <w:r w:rsidRPr="007F42FE">
        <w:tab/>
        <w:t>edistetään naisten johtajuutta, yhdenvertaista osallistumista ja suurempaa edustusta oikeuslaitoksessa ja sen hallintoelimissä ja toteutetaan aktiivisia toimia, joilla edistetään vähemmistöihin ja syrjäytyneisiin ryhmiin kuuluvien naisten laajaa pääsyä oikeusalan ammatteihin, jotta voidaan purkaa oikeusjärjestelmässä olevia rakenteellisia esteitä ja edistää oikeuslaitoksen tasapuolisuutta ja edustavuutta ja siten varmistaa yhtäläiset mahdollisuudet;</w:t>
      </w:r>
    </w:p>
    <w:p w14:paraId="778EF097" w14:textId="3A0EE852" w:rsidR="00BD29C5" w:rsidRPr="007F42FE" w:rsidRDefault="00BD29C5" w:rsidP="00E8622B">
      <w:pPr>
        <w:pStyle w:val="NormalHanging12a"/>
        <w:widowControl/>
        <w:ind w:left="1134"/>
        <w:rPr>
          <w:bCs/>
          <w:iCs/>
        </w:rPr>
      </w:pPr>
      <w:r w:rsidRPr="007F42FE">
        <w:t>m)</w:t>
      </w:r>
      <w:r w:rsidRPr="007F42FE">
        <w:tab/>
        <w:t>edistetään ja tuetaan konkreettisia toimia ja toimenpiteitä, joilla varmistetaan naisten osallisuus ja johtajuus julkisen elämän päätöksenteossa muun muassa ulkopolitiikan, puolustuksen ja turvallisuuden aloilla sekä konfliktien ja kriisien ennaltaehkäisyssä, hallinnassa ja ratkaisussa; korostetaan tarvetta yhteiselle seurantamenetelmälle, jolla kerätään tietoja naisten osallistumisesta näillä aloilla;</w:t>
      </w:r>
    </w:p>
    <w:p w14:paraId="41B0CE5C" w14:textId="28FED2EA" w:rsidR="00BD29C5" w:rsidRPr="007F42FE" w:rsidRDefault="00BD29C5" w:rsidP="00E8622B">
      <w:pPr>
        <w:pStyle w:val="NormalHanging12a"/>
        <w:widowControl/>
        <w:ind w:left="1134"/>
        <w:rPr>
          <w:bCs/>
          <w:iCs/>
        </w:rPr>
      </w:pPr>
      <w:r w:rsidRPr="007F42FE">
        <w:t>n)</w:t>
      </w:r>
      <w:r w:rsidRPr="007F42FE">
        <w:tab/>
        <w:t xml:space="preserve">tuetaan ja edistetään aktiivisesti </w:t>
      </w:r>
      <w:proofErr w:type="spellStart"/>
      <w:r w:rsidRPr="007F42FE">
        <w:t>CEDAWin</w:t>
      </w:r>
      <w:proofErr w:type="spellEnd"/>
      <w:r w:rsidRPr="007F42FE">
        <w:t xml:space="preserve"> vuonna 2024 antamaa naisten tasa-arvoista ja osallistavaa edustusta päätöksentekojärjestelmissä koskevaa yleistä suositusta nro 40, jossa se määritellään naisten ja miesten, heidän kaikessa moninaisuudessaan, tasapuoliseksi (50:50) edustukseksi, kun on kyse tasavertaisesta pääsystä kyseisiin järjestelmiin ja yhtäläisestä vallasta niissä;</w:t>
      </w:r>
    </w:p>
    <w:p w14:paraId="36E982DA" w14:textId="2DEE0169" w:rsidR="00BD29C5" w:rsidRPr="007F42FE" w:rsidRDefault="00BD29C5" w:rsidP="00E8622B">
      <w:pPr>
        <w:pStyle w:val="NormalHanging12a"/>
        <w:widowControl/>
        <w:ind w:left="1134"/>
        <w:rPr>
          <w:bCs/>
          <w:iCs/>
        </w:rPr>
      </w:pPr>
      <w:r w:rsidRPr="007F42FE">
        <w:t>o)</w:t>
      </w:r>
      <w:r w:rsidRPr="007F42FE">
        <w:tab/>
        <w:t>kannustetaan siihen, että naiset ovat sekä EU:ssa että maailmanlaajuisesti merkittävällä tavalla mukana kaikilla päätöksenteon tasoilla ulko-, puolustus- ja turvallisuuspolitiikassa sekä konfliktinratkaisussa;</w:t>
      </w:r>
    </w:p>
    <w:p w14:paraId="374DC075" w14:textId="71930977" w:rsidR="00BD29C5" w:rsidRPr="007F42FE" w:rsidRDefault="00BD29C5" w:rsidP="00E8622B">
      <w:pPr>
        <w:pStyle w:val="NormalHanging12a"/>
        <w:widowControl/>
        <w:ind w:left="1134"/>
        <w:rPr>
          <w:bCs/>
          <w:iCs/>
        </w:rPr>
      </w:pPr>
      <w:r w:rsidRPr="007F42FE">
        <w:t>p)</w:t>
      </w:r>
      <w:r w:rsidRPr="007F42FE">
        <w:tab/>
        <w:t xml:space="preserve">toteutetaan toimia, joilla </w:t>
      </w:r>
      <w:proofErr w:type="spellStart"/>
      <w:r w:rsidRPr="007F42FE">
        <w:t>olemassaolevat</w:t>
      </w:r>
      <w:proofErr w:type="spellEnd"/>
      <w:r w:rsidRPr="007F42FE">
        <w:t xml:space="preserve"> sukupuolten tasa-arvoa ja naisten vaikutusvallan lisäämistä koskevat sitoumukset pannaan kiireellisesti ja kattavasti täytäntöön, jotta varmistetaan naisten yhtäläisten ihmisoikeuksien ja perusvapauksien suojelu ilman syrjintää, myös sellaisten vahvojen julkisten laitosten ja politiikkojen avulla, joilla taataan yhtäläiset mahdollisuudet, ja edistetään näin heidän vaikuttavaa ja kokonaisvaltaista osallistumistaan julkiseen elämään, mikä helpottaa heidän osallistumistaan päätöksentekoprosesseihin; tuomitaan verkossa esiintyvä naisiin kohdistuva vihapuhe ja sen vaikutukset naisten osallistumiseen julkiseen elämään ja tuetaan naisille ja tytöille suunnattuja medialukutaito- ja digiturvallisuusohjelmia;</w:t>
      </w:r>
    </w:p>
    <w:p w14:paraId="3CDD2B7C" w14:textId="32544F83" w:rsidR="00BD29C5" w:rsidRPr="007F42FE" w:rsidRDefault="00BD29C5" w:rsidP="00E8622B">
      <w:pPr>
        <w:pStyle w:val="NormalHanging12a"/>
        <w:widowControl/>
        <w:ind w:left="1134"/>
        <w:rPr>
          <w:rFonts w:eastAsiaTheme="minorHAnsi"/>
          <w:bCs/>
          <w:iCs/>
          <w:szCs w:val="24"/>
        </w:rPr>
      </w:pPr>
      <w:r w:rsidRPr="007F42FE">
        <w:t>q)</w:t>
      </w:r>
      <w:r w:rsidRPr="007F42FE">
        <w:tab/>
        <w:t xml:space="preserve">korostetaan, että naisten sekä naisten oikeuksia puolustavien järjestöjen vaikutusvallan lisääminen ja tuki naisten osallistumiselle ulkopolitiikkaa ja </w:t>
      </w:r>
      <w:r w:rsidRPr="007F42FE">
        <w:lastRenderedPageBreak/>
        <w:t xml:space="preserve">konflikteja koskevaan päätöksentekoon tuottaa parempia tuloksia yhteisöille sekä edistää oikeussuojan saatavuutta ja kestävämpää rauhaa; tuomitaan selkeästi viimeaikaiset rahoitusleikkaukset, jotka ovat kohdistuneet naisjärjestöihin, naisten oikeuksia ajaviin järjestöihin ja kansalaisyhteiskunnan organisaatioihin, jotka torjuvat </w:t>
      </w:r>
      <w:proofErr w:type="spellStart"/>
      <w:r w:rsidRPr="007F42FE">
        <w:t>sukupuolistunutta</w:t>
      </w:r>
      <w:proofErr w:type="spellEnd"/>
      <w:r w:rsidRPr="007F42FE">
        <w:t xml:space="preserve"> väkivaltaa ja lisäävät naisten vaikutusvaltaa oikeussuojan saamiseksi; varmistetaan lisäksi kestävä rahoitus ja oikeussuoja feministi- ja hlbtiq+ -järjestöille, erityisesti ruohonjuuritason ryhmille, jotka ovat uhattuina kansalaisyhteiskunnan supistuvien toimintamahdollisuuksien ja kansalaisjärjestöihin kohdistuvien rajoittavien lakien vuoksi;</w:t>
      </w:r>
    </w:p>
    <w:p w14:paraId="0BDA0BDE" w14:textId="4D176F1D" w:rsidR="00BD29C5" w:rsidRPr="007F42FE" w:rsidRDefault="00BD29C5" w:rsidP="00E8622B">
      <w:pPr>
        <w:pStyle w:val="NormalHanging12a"/>
        <w:widowControl/>
        <w:ind w:left="1134"/>
      </w:pPr>
      <w:r w:rsidRPr="007F42FE">
        <w:t>r)</w:t>
      </w:r>
      <w:r w:rsidRPr="007F42FE">
        <w:tab/>
        <w:t xml:space="preserve">puolustetaan </w:t>
      </w:r>
      <w:proofErr w:type="spellStart"/>
      <w:r w:rsidRPr="007F42FE">
        <w:t>CSW:n</w:t>
      </w:r>
      <w:proofErr w:type="spellEnd"/>
      <w:r w:rsidRPr="007F42FE">
        <w:t xml:space="preserve"> toimeksiantoa ottaen huomioon Yhdysvaltojen ja samanhenkisten maiden pyrkimykset heikentää sovittuja sukupuolten tasa-arvoa koskevia painopisteitä ja tuodaan esiin huolta siitä, että tällainen poliittinen painostus yhdistettynä sukupuolten tasa-arvoa ajavien ohjelmien rahoituksen leikkauksiin uhkaa heikentää </w:t>
      </w:r>
      <w:proofErr w:type="spellStart"/>
      <w:r w:rsidRPr="007F42FE">
        <w:t>CSW:n</w:t>
      </w:r>
      <w:proofErr w:type="spellEnd"/>
      <w:r w:rsidRPr="007F42FE">
        <w:t xml:space="preserve"> vaikuttavuutta ja uskottavuutta; kasvatetaan kehitysapurahoitusta Yhdysvaltain kehitysyhteistyöviraston lakkauttamisen jättämän vajeen korvaamiseksi; vahvistetaan täysi tuki YK:n tasa-arvojärjestö UN </w:t>
      </w:r>
      <w:proofErr w:type="spellStart"/>
      <w:r w:rsidRPr="007F42FE">
        <w:t>Womenin</w:t>
      </w:r>
      <w:proofErr w:type="spellEnd"/>
      <w:r w:rsidRPr="007F42FE">
        <w:t xml:space="preserve"> työlle, sillä se on YK:n järjestelmässä keskeinen toimija, joka pyrkii edistämään kaikkien naisten oikeuksia ja saattamaan yhteen kaikki asiaankuuluvat sidosryhmät poliittisen muutoksen aikaansaamiseksi ja toimien koordinoimiseksi; vaaditaan kaikkia YK:n jäsenvaltioita ja EU:ta varmistamaan, että UN </w:t>
      </w:r>
      <w:proofErr w:type="spellStart"/>
      <w:r w:rsidRPr="007F42FE">
        <w:t>Women</w:t>
      </w:r>
      <w:proofErr w:type="spellEnd"/>
      <w:r w:rsidRPr="007F42FE">
        <w:t xml:space="preserve"> saa riittävästi rahoitusta; sitoudutaan myöntämään riittävästi rahoitusta työhön sukupuolten tasa-arvon ja naisten oikeuksien hyväksi, seksuaali- ja lisääntymisterveys ja -oikeudet mukaan luettuina;</w:t>
      </w:r>
    </w:p>
    <w:p w14:paraId="4705F2A1" w14:textId="426F3544" w:rsidR="00BD29C5" w:rsidRPr="007F42FE" w:rsidRDefault="00BD29C5" w:rsidP="00E8622B">
      <w:pPr>
        <w:pStyle w:val="NormalHanging12a"/>
        <w:widowControl/>
        <w:ind w:left="1134"/>
      </w:pPr>
      <w:r w:rsidRPr="007F42FE">
        <w:t>s)</w:t>
      </w:r>
      <w:r w:rsidRPr="007F42FE">
        <w:tab/>
        <w:t xml:space="preserve">sovelletaan sukupuolten tasa-arvon valtavirtaistamista ja sukupuolitietoista budjetointia kaikilla EU:n politiikan aloilla, myös ulkoisissa toimissa; painotetaan, että valtioiden on osoitettava asianmukaista, riittävää ja ennakoitavaa rahoitusta </w:t>
      </w:r>
      <w:proofErr w:type="spellStart"/>
      <w:r w:rsidRPr="007F42FE">
        <w:t>sukupuoliresponsiiviseen</w:t>
      </w:r>
      <w:proofErr w:type="spellEnd"/>
      <w:r w:rsidRPr="007F42FE">
        <w:t xml:space="preserve"> oikeusapuun ja tukipalveluihin, erityisesti </w:t>
      </w:r>
      <w:proofErr w:type="spellStart"/>
      <w:r w:rsidRPr="007F42FE">
        <w:t>sukupuolistuneesta</w:t>
      </w:r>
      <w:proofErr w:type="spellEnd"/>
      <w:r w:rsidRPr="007F42FE">
        <w:t xml:space="preserve"> väkivallasta selviytyneille, ja riittäviin korvauksensaantimahdollisuuksiin, sillä nykyiset esteet vaikuttavat suhteettomasti naisten oikeussuojan toteutumiseen; korostetaan, että on tärkeää puuttua käytännön esteisiin sekä alueellisiin ja esteettömyyteen liittyviin esteisiin, jotka vaikeuttavat naisten ja haavoittuvassa asemassa olevien ryhmien oikeussuojan toteutumista erityisesti maaseutualueilla, syrjäisillä alueilla sekä taloudellisesti heikossa asemassa olevilla alueilla; korostetaan vammaisten naisten, ikääntyneiden naisten ja yksinhuoltajien kohtaamia erityishaasteita, mukaan luettuna puutteellinen fyysinen esteettömyys ja räätälöityjen tukipalvelujen puuttuminen; tunnustetaan, että oikeusapu on usein kroonisesti alirahoitettua ja aliarvostettua, mikä muodostaa jälleen yhden esteen kriisitilanteissa oleville, oikeussuojaa hakeville naisille, ja että tämä vaikuttaa suhteettomasti alemmassa sosioekonomisessa asemassa oleviin naisiin ja kaikista haavoittuvimmassa asemassa oleviin, mitä tulee oikeussuojan saatavuuteen, kun heidän oikeuksiaan loukataan;</w:t>
      </w:r>
    </w:p>
    <w:p w14:paraId="4A39E00E" w14:textId="021182F8" w:rsidR="00BD29C5" w:rsidRPr="007F42FE" w:rsidRDefault="00BD29C5" w:rsidP="00E8622B">
      <w:pPr>
        <w:pStyle w:val="NormalHanging12a"/>
        <w:widowControl/>
        <w:ind w:left="1134"/>
        <w:rPr>
          <w:rFonts w:eastAsiaTheme="minorHAnsi"/>
          <w:szCs w:val="24"/>
        </w:rPr>
      </w:pPr>
      <w:r w:rsidRPr="007F42FE">
        <w:t>t)</w:t>
      </w:r>
      <w:r w:rsidRPr="007F42FE">
        <w:tab/>
        <w:t xml:space="preserve">vahvistetaan, että EU on sitoutunut torjumaan </w:t>
      </w:r>
      <w:proofErr w:type="spellStart"/>
      <w:r w:rsidRPr="007F42FE">
        <w:t>sukupuolistunutta</w:t>
      </w:r>
      <w:proofErr w:type="spellEnd"/>
      <w:r w:rsidRPr="007F42FE">
        <w:t xml:space="preserve"> väkivaltaa, myös seksuaalista väkivaltaa, ja poistamaan sen rankaisemattomuuden; edistetään kaikkien sukupuolistuneen väkivallan muotojen, myös perheväkivallan, seksuaalisen väkivallan, ihmiskaupan ja haitallisten käytäntöjen, rankaisemattomuuden poistamista; nopeutetaan sellaisten kansainvälisten sitoumusten täytäntöönpanoa, joilla ehkäistään edelleen kaikenlaista naisiin ja tyttöihin kohdistuvaa väkivaltaa sekä julkisella että yksityisellä tasolla ja </w:t>
      </w:r>
      <w:r w:rsidRPr="007F42FE">
        <w:lastRenderedPageBreak/>
        <w:t xml:space="preserve">reagoidaan siihen, mukaan lukien raiskaus, naisten sukuelinten silpominen, pakkoavioliitto, niin kutsuttu eheytystoiminta, intiimin tai manipuloidun materiaalin, syväväärennösten ja tekoälyn tuottaman materiaalin jakaminen ilman suostumusta, verkkoahdistelu, verkkohäirintä, verkkopaljastelu, verkon kautta tapahtuva yllyttäminen väkivaltaan tai vihaan, vihapuhe ja viharikokset; korostetaan, että on tärkeää puuttua tekoälyllä manipuloidun teknologian aiheuttamaan uhkaan, ja puhutaan EU:n ja kansainvälisellä tasolla määrätietoisemman verkkoväkivaltaan puuttumisen puolesta, sillä nämä molemmat vaikuttavat suhteettomasti naisiin ja estävät heitä osallistumasta täysipainoisesti julkiseen elämään; vaaditaan erittäin suuria verkkoalustoja ja erittäin suuria verkossa toimivia hakukoneita mahdollistamaan </w:t>
      </w:r>
      <w:proofErr w:type="spellStart"/>
      <w:r w:rsidRPr="007F42FE">
        <w:t>sukupuolistuneeseen</w:t>
      </w:r>
      <w:proofErr w:type="spellEnd"/>
      <w:r w:rsidRPr="007F42FE">
        <w:t xml:space="preserve"> väkivaltaan liittyvien vuosittaisten riskinarviointiensa ja lieventävien toimenpiteidensä julkinen tarkastelu, jotta voidaan parantaa tutkimusta ja ratkaisuja;</w:t>
      </w:r>
    </w:p>
    <w:p w14:paraId="29556390" w14:textId="7C5BDA33" w:rsidR="00BD29C5" w:rsidRPr="007F42FE" w:rsidRDefault="00BD29C5" w:rsidP="00E8622B">
      <w:pPr>
        <w:pStyle w:val="NormalHanging12a"/>
        <w:widowControl/>
        <w:ind w:left="1134"/>
        <w:rPr>
          <w:bCs/>
          <w:iCs/>
        </w:rPr>
      </w:pPr>
      <w:r w:rsidRPr="007F42FE">
        <w:t>u)</w:t>
      </w:r>
      <w:r w:rsidRPr="007F42FE">
        <w:tab/>
        <w:t xml:space="preserve">painotetaan, että seksuaali- ja lisääntymisterveyspalvelujen ja -oikeuksien, mukaan lukien turvalliset ja lailliset abortit, saatavuuden puuttuminen tai epääminen on yhdenlaista </w:t>
      </w:r>
      <w:proofErr w:type="spellStart"/>
      <w:r w:rsidRPr="007F42FE">
        <w:t>sukupuolistunutta</w:t>
      </w:r>
      <w:proofErr w:type="spellEnd"/>
      <w:r w:rsidRPr="007F42FE">
        <w:t xml:space="preserve"> väkivaltaa ja loukkaa ihmisoikeuksia ja perusoikeuksia; peräänkuulutetaan toimia, joilla varmistetaan seksuaali- ja lisääntymisterveyspalvelujen ja -oikeuksien laaja ja tasapuolinen saatavuus maailmanlaajuisesti, ja todetaan jälleen, että turvallisen ja laillisen abortin saatavuus on perustavanlaatuinen osa naisten seksuaali- ja lisääntymisterveyttä ja -oikeuksia ja välttämätöntä heidän oikeudelleen päättää omasta kehostaan; vaaditaan, että abortti, ehkäisy ja äitiyshuolto, erityisesti jälkiehkäisy, sukupuolitautien testaus ja altistumisen jälkeinen profylaktinen hoito, ovat turvallisesti jokaisen saatavilla; varmistetaan sukupuolisensitiivisten mielenterveyspalvelujen saatavuus nuorille naisille ja hlbtiq+ -henkilöille ja tunnustetaan mielenterveys oleelliseksi osallistumisen ja yhdenvertaisuuden kannalta;</w:t>
      </w:r>
    </w:p>
    <w:p w14:paraId="4BD9430F" w14:textId="77777777" w:rsidR="00BD29C5" w:rsidRPr="007F42FE" w:rsidRDefault="00BD29C5" w:rsidP="00E8622B">
      <w:pPr>
        <w:pStyle w:val="NormalHanging12a"/>
        <w:widowControl/>
        <w:ind w:left="1134"/>
        <w:rPr>
          <w:bCs/>
          <w:iCs/>
        </w:rPr>
      </w:pPr>
      <w:r w:rsidRPr="007F42FE">
        <w:t>v)</w:t>
      </w:r>
      <w:r w:rsidRPr="007F42FE">
        <w:tab/>
        <w:t>varmistetaan, että EU:n ulkoisella politiikalla edistetään aktiivisesti seksuaali- ja lisääntymisterveyden ja -oikeuksien saatavuutta osana kestävän kehityksen tavoitteiden saavuttamista;</w:t>
      </w:r>
    </w:p>
    <w:p w14:paraId="68EE75AE" w14:textId="6593F33D" w:rsidR="00BD29C5" w:rsidRPr="007F42FE" w:rsidRDefault="00BD29C5" w:rsidP="00E8622B">
      <w:pPr>
        <w:pStyle w:val="NormalHanging12a"/>
        <w:widowControl/>
        <w:ind w:left="1134"/>
        <w:rPr>
          <w:rFonts w:eastAsiaTheme="minorHAnsi"/>
          <w:bCs/>
          <w:iCs/>
          <w:szCs w:val="24"/>
        </w:rPr>
      </w:pPr>
      <w:r w:rsidRPr="007F42FE">
        <w:t>w)</w:t>
      </w:r>
      <w:r w:rsidRPr="007F42FE">
        <w:tab/>
        <w:t>muistutetaan, että raiskaus on edelleen yksi maailmanlaajuisesti yleisimmistä ihmisoikeusrikkomuksista; korostetaan suostumukseen perustuvan raiskauslainsäädännön hyväksymisen merkitystä välttämättömänä osana kokonaisvaltaista lähestymistapaa naisiin ja tyttöihin kohdistuvan seksuaalisen väkivallan torjumiseksi; edistetään raiskaukselle annetun suostumukseen perustuvan määritelmän ottamista maailmanlaajuiseksi yleiseksi normiksi, millä pyritään vahvistamaan oikeussuojaa ja varmistamaan, että seksuaalinen väkivalta määritellään pikemminkin suostumuksen puuttumisen kuin pelkän väkivallan, pakottamisen tai uhkailun käytön perusteella; tehdään tunnetuksi sitä käsitystä, että uhrin pysyminen hiljaa ja oleminen vastustelematta ei ole osoitus suostumuksesta; korostetaan, että aiempi suostumus tai olemassa oleva suhde ei merkitse jatkuvaa tai tulevaa suostumusta mihinkään seksuaaliseen tekoon; kehotetaan tässä yhteydessä kaikkia maita ottamaan käyttöön suostumukseen perustuva määritelmä raiskaukselle ja takaamaan, että selviytyjien oikeussuoja toteutuu;</w:t>
      </w:r>
    </w:p>
    <w:p w14:paraId="1F258F3F" w14:textId="14B22835" w:rsidR="00BD29C5" w:rsidRPr="007F42FE" w:rsidRDefault="00BD29C5" w:rsidP="00E8622B">
      <w:pPr>
        <w:pStyle w:val="NormalHanging12a"/>
        <w:widowControl/>
        <w:ind w:left="1134"/>
        <w:rPr>
          <w:bCs/>
          <w:iCs/>
        </w:rPr>
      </w:pPr>
      <w:r w:rsidRPr="007F42FE">
        <w:t>x)</w:t>
      </w:r>
      <w:r w:rsidRPr="007F42FE">
        <w:tab/>
        <w:t xml:space="preserve">tuomitaan jyrkästi raiskauksen ja muiden seksuaalisen väkivallan muotojen käyttö sodankäynnin välineenä ja muistutetaan, että tällaiset teot kansainvälisen </w:t>
      </w:r>
      <w:r w:rsidRPr="007F42FE">
        <w:lastRenderedPageBreak/>
        <w:t>oikeuden mukaan katso</w:t>
      </w:r>
      <w:r w:rsidR="00E70EB1" w:rsidRPr="007F42FE">
        <w:t>taan</w:t>
      </w:r>
      <w:r w:rsidRPr="007F42FE">
        <w:t xml:space="preserve"> sotarikoksiksi tai rikoksiksi ihmisyyttä vastaan; pyritään aktiivisesti varmistamaan syytteeseenpano ja vastuuseen asettaminen tämäntyyppisistä rikoksista kansainvälisellä tasolla soveltamalla EU:n maailmanlaajuista ihmisoikeuspakotejärjestelmää; tuetaan vahvemmin kansainvälisiä toimia, joilla dokumentoidaan näitä rikoksia käynnissä olevissa konflikteissa, sekä ennalta ehkäiseviä toimia; kehotetaan lisäksi tukemaan aktiivisesti kaikkia aloitteita, joilla varmistetaan raiskaajien vastuuseen saattaminen sekä sodankäynnin välineenä käytetystä raiskauksesta selviytyneiden oikeuden toteutuminen ottaen huomioon, että YK:n turvallisuusneuvoston päätöslauselman 1820 (2008) mukaisesti raiskaus ja muut seksuaalisen väkivallan muodot </w:t>
      </w:r>
      <w:r w:rsidR="00E70EB1" w:rsidRPr="007F42FE">
        <w:t>ovat</w:t>
      </w:r>
      <w:r w:rsidRPr="007F42FE">
        <w:t xml:space="preserve"> sotarikoksia, rikoksia ihmisyyttä vastaan tai kansanmurhaa edistäviä tekoja; edistetään </w:t>
      </w:r>
      <w:proofErr w:type="spellStart"/>
      <w:r w:rsidRPr="007F42FE">
        <w:t>Eurojustin</w:t>
      </w:r>
      <w:proofErr w:type="spellEnd"/>
      <w:r w:rsidRPr="007F42FE">
        <w:t xml:space="preserve"> ja Kansainvälisen rikostuomioistuimen (ICC) tiivistä yhteistyötä sodanaikaisen raiskauksen, hyväksikäytön ja muiden seksuaalisen väkivallan muotojen dokumentoinnissa Ukrainassa ja kehotetaan EU:ta, </w:t>
      </w:r>
      <w:proofErr w:type="spellStart"/>
      <w:r w:rsidRPr="007F42FE">
        <w:t>Eurojustia</w:t>
      </w:r>
      <w:proofErr w:type="spellEnd"/>
      <w:r w:rsidRPr="007F42FE">
        <w:t xml:space="preserve"> ja </w:t>
      </w:r>
      <w:proofErr w:type="spellStart"/>
      <w:r w:rsidRPr="007F42FE">
        <w:t>ICC:tä</w:t>
      </w:r>
      <w:proofErr w:type="spellEnd"/>
      <w:r w:rsidRPr="007F42FE">
        <w:t xml:space="preserve"> vahvistamaan entisestään koordinoituja, traumatietoisia ja uhrikeskeisiä dokumentointitoimia ja luomaan yhteistyökehyksiä maailmanlaajuisesti myös muille konfliktialueille, jotta varmistetaan, että uhrit tunnistetaan, heitä suojellaan ja he voivat saada oikeutta;</w:t>
      </w:r>
    </w:p>
    <w:p w14:paraId="7EF5211A" w14:textId="407A263C" w:rsidR="00BD29C5" w:rsidRPr="007F42FE" w:rsidRDefault="00BD29C5" w:rsidP="00E8622B">
      <w:pPr>
        <w:pStyle w:val="NormalHanging12a"/>
        <w:widowControl/>
        <w:ind w:left="1134"/>
        <w:rPr>
          <w:bCs/>
          <w:iCs/>
        </w:rPr>
      </w:pPr>
      <w:r w:rsidRPr="007F42FE">
        <w:t>y)</w:t>
      </w:r>
      <w:r w:rsidRPr="007F42FE">
        <w:tab/>
        <w:t>korostetaan, että transnaiset on tärkeää tunnustaa täysin naisiksi, ja todetaan, että heidän osallistamisensa on olennaista kaikenlaisten sukupuolten tasa-arvoa ja väkivallan torjuntaa koskevien toimintapolitiikkojen vaikuttavuuden kannalta; vaaditaan tunnustamaan transnaiset ja antamaan heille yhtäläiset mahdollisuudet suojelu- ja tukipalveluihin;</w:t>
      </w:r>
    </w:p>
    <w:p w14:paraId="1D03CBA6" w14:textId="447A99A4" w:rsidR="00BD29C5" w:rsidRPr="007F42FE" w:rsidRDefault="00BD29C5" w:rsidP="00E8622B">
      <w:pPr>
        <w:pStyle w:val="NormalHanging12a"/>
        <w:widowControl/>
        <w:ind w:left="1134"/>
        <w:rPr>
          <w:bCs/>
          <w:iCs/>
        </w:rPr>
      </w:pPr>
      <w:r w:rsidRPr="007F42FE">
        <w:t>z)</w:t>
      </w:r>
      <w:r w:rsidRPr="007F42FE">
        <w:tab/>
        <w:t>kehotetaan kaikkia maita, jotka eivät sitä vielä ole tehneet, ratifioimaan Istanbulin yleissopimus ja edistämään sen naisiin kohdistuvan väkivallan ja perheväkivallan torjuntaa koskevien kattavien normien hyväksymistä kaikkialla maailmassa;</w:t>
      </w:r>
    </w:p>
    <w:p w14:paraId="53D62A92" w14:textId="3EF93296" w:rsidR="002E5260" w:rsidRPr="007F42FE" w:rsidRDefault="00BD29C5" w:rsidP="00E8622B">
      <w:pPr>
        <w:pStyle w:val="NormalHanging12a"/>
        <w:widowControl/>
        <w:ind w:left="1134"/>
        <w:rPr>
          <w:rFonts w:eastAsiaTheme="minorHAnsi"/>
          <w:bCs/>
          <w:iCs/>
          <w:szCs w:val="24"/>
        </w:rPr>
      </w:pPr>
      <w:r w:rsidRPr="007F42FE">
        <w:t>aa)</w:t>
      </w:r>
      <w:r w:rsidRPr="007F42FE">
        <w:tab/>
        <w:t xml:space="preserve">kehotetaan hallituksia ja kansainvälisiä elimiä puuttumaan niihin erityisiin riskeihin, joita naiset ja tytöt kohtaavat vastaanottokeskuksissa ja </w:t>
      </w:r>
      <w:r w:rsidR="002E5260" w:rsidRPr="007F42FE">
        <w:t xml:space="preserve">parantamaan </w:t>
      </w:r>
      <w:r w:rsidRPr="007F42FE">
        <w:t>iänarviointimenetelmi</w:t>
      </w:r>
      <w:r w:rsidR="002E5260" w:rsidRPr="007F42FE">
        <w:t>ä</w:t>
      </w:r>
      <w:r w:rsidRPr="007F42FE">
        <w:t>;</w:t>
      </w:r>
    </w:p>
    <w:p w14:paraId="159F12C7" w14:textId="60D231F5" w:rsidR="00BD29C5" w:rsidRPr="007F42FE" w:rsidRDefault="00BD29C5" w:rsidP="00E8622B">
      <w:pPr>
        <w:pStyle w:val="NormalHanging12a"/>
        <w:widowControl/>
        <w:ind w:left="1134"/>
        <w:rPr>
          <w:bCs/>
          <w:iCs/>
        </w:rPr>
      </w:pPr>
      <w:r w:rsidRPr="007F42FE">
        <w:t>ab)</w:t>
      </w:r>
      <w:r w:rsidRPr="007F42FE">
        <w:tab/>
        <w:t xml:space="preserve">edistetään tyttöjen oikeutta osallistavaan, tasapuoliseen ja laadukkaaseen koulutukseen keskeisenä vaikutusvallan lisäämistä ja sukupuolten tasa-arvon saavuttamista edistävänä tekijänä ja annetaan heille näin osaamista, taitoja, tilaisuuksia ja valmiuksia, jotka ovat oleellisia koko elämän ajan, jotta he voivat vaatia oikeuksiaan, saada oikeussuojaa, osallistua täysipainoisesti julkiseen elämään ja torjua </w:t>
      </w:r>
      <w:proofErr w:type="spellStart"/>
      <w:r w:rsidRPr="007F42FE">
        <w:t>sukupuolistunutta</w:t>
      </w:r>
      <w:proofErr w:type="spellEnd"/>
      <w:r w:rsidRPr="007F42FE">
        <w:t xml:space="preserve"> väkivaltaa; huomautetaan, että on tärkeää lisätä naisten vaikutusvaltaa osallistavan, yhdenvertaisen ja laadukkaan koulutuksen ja elinikäisen oppimisen avulla, jotka ovat ratkaisevan tärkeitä sukupuolistereotypioiden, asenteiden ja ennakkoluulojen kaikkien ulottuvuuksien torjumisessa ja kamppailussa sitkeää eriarvoisuutta vastaan; muistutetaan, että on tärkeää ehkäistä </w:t>
      </w:r>
      <w:proofErr w:type="spellStart"/>
      <w:r w:rsidRPr="007F42FE">
        <w:t>sukupuolistunutta</w:t>
      </w:r>
      <w:proofErr w:type="spellEnd"/>
      <w:r w:rsidRPr="007F42FE">
        <w:t xml:space="preserve"> väkivaltaa asianmukaisilla kampanjoilla ja muilla toimilla, muun muassa digitaalisen medialukutaidon parantamisella sekä asiaankuuluvalla, kohdennetulla, ikätason mukaisella ja kattavalla suhde- ja seksuaalikasvatuksella, jotta lisätään tietämystä ruumiillisesta koskemattomuudesta; korostetaan, että tarvitaan syvempää ymmärrystä sukupuolten tasa-arvoa ja oikeuksia vastustavista liikkeistä, mukaan luettuina sukupuolten tasa-arvoa koskeva disinformaatio, </w:t>
      </w:r>
      <w:proofErr w:type="spellStart"/>
      <w:r w:rsidRPr="007F42FE">
        <w:t>incel</w:t>
      </w:r>
      <w:proofErr w:type="spellEnd"/>
      <w:r w:rsidRPr="007F42FE">
        <w:t xml:space="preserve">-ilmiö ja naisviha sekä erityisesti niiden ilmeneminen verkossa (nk. </w:t>
      </w:r>
      <w:proofErr w:type="spellStart"/>
      <w:r w:rsidRPr="007F42FE">
        <w:t>manosfääri</w:t>
      </w:r>
      <w:proofErr w:type="spellEnd"/>
      <w:r w:rsidRPr="007F42FE">
        <w:t xml:space="preserve">); kannatetaan </w:t>
      </w:r>
      <w:r w:rsidRPr="007F42FE">
        <w:lastRenderedPageBreak/>
        <w:t>aktiivisempaa politiikkaa näiden ilmiöiden ja niiden levittämien narratiivien torjumiseksi;</w:t>
      </w:r>
    </w:p>
    <w:p w14:paraId="12A02A99" w14:textId="0D8C0F8A" w:rsidR="00BD29C5" w:rsidRPr="007F42FE" w:rsidRDefault="00BD29C5" w:rsidP="00E8622B">
      <w:pPr>
        <w:pStyle w:val="NormalHanging12a"/>
        <w:widowControl/>
        <w:ind w:left="1134"/>
      </w:pPr>
      <w:proofErr w:type="spellStart"/>
      <w:r w:rsidRPr="007F42FE">
        <w:t>ac</w:t>
      </w:r>
      <w:proofErr w:type="spellEnd"/>
      <w:r w:rsidRPr="007F42FE">
        <w:t>)</w:t>
      </w:r>
      <w:r w:rsidRPr="007F42FE">
        <w:tab/>
        <w:t>painotetaan, että sodilla ja konflikteilla on suhteeton ja tuhoisa vaikutus naisiin, ja puhutaan maailmanlaajuisesti rauhan ja osallistavien neuvottelujen puolesta, sillä ne ovat keskeisiä keinoja konfliktien ja naisiin ja tyttöihin näissä yhteyksissä kohdistuvan väkivallan lopettamiseksi; annetaan tunnustusta YK:n rauhanturvaoperaatioissa eri konfliktialueilla palvelevien naisten merkittävälle työlle; korostetaan, että naisten oikeudet ja sukupuolten tasa-arvo ovat olennaisen tärkeitä oikeusvaltioperiaatteen ja häiriönsietokykyisten ja osallistavien demokratioiden kannalta; tuodaan esiin huolta siitä, että miljoonat naiset ja tytöt kohtaavat etenkin konfliktien ja pakkomuuttojen yhteydessä edelleen syrjintää, väkivaltaa ja ihmisarvonsa ja toimijuutensa epäämistä;</w:t>
      </w:r>
    </w:p>
    <w:p w14:paraId="258EDBF1" w14:textId="2EDC3792" w:rsidR="00BD29C5" w:rsidRPr="007F42FE" w:rsidRDefault="00BD29C5" w:rsidP="00E8622B">
      <w:pPr>
        <w:pStyle w:val="NormalHanging12a"/>
        <w:widowControl/>
        <w:ind w:left="1134"/>
        <w:rPr>
          <w:bCs/>
          <w:iCs/>
        </w:rPr>
      </w:pPr>
      <w:proofErr w:type="spellStart"/>
      <w:r w:rsidRPr="007F42FE">
        <w:t>ad</w:t>
      </w:r>
      <w:proofErr w:type="spellEnd"/>
      <w:r w:rsidRPr="007F42FE">
        <w:t>)</w:t>
      </w:r>
      <w:r w:rsidRPr="007F42FE">
        <w:tab/>
        <w:t>sitoutetaan EU ulko-, kehitys- ja turvallisuuspolitiikkaan, joka on osallistavaa ja intersektionaalista ja jossa asetetaan etusijalle naisten ja hlbtiq+</w:t>
      </w:r>
      <w:r w:rsidRPr="007F42FE">
        <w:noBreakHyphen/>
        <w:t>henkilöiden ihmisoikeuksien puolustajien tarpeet;</w:t>
      </w:r>
    </w:p>
    <w:p w14:paraId="74987467" w14:textId="6F1BA469" w:rsidR="00BD29C5" w:rsidRPr="007F42FE" w:rsidRDefault="00BD29C5" w:rsidP="00E8622B">
      <w:pPr>
        <w:pStyle w:val="NormalHanging12a"/>
        <w:widowControl/>
        <w:ind w:left="1134"/>
        <w:rPr>
          <w:bCs/>
          <w:iCs/>
        </w:rPr>
      </w:pPr>
      <w:proofErr w:type="spellStart"/>
      <w:r w:rsidRPr="007F42FE">
        <w:t>ae</w:t>
      </w:r>
      <w:proofErr w:type="spellEnd"/>
      <w:r w:rsidRPr="007F42FE">
        <w:t>)</w:t>
      </w:r>
      <w:r w:rsidRPr="007F42FE">
        <w:tab/>
        <w:t>korostetaan, että naismurhat, jotka määritellään sukupuoleen liittyväksi naisten ja tyttöjen tappamiseksi, ovat yksi sukupuolistuneen väkivallan äärimmäisimmistä muodoista ja loukkaavat räikeästi yleismaailmallisia perusoikeuksia; tuomitaan jyrkästi se, että tällä rikoksella ei ole yhdenmukaista määritelmää ja sitä koskeva tiedonkeruu ja siitä ilmoittaminen on jatkuvasti epäjohdonmukaista, mikä haittaa vakavasti tehokasta ennaltaehkäisyä ja näyttöön perustuvaa päätöksentekoa; kehotetaan tunnustamaan tämä rikos kaikkialla maailmassa ja toimimaan maailmanlaajuisesti naismurhien lopettamiseksi;</w:t>
      </w:r>
    </w:p>
    <w:p w14:paraId="17B69B0A" w14:textId="3DAF35D2" w:rsidR="001B6C5B" w:rsidRPr="007F42FE" w:rsidRDefault="00BD29C5" w:rsidP="00E8622B">
      <w:pPr>
        <w:pStyle w:val="NormalHanging12a"/>
        <w:widowControl/>
      </w:pPr>
      <w:r w:rsidRPr="007F42FE">
        <w:t>2.</w:t>
      </w:r>
      <w:r w:rsidRPr="007F42FE">
        <w:tab/>
        <w:t>kehottaa puhemiestä välittämään tämän suosituksen neuvostolle, komissiolle ja komission varapuheenjohtajalle / unionin ulkoasioiden ja turvallisuuspolitiikan korkealle edustajalle sekä tiedoksi ihmisoikeuksista vastaavalle EU:n erityisedustajalle.</w:t>
      </w:r>
    </w:p>
    <w:sectPr w:rsidR="001B6C5B" w:rsidRPr="007F42FE" w:rsidSect="001B6C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E9EE" w14:textId="77777777" w:rsidR="008D619B" w:rsidRPr="001B6C5B" w:rsidRDefault="008D619B">
      <w:r w:rsidRPr="001B6C5B">
        <w:separator/>
      </w:r>
    </w:p>
  </w:endnote>
  <w:endnote w:type="continuationSeparator" w:id="0">
    <w:p w14:paraId="44473F9C" w14:textId="77777777" w:rsidR="008D619B" w:rsidRPr="001B6C5B" w:rsidRDefault="008D619B">
      <w:r w:rsidRPr="001B6C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D1E14" w14:textId="77777777" w:rsidR="008D619B" w:rsidRPr="001B6C5B" w:rsidRDefault="008D619B">
      <w:r w:rsidRPr="001B6C5B">
        <w:separator/>
      </w:r>
    </w:p>
  </w:footnote>
  <w:footnote w:type="continuationSeparator" w:id="0">
    <w:p w14:paraId="2CACDAFA" w14:textId="77777777" w:rsidR="008D619B" w:rsidRPr="001B6C5B" w:rsidRDefault="008D619B">
      <w:r w:rsidRPr="001B6C5B">
        <w:continuationSeparator/>
      </w:r>
    </w:p>
  </w:footnote>
  <w:footnote w:id="1">
    <w:p w14:paraId="230C8AA2" w14:textId="714B55B2" w:rsidR="00BD29C5" w:rsidRPr="002B4E4C" w:rsidRDefault="00BD29C5" w:rsidP="001B6C5B">
      <w:pPr>
        <w:pStyle w:val="FootnoteText"/>
        <w:ind w:left="567" w:hanging="567"/>
        <w:rPr>
          <w:sz w:val="24"/>
          <w:lang w:val="fr-BE"/>
        </w:rPr>
      </w:pPr>
      <w:r w:rsidRPr="001B6C5B">
        <w:rPr>
          <w:rStyle w:val="FootnoteReference"/>
          <w:sz w:val="24"/>
          <w:lang w:val="fi-FI"/>
        </w:rPr>
        <w:footnoteRef/>
      </w:r>
      <w:r w:rsidR="001B6C5B" w:rsidRPr="002B4E4C">
        <w:rPr>
          <w:sz w:val="24"/>
          <w:lang w:val="fr-BE"/>
        </w:rPr>
        <w:t xml:space="preserve"> </w:t>
      </w:r>
      <w:r w:rsidR="001B6C5B" w:rsidRPr="002B4E4C">
        <w:rPr>
          <w:sz w:val="24"/>
          <w:lang w:val="fr-BE"/>
        </w:rPr>
        <w:tab/>
      </w:r>
      <w:r w:rsidRPr="002B4E4C">
        <w:rPr>
          <w:sz w:val="24"/>
          <w:lang w:val="fr-BE"/>
        </w:rPr>
        <w:t>EUVL C, C/2025/1279, 13.3.2025, ELI: </w:t>
      </w:r>
      <w:hyperlink r:id="rId1" w:tgtFrame="_blank" w:tooltip="Avaa asiakirjan ELI URI -osoitteen kautta." w:history="1">
        <w:r w:rsidRPr="002B4E4C">
          <w:rPr>
            <w:rStyle w:val="Hyperlink"/>
            <w:sz w:val="24"/>
            <w:lang w:val="fr-BE"/>
          </w:rPr>
          <w:t>http://data.europa.eu/eli/C/2025/1279/oj</w:t>
        </w:r>
      </w:hyperlink>
      <w:r w:rsidRPr="002B4E4C">
        <w:rPr>
          <w:sz w:val="24"/>
          <w:lang w:val="fr-BE"/>
        </w:rPr>
        <w:t>.</w:t>
      </w:r>
    </w:p>
  </w:footnote>
  <w:footnote w:id="2">
    <w:p w14:paraId="332F2D90" w14:textId="558E176E" w:rsidR="00BD29C5" w:rsidRPr="001B6C5B" w:rsidRDefault="00BD29C5" w:rsidP="001B6C5B">
      <w:pPr>
        <w:pStyle w:val="FootnoteText"/>
        <w:ind w:left="567" w:hanging="567"/>
        <w:rPr>
          <w:sz w:val="24"/>
          <w:lang w:val="fi-FI"/>
        </w:rPr>
      </w:pPr>
      <w:r w:rsidRPr="001B6C5B">
        <w:rPr>
          <w:rStyle w:val="FootnoteReference"/>
          <w:sz w:val="24"/>
          <w:lang w:val="fi-FI"/>
        </w:rPr>
        <w:footnoteRef/>
      </w:r>
      <w:r w:rsidR="001B6C5B" w:rsidRPr="001B6C5B">
        <w:rPr>
          <w:sz w:val="24"/>
          <w:lang w:val="fi-FI"/>
        </w:rPr>
        <w:t xml:space="preserve"> </w:t>
      </w:r>
      <w:r w:rsidR="001B6C5B" w:rsidRPr="001B6C5B">
        <w:rPr>
          <w:sz w:val="24"/>
          <w:lang w:val="fi-FI"/>
        </w:rPr>
        <w:tab/>
      </w:r>
      <w:r w:rsidRPr="001B6C5B">
        <w:rPr>
          <w:sz w:val="24"/>
          <w:lang w:val="fi-FI"/>
        </w:rPr>
        <w:t>Hyväksytyt tekstit, P10_TA(2025)0278.</w:t>
      </w:r>
    </w:p>
  </w:footnote>
  <w:footnote w:id="3">
    <w:p w14:paraId="33F3B672" w14:textId="0F2155F0" w:rsidR="00BD29C5" w:rsidRPr="001B6C5B" w:rsidRDefault="00BD29C5" w:rsidP="001B6C5B">
      <w:pPr>
        <w:pStyle w:val="FootnoteText"/>
        <w:ind w:left="567" w:hanging="567"/>
        <w:rPr>
          <w:sz w:val="24"/>
          <w:lang w:val="fi-FI"/>
        </w:rPr>
      </w:pPr>
      <w:r w:rsidRPr="001B6C5B">
        <w:rPr>
          <w:rStyle w:val="FootnoteReference"/>
          <w:sz w:val="24"/>
          <w:lang w:val="fi-FI"/>
        </w:rPr>
        <w:footnoteRef/>
      </w:r>
      <w:r w:rsidR="001B6C5B" w:rsidRPr="001B6C5B">
        <w:rPr>
          <w:sz w:val="24"/>
          <w:lang w:val="fi-FI"/>
        </w:rPr>
        <w:t xml:space="preserve"> </w:t>
      </w:r>
      <w:r w:rsidR="001B6C5B" w:rsidRPr="001B6C5B">
        <w:rPr>
          <w:sz w:val="24"/>
          <w:lang w:val="fi-FI"/>
        </w:rPr>
        <w:tab/>
      </w:r>
      <w:r w:rsidRPr="001B6C5B">
        <w:rPr>
          <w:sz w:val="24"/>
          <w:lang w:val="fi-FI"/>
        </w:rPr>
        <w:t xml:space="preserve">EUVL L 315, 14.11.2012, s. 57, ELI: </w:t>
      </w:r>
      <w:r>
        <w:fldChar w:fldCharType="begin"/>
      </w:r>
      <w:r w:rsidRPr="00070034">
        <w:rPr>
          <w:lang w:val="fi-FI"/>
        </w:rPr>
        <w:instrText>HYPERLINK "http://data.europa.eu/eli/dir/2012/29/oj"</w:instrText>
      </w:r>
      <w:r>
        <w:fldChar w:fldCharType="separate"/>
      </w:r>
      <w:r w:rsidRPr="001B6C5B">
        <w:rPr>
          <w:rStyle w:val="Hyperlink"/>
          <w:sz w:val="24"/>
          <w:lang w:val="fi-FI"/>
        </w:rPr>
        <w:t>http://data.europa.eu/eli/dir/2012/29/oj</w:t>
      </w:r>
      <w:r>
        <w:fldChar w:fldCharType="end"/>
      </w:r>
      <w:r w:rsidRPr="001B6C5B">
        <w:rPr>
          <w:sz w:val="24"/>
          <w:lang w:val="fi-FI"/>
        </w:rPr>
        <w:t>.</w:t>
      </w:r>
    </w:p>
  </w:footnote>
  <w:footnote w:id="4">
    <w:p w14:paraId="27AAF1AE" w14:textId="1C789062" w:rsidR="00BD29C5" w:rsidRPr="002B4E4C" w:rsidRDefault="00BD29C5" w:rsidP="001B6C5B">
      <w:pPr>
        <w:pStyle w:val="FootnoteText"/>
        <w:ind w:left="567" w:hanging="567"/>
        <w:rPr>
          <w:sz w:val="24"/>
          <w:lang w:val="fr-BE"/>
        </w:rPr>
      </w:pPr>
      <w:r w:rsidRPr="001B6C5B">
        <w:rPr>
          <w:rStyle w:val="FootnoteReference"/>
          <w:sz w:val="24"/>
          <w:lang w:val="fi-FI"/>
        </w:rPr>
        <w:footnoteRef/>
      </w:r>
      <w:r w:rsidR="001B6C5B" w:rsidRPr="002B4E4C">
        <w:rPr>
          <w:sz w:val="24"/>
          <w:lang w:val="fr-BE"/>
        </w:rPr>
        <w:t xml:space="preserve"> </w:t>
      </w:r>
      <w:r w:rsidR="001B6C5B" w:rsidRPr="002B4E4C">
        <w:rPr>
          <w:sz w:val="24"/>
          <w:lang w:val="fr-BE"/>
        </w:rPr>
        <w:tab/>
      </w:r>
      <w:r w:rsidRPr="002B4E4C">
        <w:rPr>
          <w:sz w:val="24"/>
          <w:lang w:val="fr-BE"/>
        </w:rPr>
        <w:t>EUVL L, 2024/1385, 24.5.2024, ELI: </w:t>
      </w:r>
      <w:hyperlink r:id="rId2" w:tgtFrame="_blank" w:tooltip="Avaa asiakirjan ELI URI -osoitteen kautta." w:history="1">
        <w:r w:rsidRPr="002B4E4C">
          <w:rPr>
            <w:rStyle w:val="Hyperlink"/>
            <w:sz w:val="24"/>
            <w:lang w:val="fr-BE"/>
          </w:rPr>
          <w:t>http://data.europa.eu/eli/dir/2024/1385/oj</w:t>
        </w:r>
      </w:hyperlink>
      <w:r w:rsidRPr="002B4E4C">
        <w:rPr>
          <w:sz w:val="24"/>
          <w:lang w:val="fr-BE"/>
        </w:rPr>
        <w:t>.</w:t>
      </w:r>
    </w:p>
  </w:footnote>
  <w:footnote w:id="5">
    <w:p w14:paraId="640677E0" w14:textId="51465C98" w:rsidR="00BD29C5" w:rsidRPr="002B4E4C" w:rsidRDefault="00BD29C5" w:rsidP="001B6C5B">
      <w:pPr>
        <w:pStyle w:val="FootnoteText"/>
        <w:ind w:left="567" w:hanging="567"/>
        <w:rPr>
          <w:sz w:val="24"/>
          <w:lang w:val="fr-BE"/>
        </w:rPr>
      </w:pPr>
      <w:r w:rsidRPr="001B6C5B">
        <w:rPr>
          <w:rStyle w:val="FootnoteReference"/>
          <w:sz w:val="24"/>
          <w:lang w:val="fi-FI"/>
        </w:rPr>
        <w:footnoteRef/>
      </w:r>
      <w:r w:rsidR="001B6C5B" w:rsidRPr="002B4E4C">
        <w:rPr>
          <w:sz w:val="24"/>
          <w:lang w:val="fr-BE"/>
        </w:rPr>
        <w:t xml:space="preserve"> </w:t>
      </w:r>
      <w:r w:rsidR="001B6C5B" w:rsidRPr="002B4E4C">
        <w:rPr>
          <w:sz w:val="24"/>
          <w:lang w:val="fr-BE"/>
        </w:rPr>
        <w:tab/>
      </w:r>
      <w:r w:rsidRPr="002B4E4C">
        <w:rPr>
          <w:sz w:val="24"/>
          <w:lang w:val="fr-BE"/>
        </w:rPr>
        <w:t>https://documents.un.org/doc/undoc/gen/g24/073/47/pdf/g2407347.pdf.</w:t>
      </w:r>
    </w:p>
  </w:footnote>
  <w:footnote w:id="6">
    <w:p w14:paraId="6731BA25" w14:textId="263C13B1" w:rsidR="00BD29C5" w:rsidRPr="002B4E4C" w:rsidRDefault="00BD29C5" w:rsidP="001B6C5B">
      <w:pPr>
        <w:pStyle w:val="FootnoteText"/>
        <w:ind w:left="567" w:hanging="567"/>
        <w:rPr>
          <w:sz w:val="24"/>
          <w:lang w:val="en-GB"/>
        </w:rPr>
      </w:pPr>
      <w:r w:rsidRPr="001B6C5B">
        <w:rPr>
          <w:rStyle w:val="FootnoteReference"/>
          <w:sz w:val="24"/>
          <w:lang w:val="fi-FI"/>
        </w:rPr>
        <w:footnoteRef/>
      </w:r>
      <w:r w:rsidR="001B6C5B" w:rsidRPr="002B4E4C">
        <w:rPr>
          <w:sz w:val="24"/>
          <w:lang w:val="en-GB"/>
        </w:rPr>
        <w:t xml:space="preserve"> </w:t>
      </w:r>
      <w:r w:rsidR="001B6C5B" w:rsidRPr="002B4E4C">
        <w:rPr>
          <w:sz w:val="24"/>
          <w:lang w:val="en-GB"/>
        </w:rPr>
        <w:tab/>
      </w:r>
      <w:r w:rsidRPr="002B4E4C">
        <w:rPr>
          <w:sz w:val="24"/>
          <w:lang w:val="en-GB"/>
        </w:rPr>
        <w:t>UN Women, ”Handbook for National Action Plans on Violence against Women”, 2012.</w:t>
      </w:r>
    </w:p>
  </w:footnote>
  <w:footnote w:id="7">
    <w:p w14:paraId="79BEFB40" w14:textId="5C7605E3" w:rsidR="00BD29C5" w:rsidRPr="001B6C5B" w:rsidRDefault="00BD29C5" w:rsidP="001B6C5B">
      <w:pPr>
        <w:pStyle w:val="FootnoteText"/>
        <w:ind w:left="567" w:hanging="567"/>
        <w:rPr>
          <w:sz w:val="24"/>
          <w:lang w:val="fi-FI"/>
        </w:rPr>
      </w:pPr>
      <w:r w:rsidRPr="001B6C5B">
        <w:rPr>
          <w:rStyle w:val="FootnoteReference"/>
          <w:sz w:val="24"/>
          <w:lang w:val="fi-FI"/>
        </w:rPr>
        <w:footnoteRef/>
      </w:r>
      <w:r w:rsidR="001B6C5B" w:rsidRPr="001B6C5B">
        <w:rPr>
          <w:sz w:val="24"/>
          <w:lang w:val="fi-FI"/>
        </w:rPr>
        <w:t xml:space="preserve"> </w:t>
      </w:r>
      <w:r w:rsidR="001B6C5B" w:rsidRPr="001B6C5B">
        <w:rPr>
          <w:sz w:val="24"/>
          <w:lang w:val="fi-FI"/>
        </w:rPr>
        <w:tab/>
      </w:r>
      <w:r w:rsidRPr="001B6C5B">
        <w:rPr>
          <w:sz w:val="24"/>
          <w:lang w:val="fi-FI"/>
        </w:rPr>
        <w:t>Tutkimus ”</w:t>
      </w:r>
      <w:proofErr w:type="spellStart"/>
      <w:r w:rsidRPr="001B6C5B">
        <w:rPr>
          <w:sz w:val="24"/>
          <w:lang w:val="fi-FI"/>
        </w:rPr>
        <w:t>Women’s</w:t>
      </w:r>
      <w:proofErr w:type="spellEnd"/>
      <w:r w:rsidRPr="001B6C5B">
        <w:rPr>
          <w:sz w:val="24"/>
          <w:lang w:val="fi-FI"/>
        </w:rPr>
        <w:t xml:space="preserve"> </w:t>
      </w:r>
      <w:proofErr w:type="spellStart"/>
      <w:r w:rsidRPr="001B6C5B">
        <w:rPr>
          <w:sz w:val="24"/>
          <w:lang w:val="fi-FI"/>
        </w:rPr>
        <w:t>role</w:t>
      </w:r>
      <w:proofErr w:type="spellEnd"/>
      <w:r w:rsidRPr="001B6C5B">
        <w:rPr>
          <w:sz w:val="24"/>
          <w:lang w:val="fi-FI"/>
        </w:rPr>
        <w:t xml:space="preserve"> in </w:t>
      </w:r>
      <w:proofErr w:type="spellStart"/>
      <w:r w:rsidRPr="001B6C5B">
        <w:rPr>
          <w:sz w:val="24"/>
          <w:lang w:val="fi-FI"/>
        </w:rPr>
        <w:t>peace</w:t>
      </w:r>
      <w:proofErr w:type="spellEnd"/>
      <w:r w:rsidRPr="001B6C5B">
        <w:rPr>
          <w:sz w:val="24"/>
          <w:lang w:val="fi-FI"/>
        </w:rPr>
        <w:t xml:space="preserve"> </w:t>
      </w:r>
      <w:proofErr w:type="spellStart"/>
      <w:r w:rsidRPr="001B6C5B">
        <w:rPr>
          <w:sz w:val="24"/>
          <w:lang w:val="fi-FI"/>
        </w:rPr>
        <w:t>processes</w:t>
      </w:r>
      <w:proofErr w:type="spellEnd"/>
      <w:r w:rsidRPr="001B6C5B">
        <w:rPr>
          <w:sz w:val="24"/>
          <w:lang w:val="fi-FI"/>
        </w:rPr>
        <w:t>”, Euroopan parlamentti, unionin sisäasioiden pääosasto, kansalaisoikeuksien sekä perussopimus-, työjärjestys- ja toimielinasioiden politiikkayksikkö, toukokuu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6730678">
    <w:abstractNumId w:val="9"/>
  </w:num>
  <w:num w:numId="2" w16cid:durableId="188305004">
    <w:abstractNumId w:val="9"/>
  </w:num>
  <w:num w:numId="3" w16cid:durableId="1749155906">
    <w:abstractNumId w:val="7"/>
  </w:num>
  <w:num w:numId="4" w16cid:durableId="881985581">
    <w:abstractNumId w:val="7"/>
  </w:num>
  <w:num w:numId="5" w16cid:durableId="434206841">
    <w:abstractNumId w:val="6"/>
  </w:num>
  <w:num w:numId="6" w16cid:durableId="554043736">
    <w:abstractNumId w:val="6"/>
  </w:num>
  <w:num w:numId="7" w16cid:durableId="1388914180">
    <w:abstractNumId w:val="5"/>
  </w:num>
  <w:num w:numId="8" w16cid:durableId="1030954595">
    <w:abstractNumId w:val="5"/>
  </w:num>
  <w:num w:numId="9" w16cid:durableId="1755399487">
    <w:abstractNumId w:val="4"/>
  </w:num>
  <w:num w:numId="10" w16cid:durableId="721488631">
    <w:abstractNumId w:val="4"/>
  </w:num>
  <w:num w:numId="11" w16cid:durableId="231546256">
    <w:abstractNumId w:val="8"/>
  </w:num>
  <w:num w:numId="12" w16cid:durableId="336158181">
    <w:abstractNumId w:val="8"/>
  </w:num>
  <w:num w:numId="13" w16cid:durableId="1681392233">
    <w:abstractNumId w:val="3"/>
  </w:num>
  <w:num w:numId="14" w16cid:durableId="1592081532">
    <w:abstractNumId w:val="3"/>
  </w:num>
  <w:num w:numId="15" w16cid:durableId="2096050095">
    <w:abstractNumId w:val="2"/>
  </w:num>
  <w:num w:numId="16" w16cid:durableId="1081148207">
    <w:abstractNumId w:val="2"/>
  </w:num>
  <w:num w:numId="17" w16cid:durableId="758793657">
    <w:abstractNumId w:val="1"/>
  </w:num>
  <w:num w:numId="18" w16cid:durableId="1638795888">
    <w:abstractNumId w:val="1"/>
  </w:num>
  <w:num w:numId="19" w16cid:durableId="997810748">
    <w:abstractNumId w:val="0"/>
  </w:num>
  <w:num w:numId="20" w16cid:durableId="680664610">
    <w:abstractNumId w:val="0"/>
  </w:num>
  <w:num w:numId="21" w16cid:durableId="1660041695">
    <w:abstractNumId w:val="9"/>
  </w:num>
  <w:num w:numId="22" w16cid:durableId="826168118">
    <w:abstractNumId w:val="7"/>
  </w:num>
  <w:num w:numId="23" w16cid:durableId="343675120">
    <w:abstractNumId w:val="6"/>
  </w:num>
  <w:num w:numId="24" w16cid:durableId="1811170731">
    <w:abstractNumId w:val="5"/>
  </w:num>
  <w:num w:numId="25" w16cid:durableId="1171680516">
    <w:abstractNumId w:val="4"/>
  </w:num>
  <w:num w:numId="26" w16cid:durableId="1383334772">
    <w:abstractNumId w:val="8"/>
  </w:num>
  <w:num w:numId="27" w16cid:durableId="1569456689">
    <w:abstractNumId w:val="3"/>
  </w:num>
  <w:num w:numId="28" w16cid:durableId="973372617">
    <w:abstractNumId w:val="2"/>
  </w:num>
  <w:num w:numId="29" w16cid:durableId="1770733669">
    <w:abstractNumId w:val="1"/>
  </w:num>
  <w:num w:numId="30" w16cid:durableId="1657297903">
    <w:abstractNumId w:val="0"/>
  </w:num>
  <w:num w:numId="31" w16cid:durableId="2143382701">
    <w:abstractNumId w:val="9"/>
  </w:num>
  <w:num w:numId="32" w16cid:durableId="1357776117">
    <w:abstractNumId w:val="7"/>
  </w:num>
  <w:num w:numId="33" w16cid:durableId="433939413">
    <w:abstractNumId w:val="6"/>
  </w:num>
  <w:num w:numId="34" w16cid:durableId="918488603">
    <w:abstractNumId w:val="5"/>
  </w:num>
  <w:num w:numId="35" w16cid:durableId="1931500250">
    <w:abstractNumId w:val="4"/>
  </w:num>
  <w:num w:numId="36" w16cid:durableId="1084884411">
    <w:abstractNumId w:val="8"/>
  </w:num>
  <w:num w:numId="37" w16cid:durableId="1284920949">
    <w:abstractNumId w:val="3"/>
  </w:num>
  <w:num w:numId="38" w16cid:durableId="1248347523">
    <w:abstractNumId w:val="2"/>
  </w:num>
  <w:num w:numId="39" w16cid:durableId="1078987129">
    <w:abstractNumId w:val="1"/>
  </w:num>
  <w:num w:numId="40" w16cid:durableId="509687712">
    <w:abstractNumId w:val="0"/>
  </w:num>
  <w:num w:numId="41" w16cid:durableId="471295311">
    <w:abstractNumId w:val="10"/>
  </w:num>
  <w:num w:numId="42" w16cid:durableId="553125111">
    <w:abstractNumId w:val="10"/>
  </w:num>
  <w:num w:numId="43" w16cid:durableId="836187137">
    <w:abstractNumId w:val="10"/>
  </w:num>
  <w:num w:numId="44" w16cid:durableId="2571079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FI"/>
    <w:docVar w:name="dvnumam" w:val="0"/>
    <w:docVar w:name="dvpe" w:val="776.895"/>
    <w:docVar w:name="dvrapporteur" w:val="Esittelijä: "/>
    <w:docVar w:name="dvtitre" w:val="Euroopan parlamentin suositus neuvostolle Euroopan parlamentin suosituksesta neuvostolle EU:n painopisteistä naisten asemaa käsittelevän YK:n toimikunnan 70. istuntoa varten(2025/2240(INI))"/>
  </w:docVars>
  <w:rsids>
    <w:rsidRoot w:val="008D619B"/>
    <w:rsid w:val="00002272"/>
    <w:rsid w:val="00064002"/>
    <w:rsid w:val="000677B9"/>
    <w:rsid w:val="00070034"/>
    <w:rsid w:val="000831BA"/>
    <w:rsid w:val="000A42CC"/>
    <w:rsid w:val="000E7DD9"/>
    <w:rsid w:val="000F12CF"/>
    <w:rsid w:val="0010095E"/>
    <w:rsid w:val="00125B37"/>
    <w:rsid w:val="00156E63"/>
    <w:rsid w:val="00187494"/>
    <w:rsid w:val="001B6C5B"/>
    <w:rsid w:val="001F32AE"/>
    <w:rsid w:val="002767FF"/>
    <w:rsid w:val="002B18FE"/>
    <w:rsid w:val="002B4E4C"/>
    <w:rsid w:val="002B5493"/>
    <w:rsid w:val="002E5260"/>
    <w:rsid w:val="00343214"/>
    <w:rsid w:val="00361C00"/>
    <w:rsid w:val="00395FA1"/>
    <w:rsid w:val="003E15D4"/>
    <w:rsid w:val="00411CCE"/>
    <w:rsid w:val="0041666E"/>
    <w:rsid w:val="00421060"/>
    <w:rsid w:val="004536B6"/>
    <w:rsid w:val="00471C19"/>
    <w:rsid w:val="004867E3"/>
    <w:rsid w:val="00494A28"/>
    <w:rsid w:val="004C0004"/>
    <w:rsid w:val="004C5D52"/>
    <w:rsid w:val="0050519A"/>
    <w:rsid w:val="005072A1"/>
    <w:rsid w:val="00514517"/>
    <w:rsid w:val="00545827"/>
    <w:rsid w:val="00560270"/>
    <w:rsid w:val="005A0C6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2FE"/>
    <w:rsid w:val="00817416"/>
    <w:rsid w:val="0083762C"/>
    <w:rsid w:val="00842779"/>
    <w:rsid w:val="00865F67"/>
    <w:rsid w:val="00881A7B"/>
    <w:rsid w:val="008840E5"/>
    <w:rsid w:val="00887B3E"/>
    <w:rsid w:val="008C2AC6"/>
    <w:rsid w:val="008D619B"/>
    <w:rsid w:val="00930C23"/>
    <w:rsid w:val="0093193B"/>
    <w:rsid w:val="009509D8"/>
    <w:rsid w:val="00950B64"/>
    <w:rsid w:val="00981893"/>
    <w:rsid w:val="00A1687D"/>
    <w:rsid w:val="00A43E52"/>
    <w:rsid w:val="00A4678D"/>
    <w:rsid w:val="00A778C7"/>
    <w:rsid w:val="00AB441E"/>
    <w:rsid w:val="00AB6293"/>
    <w:rsid w:val="00AE0928"/>
    <w:rsid w:val="00AF3B82"/>
    <w:rsid w:val="00AF7A6A"/>
    <w:rsid w:val="00B12E95"/>
    <w:rsid w:val="00B22876"/>
    <w:rsid w:val="00B558F0"/>
    <w:rsid w:val="00BC2315"/>
    <w:rsid w:val="00BD29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EB1"/>
    <w:rsid w:val="00E820A4"/>
    <w:rsid w:val="00E8622B"/>
    <w:rsid w:val="00EB006A"/>
    <w:rsid w:val="00EB4772"/>
    <w:rsid w:val="00ED169E"/>
    <w:rsid w:val="00ED2F22"/>
    <w:rsid w:val="00ED4235"/>
    <w:rsid w:val="00F04346"/>
    <w:rsid w:val="00F075DC"/>
    <w:rsid w:val="00F149E9"/>
    <w:rsid w:val="00F437E7"/>
    <w:rsid w:val="00F5134D"/>
    <w:rsid w:val="00F6010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0EBC5"/>
  <w15:chartTrackingRefBased/>
  <w15:docId w15:val="{F0BF31BE-E5B8-4425-9A8F-925572A3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29C5"/>
    <w:pPr>
      <w:spacing w:before="480" w:after="240"/>
    </w:pPr>
  </w:style>
  <w:style w:type="paragraph" w:customStyle="1" w:styleId="NormalHanging12a">
    <w:name w:val="NormalHanging12a"/>
    <w:basedOn w:val="Normal"/>
    <w:link w:val="NormalHanging12aChar"/>
    <w:rsid w:val="00BD29C5"/>
    <w:pPr>
      <w:spacing w:after="240"/>
      <w:ind w:left="567" w:hanging="567"/>
    </w:pPr>
  </w:style>
  <w:style w:type="character" w:customStyle="1" w:styleId="NormalHanging12aChar">
    <w:name w:val="NormalHanging12a Char"/>
    <w:basedOn w:val="DefaultParagraphFont"/>
    <w:link w:val="NormalHanging12a"/>
    <w:locked/>
    <w:rsid w:val="00BD29C5"/>
    <w:rPr>
      <w:sz w:val="24"/>
      <w:lang w:val="fi-FI"/>
    </w:rPr>
  </w:style>
  <w:style w:type="character" w:styleId="Hyperlink">
    <w:name w:val="Hyperlink"/>
    <w:basedOn w:val="DefaultParagraphFont"/>
    <w:rsid w:val="00BD29C5"/>
    <w:rPr>
      <w:color w:val="0563C1" w:themeColor="hyperlink"/>
      <w:u w:val="single"/>
    </w:rPr>
  </w:style>
  <w:style w:type="paragraph" w:styleId="Revision">
    <w:name w:val="Revision"/>
    <w:hidden/>
    <w:uiPriority w:val="99"/>
    <w:semiHidden/>
    <w:rsid w:val="00E8622B"/>
    <w:rPr>
      <w:sz w:val="24"/>
      <w:lang w:val="fi-FI"/>
    </w:rPr>
  </w:style>
  <w:style w:type="paragraph" w:styleId="Footer">
    <w:name w:val="footer"/>
    <w:basedOn w:val="Normal"/>
    <w:link w:val="FooterChar"/>
    <w:rsid w:val="00E8622B"/>
    <w:pPr>
      <w:tabs>
        <w:tab w:val="center" w:pos="4513"/>
        <w:tab w:val="right" w:pos="9026"/>
      </w:tabs>
    </w:pPr>
  </w:style>
  <w:style w:type="character" w:customStyle="1" w:styleId="FooterChar">
    <w:name w:val="Footer Char"/>
    <w:basedOn w:val="DefaultParagraphFont"/>
    <w:link w:val="Footer"/>
    <w:rsid w:val="00E8622B"/>
    <w:rPr>
      <w:sz w:val="24"/>
      <w:lang w:val="fi-FI"/>
    </w:rPr>
  </w:style>
  <w:style w:type="character" w:styleId="CommentReference">
    <w:name w:val="annotation reference"/>
    <w:basedOn w:val="DefaultParagraphFont"/>
    <w:rsid w:val="004536B6"/>
    <w:rPr>
      <w:sz w:val="16"/>
      <w:szCs w:val="16"/>
    </w:rPr>
  </w:style>
  <w:style w:type="paragraph" w:styleId="CommentText">
    <w:name w:val="annotation text"/>
    <w:basedOn w:val="Normal"/>
    <w:link w:val="CommentTextChar"/>
    <w:rsid w:val="004536B6"/>
    <w:rPr>
      <w:sz w:val="20"/>
    </w:rPr>
  </w:style>
  <w:style w:type="character" w:customStyle="1" w:styleId="CommentTextChar">
    <w:name w:val="Comment Text Char"/>
    <w:basedOn w:val="DefaultParagraphFont"/>
    <w:link w:val="CommentText"/>
    <w:rsid w:val="004536B6"/>
    <w:rPr>
      <w:lang w:val="fi-FI"/>
    </w:rPr>
  </w:style>
  <w:style w:type="paragraph" w:styleId="CommentSubject">
    <w:name w:val="annotation subject"/>
    <w:basedOn w:val="CommentText"/>
    <w:next w:val="CommentText"/>
    <w:link w:val="CommentSubjectChar"/>
    <w:rsid w:val="004536B6"/>
    <w:rPr>
      <w:b/>
      <w:bCs/>
    </w:rPr>
  </w:style>
  <w:style w:type="character" w:customStyle="1" w:styleId="CommentSubjectChar">
    <w:name w:val="Comment Subject Char"/>
    <w:basedOn w:val="CommentTextChar"/>
    <w:link w:val="CommentSubject"/>
    <w:rsid w:val="004536B6"/>
    <w:rPr>
      <w:b/>
      <w:bCs/>
      <w:lang w:val="fi-FI"/>
    </w:rPr>
  </w:style>
  <w:style w:type="paragraph" w:customStyle="1" w:styleId="NormalBold">
    <w:name w:val="NormalBold"/>
    <w:basedOn w:val="Normal"/>
    <w:rsid w:val="00E70EB1"/>
    <w:pPr>
      <w:widowControl/>
    </w:pPr>
    <w:rPr>
      <w:b/>
      <w:szCs w:val="24"/>
      <w:lang w:eastAsia="en-US"/>
    </w:rPr>
  </w:style>
  <w:style w:type="paragraph" w:customStyle="1" w:styleId="Normal6a">
    <w:name w:val="Normal6a"/>
    <w:basedOn w:val="Normal"/>
    <w:rsid w:val="00E70EB1"/>
    <w:pPr>
      <w:widowControl/>
      <w:spacing w:after="120"/>
    </w:pPr>
    <w:rPr>
      <w:szCs w:val="24"/>
      <w:lang w:eastAsia="en-US"/>
    </w:rPr>
  </w:style>
  <w:style w:type="paragraph" w:customStyle="1" w:styleId="AmColumnHeading">
    <w:name w:val="AmColumnHeading"/>
    <w:basedOn w:val="Normal"/>
    <w:rsid w:val="00E70EB1"/>
    <w:pPr>
      <w:widowControl/>
      <w:spacing w:after="240"/>
      <w:jc w:val="center"/>
    </w:pPr>
    <w:rPr>
      <w:i/>
      <w:szCs w:val="24"/>
      <w:lang w:eastAsia="en-US"/>
    </w:rPr>
  </w:style>
  <w:style w:type="paragraph" w:customStyle="1" w:styleId="AmNumberTabs">
    <w:name w:val="AmNumberTabs"/>
    <w:basedOn w:val="Normal"/>
    <w:rsid w:val="00E70EB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E70EB1"/>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24/1385/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4362</Words>
  <Characters>38120</Characters>
  <Application>Microsoft Office Word</Application>
  <DocSecurity>0</DocSecurity>
  <Lines>1314</Lines>
  <Paragraphs>342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2026-03-17T16:26:00Z</dcterms:created>
  <dcterms:modified xsi:type="dcterms:W3CDTF">2026-03-17T16:26:00Z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A10-0010/2026</vt:lpwstr>
  </property>
  <property fmtid="{D5CDD505-2E9C-101B-9397-08002B2CF9AE}" pid="4" name="&lt;Type&gt;">
    <vt:lpwstr>RR</vt:lpwstr>
  </property>
  <property fmtid="{D5CDD505-2E9C-101B-9397-08002B2CF9AE}" pid="5" name="&lt;Model&gt;">
    <vt:lpwstr/>
  </property>
</Properties>
</file>