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7804" w14:paraId="5AE850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62D24F" w14:textId="0B48BB6B" w:rsidR="00751A4A" w:rsidRPr="00417804" w:rsidRDefault="006E12C0" w:rsidP="0010095E">
            <w:pPr>
              <w:pStyle w:val="EPName"/>
            </w:pPr>
            <w:r w:rsidRPr="00417804">
              <w:t>Európai Parlament</w:t>
            </w:r>
          </w:p>
          <w:p w14:paraId="692ADB97" w14:textId="77777777" w:rsidR="00751A4A" w:rsidRPr="004178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17804">
              <w:t>2024</w:t>
            </w:r>
            <w:r w:rsidR="00817416" w:rsidRPr="00417804">
              <w:t>-202</w:t>
            </w:r>
            <w:r w:rsidRPr="00417804">
              <w:t>9</w:t>
            </w:r>
          </w:p>
        </w:tc>
        <w:tc>
          <w:tcPr>
            <w:tcW w:w="2268" w:type="dxa"/>
            <w:shd w:val="clear" w:color="auto" w:fill="auto"/>
          </w:tcPr>
          <w:p w14:paraId="2C372738" w14:textId="77777777" w:rsidR="00751A4A" w:rsidRPr="00417804" w:rsidRDefault="00187494" w:rsidP="0010095E">
            <w:pPr>
              <w:pStyle w:val="EPLogo"/>
            </w:pPr>
            <w:r w:rsidRPr="00417804">
              <w:rPr>
                <w:noProof/>
                <w:lang w:eastAsia="ja-JP"/>
              </w:rPr>
              <w:drawing>
                <wp:inline distT="0" distB="0" distL="0" distR="0" wp14:anchorId="09ACC360" wp14:editId="43CFF95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608C8E" w14:textId="77777777" w:rsidR="00D058B8" w:rsidRPr="00417804" w:rsidRDefault="00D058B8" w:rsidP="004C5D52">
      <w:pPr>
        <w:pStyle w:val="LineTop"/>
      </w:pPr>
    </w:p>
    <w:p w14:paraId="1BFCEBF8" w14:textId="4AD8CFCC" w:rsidR="00680577" w:rsidRPr="00417804" w:rsidRDefault="006E12C0" w:rsidP="00680577">
      <w:pPr>
        <w:pStyle w:val="EPBodyTA1"/>
      </w:pPr>
      <w:r w:rsidRPr="00417804">
        <w:t>ELFOGADOTT SZÖVEGEK</w:t>
      </w:r>
    </w:p>
    <w:p w14:paraId="50F54E67" w14:textId="77777777" w:rsidR="00D058B8" w:rsidRPr="00417804" w:rsidRDefault="00D058B8" w:rsidP="00D058B8">
      <w:pPr>
        <w:pStyle w:val="LineBottom"/>
      </w:pPr>
    </w:p>
    <w:p w14:paraId="545B2420" w14:textId="5FBDD07A" w:rsidR="006E12C0" w:rsidRPr="00417804" w:rsidRDefault="006E12C0" w:rsidP="006E12C0">
      <w:pPr>
        <w:pStyle w:val="ATHeading1"/>
      </w:pPr>
      <w:bookmarkStart w:id="0" w:name="TANumber"/>
      <w:r w:rsidRPr="00417804">
        <w:t>P10_</w:t>
      </w:r>
      <w:proofErr w:type="gramStart"/>
      <w:r w:rsidRPr="00417804">
        <w:t>TA(</w:t>
      </w:r>
      <w:proofErr w:type="gramEnd"/>
      <w:r w:rsidRPr="00417804">
        <w:t>2026)00</w:t>
      </w:r>
      <w:r w:rsidR="00417804">
        <w:t>51</w:t>
      </w:r>
      <w:bookmarkEnd w:id="0"/>
    </w:p>
    <w:p w14:paraId="4493647E" w14:textId="77777777" w:rsidR="006E12C0" w:rsidRPr="00417804" w:rsidRDefault="006E12C0" w:rsidP="006E12C0">
      <w:pPr>
        <w:pStyle w:val="ATHeading2"/>
      </w:pPr>
      <w:bookmarkStart w:id="1" w:name="title"/>
      <w:r w:rsidRPr="00417804">
        <w:t>Az ENSZ Nők Helyzetével Foglalkozó Bizottsága 70. ülésszakával kapcsolatban az EU prioritásaira vonatkozó, a Tanácshoz intézett ajánlás</w:t>
      </w:r>
      <w:bookmarkEnd w:id="1"/>
    </w:p>
    <w:p w14:paraId="40DF7153" w14:textId="77777777" w:rsidR="006E12C0" w:rsidRPr="00417804" w:rsidRDefault="006E12C0" w:rsidP="006E12C0">
      <w:pPr>
        <w:rPr>
          <w:i/>
          <w:vanish/>
        </w:rPr>
      </w:pPr>
      <w:r w:rsidRPr="00417804">
        <w:rPr>
          <w:i/>
        </w:rPr>
        <w:fldChar w:fldCharType="begin"/>
      </w:r>
      <w:r w:rsidRPr="00417804">
        <w:rPr>
          <w:i/>
        </w:rPr>
        <w:instrText xml:space="preserve"> TC"(</w:instrText>
      </w:r>
      <w:bookmarkStart w:id="2" w:name="DocNumber"/>
      <w:r w:rsidRPr="00417804">
        <w:rPr>
          <w:i/>
        </w:rPr>
        <w:instrText>A10-0010/2026</w:instrText>
      </w:r>
      <w:bookmarkEnd w:id="2"/>
      <w:r w:rsidRPr="00417804">
        <w:rPr>
          <w:i/>
        </w:rPr>
        <w:instrText xml:space="preserve"> - Előadó: Lina Gálvez)"\l3 \n&gt; \* MERGEFORMAT </w:instrText>
      </w:r>
      <w:r w:rsidRPr="00417804">
        <w:rPr>
          <w:i/>
        </w:rPr>
        <w:fldChar w:fldCharType="end"/>
      </w:r>
    </w:p>
    <w:p w14:paraId="1DFB78C9" w14:textId="77777777" w:rsidR="006E12C0" w:rsidRPr="00417804" w:rsidRDefault="006E12C0" w:rsidP="006E12C0">
      <w:pPr>
        <w:rPr>
          <w:vanish/>
        </w:rPr>
      </w:pPr>
      <w:bookmarkStart w:id="3" w:name="Commission"/>
      <w:r w:rsidRPr="00417804">
        <w:rPr>
          <w:vanish/>
        </w:rPr>
        <w:t>Nőjogi és Esélyegyenlőségi Bizottság</w:t>
      </w:r>
      <w:bookmarkEnd w:id="3"/>
    </w:p>
    <w:p w14:paraId="19DFDAF8" w14:textId="77777777" w:rsidR="006E12C0" w:rsidRPr="00417804" w:rsidRDefault="006E12C0" w:rsidP="006E12C0">
      <w:pPr>
        <w:rPr>
          <w:vanish/>
        </w:rPr>
      </w:pPr>
      <w:bookmarkStart w:id="4" w:name="PE"/>
      <w:r w:rsidRPr="00417804">
        <w:rPr>
          <w:vanish/>
        </w:rPr>
        <w:t>PE776.895</w:t>
      </w:r>
      <w:bookmarkEnd w:id="4"/>
    </w:p>
    <w:p w14:paraId="2BC750FB" w14:textId="15917C12" w:rsidR="006E12C0" w:rsidRPr="00417804" w:rsidRDefault="006E12C0" w:rsidP="006E12C0">
      <w:pPr>
        <w:pStyle w:val="ATHeading3"/>
      </w:pPr>
      <w:bookmarkStart w:id="5" w:name="Sujet"/>
      <w:r w:rsidRPr="00417804">
        <w:t xml:space="preserve">Az Európai Parlament </w:t>
      </w:r>
      <w:r w:rsidR="00C3273F" w:rsidRPr="00417804">
        <w:t xml:space="preserve">2026. február 12-i </w:t>
      </w:r>
      <w:r w:rsidRPr="00417804">
        <w:t xml:space="preserve">ajánlása a Tanácshoz az ENSZ nők helyzetével foglalkozó bizottsága 70. ülésszakára vonatkozó uniós prioritásokról </w:t>
      </w:r>
      <w:bookmarkStart w:id="6" w:name="References"/>
      <w:bookmarkEnd w:id="5"/>
      <w:r w:rsidRPr="00417804">
        <w:t>(2025/2240(INI))</w:t>
      </w:r>
      <w:bookmarkEnd w:id="6"/>
    </w:p>
    <w:p w14:paraId="68AD7EE1" w14:textId="77777777" w:rsidR="00057799" w:rsidRPr="00417804" w:rsidRDefault="00057799" w:rsidP="00057799">
      <w:pPr>
        <w:pStyle w:val="EPComma"/>
      </w:pPr>
      <w:r w:rsidRPr="00417804">
        <w:rPr>
          <w:i/>
          <w:iCs/>
        </w:rPr>
        <w:t>Az Európai Parlament,</w:t>
      </w:r>
    </w:p>
    <w:p w14:paraId="62E9747F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az ENSZ Nők Helyzetével Foglalkozó Bizottságának 2026 márciusában tartandó 70. ülésszakára, a „Minden nő és lány igazságszolgáltatáshoz való hozzáférésének biztosítása és megerősítése, többek között az inkluzív és méltányos jogrendszerek előmozdítása, a diszkriminatív jogszabályok, szakpolitikák és gyakorlatok felszámolása, valamint a strukturális akadályok kezelése révén” című kiemelt témájára, valamint „A nők teljes körű és tényleges részvétele a közéletben a döntéshozatalban, valamint az erőszak felszámolása a nemek közötti egyenlőség megvalósítása és a nők és lányok társadalmi szerepvállalása érdekében” című felülvizsgálati témájára,</w:t>
      </w:r>
    </w:p>
    <w:p w14:paraId="31272885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nőkkel szemben alkalmazott hátrányos megkülönböztetések minden formájának kiküszöböléséről szóló, 1979. december 18-i ENSZ-egyezményre,</w:t>
      </w:r>
    </w:p>
    <w:p w14:paraId="464A3DDF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fogyatékossággal élő személyek jogairól szóló, 2006. december 12-i ENSZ-egyezményre, különösen annak az igazságszolgáltatáshoz való hozzáférésről és a fogyatékossággal élő nőket és lányokat sújtó többszörös megkülönböztetésről szóló 6. és 13. cikkére,</w:t>
      </w:r>
    </w:p>
    <w:p w14:paraId="29347FC3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az ENSZ 2030-ig tartó időszakra vonatkozó fenntartható fejlődési menetrendjére, nevezetesen a „senkit nem hagyunk hátra” elvre, és különösen az 5. fenntartható fejlődési célra, amely a nemek közötti egyenlőség elérésére és annak biztosítására irányul, hogy a nők egyenlő jogokkal rendelkezzenek a gazdasági erőforrásokhoz, valamint hozzáférjenek a földhöz és más tulajdoni formákhoz, a pénzügyi szolgáltatásokhoz, az örökséghez és a természeti erőforrásokhoz, valamint a 10. fenntartható fejlődési célra, amely a diszkriminatív jogszabályok, szakpolitikák és gyakorlatok megszüntetésére, valamint a megfelelő jogszabályok, szakpolitikák és fellépések előmozdítására irányul,</w:t>
      </w:r>
    </w:p>
    <w:p w14:paraId="5E1616F5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lastRenderedPageBreak/>
        <w:t>–</w:t>
      </w:r>
      <w:r w:rsidRPr="00417804">
        <w:tab/>
        <w:t>tekintettel az Európai Unió Alapjogi Chartájának 20., 21., 23. és 47. cikkére,</w:t>
      </w:r>
    </w:p>
    <w:p w14:paraId="107B9AE9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az abortuszhoz való jognak az Európai Unió Alapjogi Chartájába való beillesztéséről szóló, 2024. április 11-i állásfoglalására</w:t>
      </w:r>
      <w:r w:rsidRPr="00417804">
        <w:rPr>
          <w:rStyle w:val="FootnoteReference"/>
          <w:bCs/>
          <w:iCs/>
        </w:rPr>
        <w:footnoteReference w:id="1"/>
      </w:r>
      <w:r w:rsidRPr="00417804">
        <w:t>,</w:t>
      </w:r>
    </w:p>
    <w:p w14:paraId="70F29151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Bizottságnak és az Unió külügyi és biztonságpolitikai főképviselőjének „A nemek közötti egyenlőségre vonatkozó III. uniós cselekvési terv (GAP III) – Az EU külső tevékenységeiben a nemek közötti egyenlőség biztosítását és a nők szerepének megerősítését célzó ambiciózus program” című, 2020. november 25-i közös közleményére (</w:t>
      </w:r>
      <w:proofErr w:type="gramStart"/>
      <w:r w:rsidRPr="00417804">
        <w:t>JOIN(</w:t>
      </w:r>
      <w:proofErr w:type="gramEnd"/>
      <w:r w:rsidRPr="00417804">
        <w:t>2020)0017), amely felvázolja a nemek közötti egyenlőségre vonatkozó uniós cselekvési tervet a 2021–2025-ös időszakra,</w:t>
      </w:r>
    </w:p>
    <w:p w14:paraId="24BDC4DE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„A nők jogaira vonatkozó ütemterv” című, 2025. március 7-i bizottsági közleményre (</w:t>
      </w:r>
      <w:proofErr w:type="gramStart"/>
      <w:r w:rsidRPr="00417804">
        <w:t>COM(</w:t>
      </w:r>
      <w:proofErr w:type="gramEnd"/>
      <w:r w:rsidRPr="00417804">
        <w:t>2025)0097), amely megerősíti az Unió elkötelezettségét a nemek közötti egyenlőség iránt,</w:t>
      </w:r>
    </w:p>
    <w:p w14:paraId="1F36369E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„Az egyenlőségközpontú Unió: a 2020–2025 közötti időszakra szóló nemi esélyegyenlőségi stratégia” című, 2020. március 5-i bizottsági közleményre (</w:t>
      </w:r>
      <w:proofErr w:type="gramStart"/>
      <w:r w:rsidRPr="00417804">
        <w:t>COM(</w:t>
      </w:r>
      <w:proofErr w:type="gramEnd"/>
      <w:r w:rsidRPr="00417804">
        <w:t>2020)0152),</w:t>
      </w:r>
    </w:p>
    <w:p w14:paraId="7DDA0730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2025. évi nemi esélyegyenlőségi stratégiáról szóló, 2025. november 13-i állásfoglalására</w:t>
      </w:r>
      <w:r w:rsidRPr="00417804">
        <w:rPr>
          <w:rStyle w:val="FootnoteReference"/>
          <w:bCs/>
          <w:iCs/>
        </w:rPr>
        <w:footnoteReference w:id="2"/>
      </w:r>
      <w:r w:rsidRPr="00417804">
        <w:t>,</w:t>
      </w:r>
    </w:p>
    <w:p w14:paraId="3052BAB1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bűncselekmények áldozatainak jogaira, támogatására és védelmére vonatkozó minimumszabályok megállapításáról és a 2001/220/IB tanácsi kerethatározat felváltásáról szóló, 2012. október 25-i 2012/29/EU európai parlamenti és tanácsi irányelvre</w:t>
      </w:r>
      <w:r w:rsidRPr="00417804">
        <w:rPr>
          <w:bCs/>
          <w:iCs/>
          <w:vertAlign w:val="superscript"/>
        </w:rPr>
        <w:footnoteReference w:id="3"/>
      </w:r>
      <w:r w:rsidRPr="00417804">
        <w:t xml:space="preserve"> és ezen irányelv folyamatban lévő átdolgozására,</w:t>
      </w:r>
    </w:p>
    <w:p w14:paraId="70D0F4AF" w14:textId="3C047FB6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nőkkel szembeni erőszak és a kapcsolati erőszak elleni küzdelemről szóló, 2024. május 14-i (EU) 2024</w:t>
      </w:r>
      <w:r w:rsidR="002B44E3">
        <w:t>/1385</w:t>
      </w:r>
      <w:r w:rsidRPr="00417804">
        <w:t xml:space="preserve"> európai parlamenti és tanácsi irányelvre</w:t>
      </w:r>
      <w:r w:rsidRPr="00417804">
        <w:rPr>
          <w:rStyle w:val="FootnoteReference"/>
          <w:bCs/>
          <w:iCs/>
        </w:rPr>
        <w:footnoteReference w:id="4"/>
      </w:r>
      <w:r w:rsidRPr="00417804">
        <w:t>,</w:t>
      </w:r>
    </w:p>
    <w:p w14:paraId="1B47DC5B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 xml:space="preserve">tekintettel az ENSZ Biztonsági Tanácsának a szexuális </w:t>
      </w:r>
      <w:proofErr w:type="gramStart"/>
      <w:r w:rsidRPr="00417804">
        <w:t>erőszakról</w:t>
      </w:r>
      <w:proofErr w:type="gramEnd"/>
      <w:r w:rsidRPr="00417804">
        <w:t xml:space="preserve"> mint háborús fegyverről szóló 1820 (2008). sz., 2008. június 19-i határozatára,</w:t>
      </w:r>
    </w:p>
    <w:p w14:paraId="2EDD4F6C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büntető igazságszolgáltatási rendszerekben a költségmentesség igénybevételére vonatkozó, 2012 decemberében elfogadott ENSZ-elvekre és -iránymutatásokra,</w:t>
      </w:r>
    </w:p>
    <w:p w14:paraId="7B3CBD32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Bizottság 2021 és 2027 közötti időszakra vonatkozó Jogérvényesülés programjára, amely finanszírozást biztosít a polgári és büntetőügyekben folytatott igazságügyi együttműködés támogatásához, például a bírák és más jogi szakemberek képzéséhez, valamint a polgárok és a vállalkozások igazságszolgáltatáshoz való tényleges hozzáféréséhez,</w:t>
      </w:r>
    </w:p>
    <w:p w14:paraId="643314A2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az Európa Tanácsnak a nőkkel szembeni erőszak és a kapcsolati erőszak elleni küzdelemről és azok megelőzéséről szóló egyezményére (isztambuli egyezmény),</w:t>
      </w:r>
    </w:p>
    <w:p w14:paraId="16AB733B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lastRenderedPageBreak/>
        <w:t>–</w:t>
      </w:r>
      <w:r w:rsidRPr="00417804">
        <w:tab/>
        <w:t>tekintettel az Európai Unió működéséről szóló szerződés 81. cikkének (2) bekezdésére,</w:t>
      </w:r>
    </w:p>
    <w:p w14:paraId="4A7052E2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eljárási szabályzata 121. cikkére,</w:t>
      </w:r>
    </w:p>
    <w:p w14:paraId="522887A2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–</w:t>
      </w:r>
      <w:r w:rsidRPr="00417804">
        <w:tab/>
        <w:t>tekintettel a Nőjogi és Esélyegyenlőségi Bizottság jelentésére (A10-0010/2026),</w:t>
      </w:r>
    </w:p>
    <w:p w14:paraId="77E84264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A.</w:t>
      </w:r>
      <w:r w:rsidRPr="00417804">
        <w:tab/>
        <w:t>mivel a nők és férfiak közötti egyenlőség az Európai Unióról szóló szerződés 2. cikkében és az Európai Unió Alapjogi Chartájának 23. cikkében rögzített alapelv; mivel ez az elv az élet minden területén és minden szakpolitikában alkalmazandó, beleértve az igazságszolgáltatáshoz való hozzáférést is; mivel a nemek közötti egyenlőség általános érvényesítését, a nemek közötti egyenlőség szempontját érvényesítő költségvetés-tervezést és az interszekcionális megközelítést valamennyi uniós szakpolitikába be kell építeni, mivel ezek kulcsfontosságú eszközök a nemek közötti egyenlőség eléréséhez; mivel a belső és külső politikáknak következetesnek és koherensnek kell maradniuk annak érdekében, hogy világszerte biztosítsák az emberi és az alapvető jogok, a demokrácia és a nemek közötti egyenlőség hatékony és hiteles előmozdítását;</w:t>
      </w:r>
    </w:p>
    <w:p w14:paraId="2447EFCA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B.</w:t>
      </w:r>
      <w:r w:rsidRPr="00417804">
        <w:tab/>
        <w:t>mivel a nemek közötti egyenlőség, a demokrácia, az alapvető jogok és a jogállamiság elválaszthatatlanul összekapcsolódnak; mivel a nők jogai és a nemek közötti egyenlőség terén tapasztalható egyre nagyobb visszaesésért a genderellenes és az antidemokratikus mozgalmak erősödése tehető felelőssé; mivel az USA által nyújtott fejlesztési segélyek támogatásának közelmúltbeli csökkentései világszerte aránytalanul sújtják a nőket és lányokat, növelve a kiszolgáltatottságot, és károsítva a közösségeket; mivel az ENSZ Közgyűlése aggodalmát fejezte ki a nemek közötti egyenlőséggel szembeni aktív ellenállás és a nők jogai tekintetében növekvő transznacionális visszaesés miatt; mivel sürgős szükség van a nők és lányok érdemi egyenlőségének és emberi jogainak megerősítésére</w:t>
      </w:r>
      <w:r w:rsidRPr="00417804">
        <w:rPr>
          <w:bCs/>
          <w:iCs/>
          <w:vertAlign w:val="superscript"/>
        </w:rPr>
        <w:footnoteReference w:id="5"/>
      </w:r>
      <w:r w:rsidRPr="00417804">
        <w:t>;</w:t>
      </w:r>
    </w:p>
    <w:p w14:paraId="76C6DCCA" w14:textId="77777777" w:rsidR="00057799" w:rsidRPr="00417804" w:rsidRDefault="00057799" w:rsidP="00FE04A4">
      <w:pPr>
        <w:pStyle w:val="NormalHanging12a"/>
        <w:widowControl/>
      </w:pPr>
      <w:r w:rsidRPr="00417804">
        <w:t>C.</w:t>
      </w:r>
      <w:r w:rsidRPr="00417804">
        <w:tab/>
        <w:t>mivel a nők és a lányok jogai és a nemek közötti egyenlőség alapvető emberi jogok, és az emberi fejlődés, a társadalmi igazságosság, a demokrácia, a jogállamiság, az életkörülmények javításának, a szegénység csökkentésének és az klímaválság kezelésének, valamint egy békés, igazságos, virágzó és fenntartható világ eléréséhez szükség alap előfeltételei; mivel összességében a nők jogainak világszerte történő érvényesítése az inkluzív növekedés előmozdítása, az egyenlőtlenségek csökkentése, valamint a nők készségeinek és potenciáljának teljes körű kihasználása révén a társadalom valamennyi ágazatában javítja a versenyképességet;</w:t>
      </w:r>
    </w:p>
    <w:p w14:paraId="46112B5E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D.</w:t>
      </w:r>
      <w:r w:rsidRPr="00417804">
        <w:tab/>
        <w:t>mivel a szegénységet és a megkülönböztetést súlyosbítják az olyan interszekcionális tényezők, mint a rasszizmus, a fogyatékosság, a migrációs státusz, a szexuális irányultság, a nemi identitás és a nemi jelleg, amint azt az Európai Unió Alapjogi Chartájának 21. cikke is kiemeli; mivel a menstruációs szegénység továbbra is jelentősen akadályozza a nemek közötti egyenlőséget, világszerte nők és lányok millióinak oktatását, egészségét és gazdasági részvételét akadályozza, ezáltal korlátozva az igazságszolgáltatáshoz való hozzáférésüket, és aláásva képviseletüket és a döntéshozatali folyamatokban való részvételüket minden szinten;</w:t>
      </w:r>
    </w:p>
    <w:p w14:paraId="1BB983E7" w14:textId="77777777" w:rsidR="00057799" w:rsidRPr="00417804" w:rsidRDefault="00057799" w:rsidP="00FE04A4">
      <w:pPr>
        <w:pStyle w:val="NormalHanging12a"/>
        <w:widowControl/>
      </w:pPr>
      <w:r w:rsidRPr="00417804">
        <w:t>E.</w:t>
      </w:r>
      <w:r w:rsidRPr="00417804">
        <w:tab/>
        <w:t xml:space="preserve">mivel az igazságszolgáltatáshoz való hozzáférést a nemzetközi jog széles körben alapvető emberi jogként ismeri el, amely az igazságszolgáltatás tágabb területének alapkoncepciója, valamint a jogállamiság és a demokrácia sarokköve; mivel az EU az </w:t>
      </w:r>
      <w:r w:rsidRPr="00417804">
        <w:lastRenderedPageBreak/>
        <w:t>Európai Unió Alapjogi Chartájának 47. cikkében alapvető jogként ismeri el az igazságszolgáltatáshoz való hozzáférést; mivel az igazságszolgáltatáshoz való tényleges hozzáféréshez megbízható adatokra, átlátható eljárásokra, tényeken alapuló szakpolitikai döntéshozatalra és pártatlan intézményekre van szükség, amelyek biztosítják, hogy a nők és lányok megkülönböztetés nélkül gyakorolhassák jogaikat; mivel az igazságszolgáltatáshoz való hozzáférés alapvető emberi jog, amely tisztességes jogszabályokon, hatékony végrehajtáson, megfizethető jogi támogatáson, a nemek közötti egyenlőség szempontját érvényesítő intézményeken és elszámoltathatósági mechanizmusokon alapul; mivel a diszkriminatív jogszabályok, a nemi sztereotípiák, a pénzügyi akadályok és az intézményi elfogultság továbbra is számos nőt és lányt akadályoz, különösen azokat, akik interszekcionális megkülönböztetéssel szembesülnek; mivel a kiszolgáltatott helyzetben lévő nők és lányok, köztük a fogyatékossággal élők, a vidéki vagy távoli területeken élők és az idős nők gyakran további akadályokkal szembesülnek az igazságszolgáltatáshoz és a jogi támogatáshoz való hozzáférés terén; mivel a digitalizáció és a mesterséges intelligencia egyre inkább alakítja az igazságszolgáltatáshoz való hozzáférést, ami fellépést kíván az algoritmikus megkülönböztetés, a digitális kirekesztés és az online veszélyek ellen; mivel a költségmentesség elengedhetetlen az igazságszolgáltatáshoz való méltányos hozzáféréshez, míg a bevált gyakorlatok cseréje hozzájárul a költségmentességi rendszerek minőségének és következetességének megerősítéséhez;</w:t>
      </w:r>
    </w:p>
    <w:p w14:paraId="3705E4B9" w14:textId="77777777" w:rsidR="00057799" w:rsidRPr="00417804" w:rsidRDefault="00057799" w:rsidP="00FE04A4">
      <w:pPr>
        <w:pStyle w:val="NormalHanging12a"/>
        <w:widowControl/>
      </w:pPr>
      <w:r w:rsidRPr="00417804">
        <w:t>F.</w:t>
      </w:r>
      <w:r w:rsidRPr="00417804">
        <w:tab/>
        <w:t>mivel a nők és lányok igazságszolgáltatáshoz való egyetemes és egyenlő hozzáférése továbbra is összetett és kritikus kérdés a világ minden régiójában, bizonyos régiókban pedig különös kihívások előtt áll, főleg ott, ahol gyengék a demokratikus intézmények és a jogállamiság; mivel a gazdasági akadályok, a költségmentességhez való korlátozott hozzáférés, a magas költségek, az összetett jogi eljárások, a digitális és nyelvi akadályok, az igazságszolgáltatási rendszerrel szembeni bizalmatlanság, az elterjedt nemi sztereotípiák, a faji előítéletek, a nőgyűlölet és a rendszerszintű megkülönböztetés továbbra is jelentős akadályt jelentenek a nők és lányok igazságszolgáltatáshoz való hozzáférése terén;</w:t>
      </w:r>
    </w:p>
    <w:p w14:paraId="782462B2" w14:textId="1C644BF2" w:rsidR="00057799" w:rsidRPr="00417804" w:rsidRDefault="00057799" w:rsidP="00FE04A4">
      <w:pPr>
        <w:pStyle w:val="NormalHanging12a"/>
        <w:widowControl/>
      </w:pPr>
      <w:r w:rsidRPr="00417804">
        <w:t>G.</w:t>
      </w:r>
      <w:r w:rsidRPr="00417804">
        <w:tab/>
        <w:t>mivel a nők világszerte továbbra is súlyosan alulreprezentáltak az igazságszolgáltatási és ügyészi hatóságok legmagasabb szintjein, különösen az olyan vezetői pozíciókban, mint a bíróságok elnökei, a főbírák és az ügyészségek vezetői; mivel elsődleges célul kell kitűzni a nemek kiegyensúlyozott képviseletének elérését ezekben a döntéshozó testületekben; mivel a nemek közötti egyenlőséget figyelembe vevő megközelítést kell folytatni, még akkor is, ha biztosított a nők jelenléte; mivel a nemi dimenziónak a bírósági döntéshozatalba való beépítése elengedhetetlen a nők és lányok igazságszolgáltatáshoz való egyenlő hozzáférésének biztosításához, és megköveteli a tények értékelését és a jog nemi elfogultság és káros sztereotípiák nélküli alkalmazását mind magában a döntésben, mind pedig a döntés meghozatalának folyamatában; mivel 2024-ben a nőkkel szembeni hátrányos megkülönböztetés kiküszöbölésével foglalkozó ENSZ-bizottság (CEDAW) kiadta a nők döntéshozatali rendszerekben való egyenlő és inkluzív képviseletéről szóló 40. sz. általános ajánlást, amely a döntéshozatali rendszerekhez való egyenlő hozzáférés és a döntéshozatali rendszereken belüli egyenlő hatalom tekintetében határozta meg;</w:t>
      </w:r>
    </w:p>
    <w:p w14:paraId="26EB5089" w14:textId="0AFE13E4" w:rsidR="00057799" w:rsidRPr="00417804" w:rsidRDefault="00057799" w:rsidP="00FE04A4">
      <w:pPr>
        <w:pStyle w:val="NormalHanging12a"/>
        <w:widowControl/>
      </w:pPr>
      <w:r w:rsidRPr="00417804">
        <w:t>H.</w:t>
      </w:r>
      <w:r w:rsidRPr="00417804">
        <w:tab/>
        <w:t xml:space="preserve">mivel az ENSZ célzott kezdeményezések és kampányok révén aktívan támogatja a nők nagyobb mértékű részvételét az igazságügyi ágazatban; mivel a nők nagyobb képviselete az igazságszolgáltatási intézményekben több áldozatközpontú igazságszolgáltatási megközelítéshez kapcsolódik, és alapvető fontosságú ahhoz, hogy </w:t>
      </w:r>
      <w:r w:rsidRPr="00417804">
        <w:lastRenderedPageBreak/>
        <w:t>az áldozatok a bejelentés és az igazságszolgáltatás igénylése során úgy érezzék, hogy támogatják és meghallgatják őket; mivel egyértelmű szabályokra és szigorú jogszabályi rendelkezésekre, az alkalmazásukat illetően képzésre, továbbá az igazságügyi ágazat szakembere</w:t>
      </w:r>
      <w:r w:rsidR="006006E9">
        <w:t>i</w:t>
      </w:r>
      <w:r w:rsidRPr="00417804">
        <w:t xml:space="preserve"> és a civil társadalom számára a nemek közötti egyenlőség igazságszolgáltatásban való érvényesülésére vonatkozó figyelemfelkeltő kezdeményezésekre van szükség;</w:t>
      </w:r>
    </w:p>
    <w:p w14:paraId="2C7D53A4" w14:textId="77777777" w:rsidR="00057799" w:rsidRPr="00417804" w:rsidRDefault="00057799" w:rsidP="00FE04A4">
      <w:pPr>
        <w:pStyle w:val="NormalHanging12a"/>
        <w:widowControl/>
      </w:pPr>
      <w:r w:rsidRPr="00417804">
        <w:t>I.</w:t>
      </w:r>
      <w:r w:rsidRPr="00417804">
        <w:tab/>
        <w:t>mivel a nőkkel szembeni erőszak, a nemi alapú erőszak és a kapcsolati erőszak az alapvető jogok megsértésének minősül; mivel a másodlagos viktimizáció elkerülése érdekében a jogrendszereknek teljes mértékben foglalkozniuk kell az áldozatok sajátos szükségleteivel azáltal, hogy megfelelő védelmet, hatékony jogorvoslatot, hozzáférhető támogató szolgáltatásokat és megfelelő képzést biztosítanak a nemi alapú erőszak áldozataival kapcsolatba kerülő illetékes hatóságok számára; mivel sok nő és lány továbbra is jelentős akadályokkal szembesül a bántalmazások bejelentése és a jogi segítségnyújtás elérése terén; mivel az erőszak minden formáját – beleértve a pszichológiai, érzelmi és mentális bántalmazást, valamint a kényszerítő és pénzügyi kontrollt – hivatalosan el kell ismerni; mivel az intézményeken belül jelen lévő nemi sztereotípiák, nőgyűlölet és szexizmus, valamint a strukturális és eljárási akadályok továbbra is akadályozzák az erőszak női áldozatait az igazságszolgáltatáshoz való hozzáférésben; mivel a nemi alapú erőszakra való igazságügyi szakosodás hatékonynak bizonyult, mivel összefogja a szakértelmet, javítja az ügykezelést, és előmozdítja a nemek közötti egyenlőséget jobban figyelembe vevő és az áldozatokat támogató környezetet</w:t>
      </w:r>
      <w:r w:rsidRPr="00417804">
        <w:rPr>
          <w:vertAlign w:val="superscript"/>
        </w:rPr>
        <w:footnoteReference w:id="6"/>
      </w:r>
      <w:r w:rsidRPr="00417804">
        <w:t>;</w:t>
      </w:r>
    </w:p>
    <w:p w14:paraId="5EFE7313" w14:textId="77777777" w:rsidR="00057799" w:rsidRPr="00417804" w:rsidRDefault="00057799" w:rsidP="00FE04A4">
      <w:pPr>
        <w:pStyle w:val="NormalHanging12a"/>
        <w:widowControl/>
        <w:rPr>
          <w:bCs/>
          <w:iCs/>
          <w:szCs w:val="24"/>
        </w:rPr>
      </w:pPr>
      <w:r w:rsidRPr="00417804">
        <w:t>J.</w:t>
      </w:r>
      <w:r w:rsidRPr="00417804">
        <w:tab/>
        <w:t>mivel a munkahelyi és a politikai, igazságügyi, tudományos vagy online környezetben történő zaklatás megnehezíti a nők számára az igazságszolgáltatáshoz való hozzáférést, valamint azt, hogy közéleti és döntéshozatali szerepet vállaljanak vagy ebben a szerepben megmaradjanak; mivel a nők és lányok egyre növekvő és elterjedtebb online erőszakkal, gyűlöletbeszéddel és gyűlölet-bűncselekményekkel szembesülnek, amelyeknek konkrét és súlyosan negatív következményei vannak mindennapi életükre, korlátozzák a közéletben való részvételüket, és aláássák egyenlő képviseletüket;</w:t>
      </w:r>
    </w:p>
    <w:p w14:paraId="62917817" w14:textId="504DDA0F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K.</w:t>
      </w:r>
      <w:r w:rsidRPr="00417804">
        <w:tab/>
        <w:t xml:space="preserve">mivel a fegyveres konfliktusok, a kényszerű lakóhelyelhagyás, az éghajlatváltozás következményei és a humanitárius vészhelyzetek súlyosbítják az egyenlőtlenségeket, és gyengítik a védelmi rendszereket, így a nők és lányok jobban ki vannak téve a nemi alapú erőszak kockázatának, beleértve a kényszerházasságot, a tranzit során elkövetett szexuális erőszakot, az emberkereskedelmet, a befogadó- vagy menekültügyi központokban elkövetett nemi alapú erőszakot, valamint a háborús fegyverként alkalmazott szexuális erőszakot és kínzást; mivel a konfliktushelyzetekhez kapcsolódó szexuális erőszak továbbra is az emberi jogok egyik legelterjedtebb megsértése, amelyet a polgári lakosság terrorizálására, az ellenállás letörésére és a közösségek rombolására használnak, és háborús bűncselekménynek, emberiesség elleni bűncselekménynek vagy népirtáshoz hozzájáruló cselekménynek minősül a nemzetközi jog szerint; mivel az ENSZ nőkre, békére és biztonságra vonatkozó menetrendje központi szerepet játszik a jelenlegi globális békével és biztonsággal kapcsolatos kihívások kezelése szempontjából; mivel a folytatódó fegyveres konfliktusok, valamint a kialakulóban lévő és egyre összetettebb biztonsági fenyegetések aránytalanul érintik a nőket és lányokat, </w:t>
      </w:r>
      <w:r w:rsidRPr="00417804">
        <w:lastRenderedPageBreak/>
        <w:t>és helyzetük romlásához vezettek, ami káros következményekkel jár emberi jogaik teljes körű gyakorlására nézve világszerte;</w:t>
      </w:r>
    </w:p>
    <w:p w14:paraId="01B9028B" w14:textId="77777777" w:rsidR="00057799" w:rsidRPr="00417804" w:rsidRDefault="00057799" w:rsidP="00FE04A4">
      <w:pPr>
        <w:pStyle w:val="NormalHanging12a"/>
        <w:widowControl/>
        <w:rPr>
          <w:bCs/>
          <w:iCs/>
          <w:szCs w:val="24"/>
        </w:rPr>
      </w:pPr>
      <w:r w:rsidRPr="00417804">
        <w:t>L.</w:t>
      </w:r>
      <w:r w:rsidRPr="00417804">
        <w:tab/>
        <w:t>mivel az isztambuli egyezmény az egyik legfejlettebb nemzetközi jogi eszköz, amely kötelezettségeket határoz meg a nemi alapú erőszak megelőzésére és leküzdésére;</w:t>
      </w:r>
    </w:p>
    <w:p w14:paraId="31A34F76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M.</w:t>
      </w:r>
      <w:r w:rsidRPr="00417804">
        <w:tab/>
        <w:t>mivel a szexuális és reproduktív egészség és jogok megsértése, beleértve a biztonságos és legális abortusz megtagadását, valamint a szülészeti és nőgyógyászati erőszak minden formáját, nemi alapú erőszaknak minősül, és sérti az alapvető emberi jogokat; mivel a tartós társadalmi normák legitimálják a nemi alapú erőszakot, korlátozzák az egészségügyi szolgáltatásokhoz, többek között a szexuális és reproduktív egészségügyi ellátáshoz való hozzáférést, a nem fizetett ápolási-gondozási munkát túlnyomórészt nőkre bízzák, és korlátozzák a nők vezetői lehetőségeit; mivel a szexuális és reproduktív egészségügyi ellátáshoz való hozzáférés, beleértve a biztonságos és legális abortuszt is, alapvető emberi jog, amelyet világszerte tiszteletben kell tartani; mivel nők milliói még mindig nem rendelkeznek ilyen hozzáféréssel, ami fizikai sérüléseknek, valamint gazdasági és pszichológiai stressznek teszi ki őket; mivel riasztó ütemben növekednek a civil társadalmi szervezetek és az emberijog-védők, különösen a szexuális és reproduktív egészséget és jogokat támogatók elleni fenyegetések és támadások;</w:t>
      </w:r>
    </w:p>
    <w:p w14:paraId="612C27DA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N.</w:t>
      </w:r>
      <w:r w:rsidRPr="00417804">
        <w:tab/>
        <w:t>mivel a szexuális kényszerítés továbbra is elterjedt emberi jogi jogsértés, és gyakran használják háborús fegyverként a polgári lakosság terrorizálására és a közösségek rombolására; mivel e tekintetben sürgős fellépésre van szükség a büntetlenség megszüntetése és a szexuális kényszerítés áldozatai számára az igazságszolgáltatás biztosítása érdekében;</w:t>
      </w:r>
    </w:p>
    <w:p w14:paraId="7601B9B2" w14:textId="77777777" w:rsidR="00057799" w:rsidRPr="00417804" w:rsidRDefault="00057799" w:rsidP="00FE04A4">
      <w:pPr>
        <w:pStyle w:val="NormalHanging12a"/>
        <w:widowControl/>
      </w:pPr>
      <w:r w:rsidRPr="00417804">
        <w:t>O.</w:t>
      </w:r>
      <w:r w:rsidRPr="00417804">
        <w:tab/>
        <w:t>mivel a sztereotip bírói gondolkodás és az uralkodó nemi normák az elégtelen tájékoztatással együtt akadályozhatják az igazságszolgáltatáshoz való tényleges hozzáférést az erőszak áldozatává vált és azt túlélő nők és lányok számára; mivel a nemi alapú erőszak és a nők igazságszolgáltatáshoz való hozzáférésének akadályai hatással lehetnek a közéletben való teljes körű részvételükre; mivel ez a helyzet aláássa a nők és lányok igazságszolgáltatási rendszerbe vetett bizalmát, és hozzájárul az alacsony bejelentési arányhoz, különösen a nemi alapú erőszak eseteiben; mivel sok túlélő továbbra is áldozathibáztatással és megbélyegzéssel szembesül, valamint félnek a megtorlástól és a másodlagos viktimizációtól, ami még inkább visszatartja őket attól, hogy az igazságszolgáltatáshoz forduljanak;</w:t>
      </w:r>
    </w:p>
    <w:p w14:paraId="3B3DEA42" w14:textId="77777777" w:rsidR="00057799" w:rsidRPr="00417804" w:rsidRDefault="00057799" w:rsidP="00FE04A4">
      <w:pPr>
        <w:pStyle w:val="NormalHanging12a"/>
        <w:widowControl/>
        <w:rPr>
          <w:bCs/>
          <w:iCs/>
        </w:rPr>
      </w:pPr>
      <w:r w:rsidRPr="00417804">
        <w:t>P.</w:t>
      </w:r>
      <w:r w:rsidRPr="00417804">
        <w:tab/>
        <w:t>mivel az igazságszolgáltatási rendszeren belüli nemi sztereotípiák, nőgyűlölet és szexizmus továbbra is erősítik a nemek közötti egyenlőtlenségeket azáltal, hogy állandósítják az elfogult attitűdöket, a diszkriminatív gyakorlatokat és az egyenlőtlen hatalmi dinamikát; mivel ezek a rendszerszintű akadályok aláássák a nők igazságszolgáltatás iránti bizalmát, korlátozzák tisztességes képviseletüket, és hozzájárulnak az igazságtalanság és a marginalizálódás fennmaradásához a jogi eljárásokban; mivel a nemi előítéletek és sztereotípiák igazságszolgáltatási rendszerben való jelenlétét teljes mértékben feltárta és elítélte a MeToo mozgalom, amely kontinenseken átívelően mozgósította a nőket és lányokat, ami azt mutatja, hogy az eltérő társadalmi, gazdasági és jogi környezet ellenére a nők és lányok által az igazságszolgáltatási rendszerekben tapasztalt kihívások nagyon hasonlóak, és ezért összehangolt fellépést igényelnek;</w:t>
      </w:r>
    </w:p>
    <w:p w14:paraId="5150C4E9" w14:textId="77777777" w:rsidR="00057799" w:rsidRPr="00417804" w:rsidRDefault="00057799" w:rsidP="00FE04A4">
      <w:pPr>
        <w:pStyle w:val="NormalHanging12a"/>
        <w:widowControl/>
      </w:pPr>
      <w:r w:rsidRPr="00417804">
        <w:t>1.</w:t>
      </w:r>
      <w:r w:rsidRPr="00417804">
        <w:tab/>
        <w:t>a következő ajánlást intézi a Tanácshoz:</w:t>
      </w:r>
    </w:p>
    <w:p w14:paraId="229EFDCE" w14:textId="77777777" w:rsidR="00057799" w:rsidRPr="00417804" w:rsidRDefault="00057799" w:rsidP="00417804">
      <w:pPr>
        <w:pStyle w:val="NormalHanging12a"/>
        <w:widowControl/>
        <w:ind w:left="1134"/>
      </w:pPr>
      <w:r w:rsidRPr="00417804">
        <w:lastRenderedPageBreak/>
        <w:t>a)</w:t>
      </w:r>
      <w:r w:rsidRPr="00417804">
        <w:tab/>
        <w:t>erősítse meg az EU határozott elkötelezettségét a nemek közötti egyenlőség mellett, és garantálja a nők és lányok jogainak teljes körű végrehajtását az EU külső tevékenységének valamennyi területén, beleértve a fejlesztést, a kereskedelmet és a külpolitikát is, egy megfelelően finanszírozott, inkluzív és interszekcionális megközelítés révén, amely megkérdőjelezi a nemi sztereotípiákat, és a megkülönböztetésmentesség elvén alapul a nemek közötti egyenlőség gyors előmozdítása érdekében;</w:t>
      </w:r>
    </w:p>
    <w:p w14:paraId="487B9589" w14:textId="77777777" w:rsidR="00057799" w:rsidRPr="00417804" w:rsidRDefault="00057799" w:rsidP="00417804">
      <w:pPr>
        <w:pStyle w:val="NormalHanging12a"/>
        <w:widowControl/>
        <w:ind w:left="1134"/>
      </w:pPr>
      <w:r w:rsidRPr="00417804">
        <w:t>b)</w:t>
      </w:r>
      <w:r w:rsidRPr="00417804">
        <w:tab/>
        <w:t>biztosítsa a Parlament és annak Nőjogi és Esélyegyenlőségi Bizottsága teljes mértékű bevonását az ENSZ nők helyzetével foglalkozó bizottsága 70. ülésszakán képviselendő uniós álláspontra vonatkozó döntéshozatali eljárásba; biztosítsa, hogy a Parlament a tárgyalások előtt megfelelő tájékoztatást kapjon az uniós álláspontot ismertető dokumentumról, és hozzáférjen ahhoz; javítsa tovább az intézményközi együttműködést, többek között a tárgyalások során is, hogy a Parlament prioritásait megfelelően figyelembe vegyék; hangsúlyozza, hogy a nők döntéshozatali szerepekben – többek között a külpolitikában és a békeépítésben – való részvétele és vezető szerepe még mindig hiányzik; ismerje el, hogy tanulmányok kimutatták, hogy a nők aktív részvételével elért békemegállapodások nagyobb eséllyel lesznek fenntarthatók és eredményesek</w:t>
      </w:r>
      <w:r w:rsidRPr="00417804">
        <w:rPr>
          <w:vertAlign w:val="superscript"/>
        </w:rPr>
        <w:footnoteReference w:id="7"/>
      </w:r>
      <w:r w:rsidRPr="00417804">
        <w:t>; jelentse ki, hogy a közelmúltbeli globális értékelések hangsúlyozzák, hogy a jelenlegi kötelezettségvállalások ellenére a nők béke- és biztonsági folyamatokban való teljes körű, egyenlő és érdemi részvételének és vezető szerepének előmozdítása terén elért eredmények továbbra is korlátozottak;</w:t>
      </w:r>
    </w:p>
    <w:p w14:paraId="48249078" w14:textId="77777777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c)</w:t>
      </w:r>
      <w:r w:rsidRPr="00417804">
        <w:tab/>
        <w:t>újólag erősítse meg az EU elkötelezettségét a nemek közötti egyenlőség mint horizontális prioritás mellett; támogassa és ünnepelje a sokféleség, az egyenlőség és a befogadás értékeit; hangsúlyozza, hogy átfogó eszközt kell kidolgozni a demokratikus visszacsúszás és a nők jogai terén tapasztalható visszacsúszás nyomon követésére és az e jelenségek elleni fellépésre, amelyek szervesen kapcsolódnak egymáshoz; vállaljon vezető szerepet a nemek közötti egyenlőség terén tapasztalható visszaesés elleni globális küzdelemben, és határozottan ítélje el a genderellenes és a jogok elleni mozgalmak támadásait, amelyek hazugságokat terjesztenek, aláássák a demokráciát, és a nők és az LMBTIQ+-személyek jogai ellen irányulnak;</w:t>
      </w:r>
    </w:p>
    <w:p w14:paraId="1E32CB22" w14:textId="02B3CE4B" w:rsidR="00057799" w:rsidRPr="00417804" w:rsidRDefault="00CB1B36" w:rsidP="00417804">
      <w:pPr>
        <w:pStyle w:val="NormalHanging12a"/>
        <w:widowControl/>
        <w:ind w:left="1134"/>
        <w:rPr>
          <w:bCs/>
          <w:iCs/>
        </w:rPr>
      </w:pPr>
      <w:r>
        <w:t>d</w:t>
      </w:r>
      <w:r w:rsidR="00057799" w:rsidRPr="00417804">
        <w:t>)</w:t>
      </w:r>
      <w:r w:rsidR="00057799" w:rsidRPr="00417804">
        <w:tab/>
        <w:t xml:space="preserve">biztosítsa, hogy az uniós és nemzetközi eszközök kiegészítsék egymást és ambiciózusak legyenek, valamint szilárd és érdemi rendelkezéseket tartalmazzanak a nők és lányok szerepvállalásának megerősítése és az igazságszolgáltatáshoz való hozzáférés biztosítása érdekében; hangsúlyozza, hogy a költségmentességhez és a jogi tanácsadáshoz való jog elengedhetetlen ahhoz, hogy mindenki számára biztosított legyen az igazságszolgáltatáshoz való egyetemes és egyenlő hozzáférés, valamint a vonatkozó eljárásokban való érdemi részvétel; hangsúlyozza továbbá, hogy a fogyatékossággal élő személyek, különösen a fogyatékossággal élő nők és lányok strukturális és gyakorlati akadályokkal szembesülnek az igazságszolgáltatáshoz való hozzáférés és a közéletben való részvétel terén: hangsúlyozza, hogy egyedi intézkedésekre van szükség a fogyatékossággal élők teljes körű befogadása és a hatékony védelemhez </w:t>
      </w:r>
      <w:r w:rsidR="00057799" w:rsidRPr="00417804">
        <w:lastRenderedPageBreak/>
        <w:t>való egyetemes hozzáférésük biztosítása érdekében; biztosítsa, hogy az EU erős vezető szerepet töltsön be, és egységes álláspontot fogadjon el az inkluzív és elfogulatlan igazságszolgáltatási rendszerekkel kapcsolatban; szorgalmazzon olyan átfogó jogi kereteket, amelyek védik a nők jogait, és biztosítják a nők, a lányok és a legkülönfélébb hátterű és élethelyzetű személye teljes körű és egyenlő részvételét mind a nemzeti, mind a nemzetközi jog alapján; szólítson fel az áldozatok időben fizetett kártérítéshez való jogának biztosítására és előmozdítására a büntetőeljárás során, valamint a bevált gyakorlatok cseréjére a másodlagos viktimizáció megelőzése érdekében, többek között állami jogátruházási mechanizmusok révén;</w:t>
      </w:r>
    </w:p>
    <w:p w14:paraId="1DA79E29" w14:textId="11EB4B4E" w:rsidR="00057799" w:rsidRDefault="00CB1B36" w:rsidP="00417804">
      <w:pPr>
        <w:pStyle w:val="NormalHanging12a"/>
        <w:widowControl/>
        <w:ind w:left="1134"/>
      </w:pPr>
      <w:r>
        <w:t>e</w:t>
      </w:r>
      <w:r w:rsidR="00057799" w:rsidRPr="00417804">
        <w:t>)</w:t>
      </w:r>
      <w:r w:rsidR="00057799" w:rsidRPr="00417804">
        <w:tab/>
        <w:t>tegyen lépéseket a nemek közötti egyenlőséggel és a nők társadalmi szerepvállalásának növelésével kapcsolatos meglévő kötelezettségvállalások teljes körű végrehajtása érdekében, biztosítva a nők egyenlő emberi jogainak és alapvető szabadságainak megkülönböztetés nélküli védelmét, előmozdítva a közéletben való részvételüket;</w:t>
      </w:r>
    </w:p>
    <w:p w14:paraId="74546810" w14:textId="0AB4AEA7" w:rsidR="00E05E46" w:rsidRPr="00417804" w:rsidRDefault="00CB1B36" w:rsidP="00417804">
      <w:pPr>
        <w:pStyle w:val="NormalHanging12a"/>
        <w:widowControl/>
        <w:ind w:left="1134"/>
      </w:pPr>
      <w:r>
        <w:t>f</w:t>
      </w:r>
      <w:r w:rsidR="00E05E46" w:rsidRPr="00E05E46">
        <w:t>)</w:t>
      </w:r>
      <w:r w:rsidR="00E05E46" w:rsidRPr="00E05E46">
        <w:tab/>
        <w:t>hangsúlyozza az anyaságot előmozdító és támogató közpolitikák támogatásának fontosságát;</w:t>
      </w:r>
    </w:p>
    <w:p w14:paraId="426B5752" w14:textId="32814CEA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g)</w:t>
      </w:r>
      <w:r w:rsidRPr="00417804">
        <w:tab/>
        <w:t>hangsúlyozza annak fontosságát, hogy minden szinten garantálják a nők és lányok számára az igazságszolgáltatáshoz való tényleges hozzáférést, beleértve az egyértelmű bejelentési csatornákat, valamint a védelmi és támogatási intézkedések gyors feldolgozását; számolja fel az akadályokat, különösen a nők hátrányos helyzetű és kiszolgáltatott csoportjai esetében, akik gyakran szembesülnek akadályokkal az igazságszolgáltatáshoz való hozzáférés terén az igazságszolgáltatási rendszeren belüli korlátozott és alulfinanszírozott erőforrások multiplikátorhatása, valamint a társadalmi-gazdasági és társadalmi-kulturális tényezők és az interszekcionális megkülönböztetés miatt; biztosítson megfelelő, áldozatközpontú támogatási és védelmi szolgáltatásokat a nemi alapú erőszak eseteiben, és előzze meg a másodlagos viktimizáció minden formáját a rendőrségnek tett bejelentések vagy a bírósági eljárások során; hangsúlyozza, hogy a gazdasági egyenlőtlenség továbbra is jelentősen akadályozza az igazságszolgáltatáshoz való hozzáférést;</w:t>
      </w:r>
    </w:p>
    <w:p w14:paraId="2B01C91F" w14:textId="331358B1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h)</w:t>
      </w:r>
      <w:r w:rsidRPr="00417804">
        <w:tab/>
        <w:t>hangsúlyozza, hogy a nemi apartheidet a Római Statútum értelmében emberiesség elleni bűncselekményként kell elismerni, és szorgalmazza annak nemzetközi elismerését az igazságszolgáltatáshoz való hozzáférés, az elszámoltathatóság és a nemzetközi bíróságok általi büntetőeljárás lehetőségének biztosítása érdekében; támogassa a nemi alapú apartheidnek a nőkkel és lányokkal szembeni megkülönböztetéssel foglalkozó ENSZ-munkacsoport által javasolt meghatározását, mint a nemi alapú megkülönböztetés és dominancia intézményesített rendszerén belül cselekedetek;</w:t>
      </w:r>
    </w:p>
    <w:p w14:paraId="7E8D660D" w14:textId="257069B4" w:rsidR="00057799" w:rsidRPr="00417804" w:rsidRDefault="00057799" w:rsidP="00417804">
      <w:pPr>
        <w:pStyle w:val="NormalHanging12a"/>
        <w:widowControl/>
        <w:ind w:left="1134"/>
        <w:rPr>
          <w:rFonts w:eastAsiaTheme="minorHAnsi"/>
          <w:bCs/>
          <w:iCs/>
          <w:szCs w:val="24"/>
        </w:rPr>
      </w:pPr>
      <w:r w:rsidRPr="00417804">
        <w:t>i)</w:t>
      </w:r>
      <w:r w:rsidRPr="00417804">
        <w:tab/>
        <w:t xml:space="preserve">biztosítsa a nemi alapú erőszak pszichológiai, mentális, fizikai, kényszerítő és pénzügyi hatásaival kapcsolatos bevált gyakorlatok cseréjét, többek között igazságügyi képzés révén; kötelezze el magát a nemi dimenziónak a bírósági döntéshozatalba való beépítése mellett, és ösztönözze azt; ösztönözze annak lehetőségét, hogy kérésre női ügyvédeket biztosítsanak az áldozatok számára; mozdítsa elő az munkájuk során áldozatokkal kapcsolatba kerülő tisztviselők – köztük a rendőrök, ügyészek és bírák – a nemi szempontokra érzékeny, </w:t>
      </w:r>
      <w:r w:rsidRPr="00417804">
        <w:lastRenderedPageBreak/>
        <w:t>áldozatközpontú képzését a másodlagos viktimizáció megelőzése, a nemi sztereotípiák és előítéletek kezelése, valamint az áldozatokkal szembeni tiszteletteljes, traumaérzékeny és megkülönböztetésmentes bánásmód biztosítása érdekében;</w:t>
      </w:r>
    </w:p>
    <w:p w14:paraId="1190FEFB" w14:textId="5780D483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j)</w:t>
      </w:r>
      <w:r w:rsidRPr="00417804">
        <w:tab/>
        <w:t>hangsúlyozza annak fontosságát, hogy a nők és lányok számára hozzáférhető, átfogó és koherens tájékoztatást biztosítsanak jogaikról, támogatásukról és védelmükről a bírósági eljárás minden szakaszában, különösen a nők elleni erőszakot vagy kapcsolati erőszakot érintő ügyekben, többek között figyelemfelkeltő kezdeményezések révén; hangsúlyozza, hogy támogatni kell az alulról szerveződő, a jogi szerepvállalást elősegítő programokat, amelyek segítik a nőket és a lányokat jogaik megértésében és gyakorlásában, és ösztönzik a bűncselekmények áldozatait támogató általános és szakszolgálatok létrehozását, valamint biztosítják azok hatékony koordinációját és beutalási módszereit; hangsúlyozza, hogy ezek a szolgálatok kulcsszerepet játszanak az áldozatoknak a jogaikról való tájékoztatásában és az igazságszolgáltatáshoz való hozzáférésük megkönnyítésében; biztosítsa, hogy az áldozatoknak szóló tájékoztatás könnyen hozzáférhető és közérthetően megfogalmazott legyen; mozdítsa elő az áldozatsegítő segélyvonalak meglétét és használatát, és biztosítsa, hogy azok különböző csatornákon – többek között telefonon, valamint információs és kommunikációs technológiákon – keresztül rendelkezésre álljanak; ismerje el, hogy a világ számos országában az információs és kommunikációs technológiákhoz való korlátozott hozzáférés akadályozza a nőkben és lányokban rejlő lehetőségek teljes körű kiaknázását;</w:t>
      </w:r>
    </w:p>
    <w:p w14:paraId="02929936" w14:textId="6493D6CF" w:rsidR="00057799" w:rsidRPr="00417804" w:rsidRDefault="00057799" w:rsidP="00417804">
      <w:pPr>
        <w:pStyle w:val="NormalHanging12a"/>
        <w:widowControl/>
        <w:ind w:left="1134"/>
        <w:rPr>
          <w:rFonts w:eastAsiaTheme="minorHAnsi"/>
          <w:bCs/>
          <w:iCs/>
          <w:szCs w:val="24"/>
        </w:rPr>
      </w:pPr>
      <w:r w:rsidRPr="00417804">
        <w:t>k)</w:t>
      </w:r>
      <w:r w:rsidRPr="00417804">
        <w:tab/>
        <w:t>kötelezze el magát amellett, hogy a polgári vagy büntetőeljárások kezdetétől biztosítják az áldozatok számára a költségmentességhez való hozzáférést, és a nemzetközi partnerekkel együtt világszerte mozdítsa elő ezt a megközelítést; szorgalmazza a nemi dimenzió beépítését valamennyi szakpolitikába, jogszabályba, eljárásba, programba és gyakorlatba a nők és lányok előtt álló konkrét akadályok kezelése érdekében, beleértve a jogokkal kapcsolatos korlátozott tudatosságot, az igazságszolgáltatási rendszereken belüli diszkriminatív attitűdöket és nemi sztereotípiákat, valamint a speciális szolgáltatások elégtelen rendelkezésre állását, különösen a vidéki és távoli területeken; mozdítsa elő azt a gyakorlatot, hogy a nők és lányok költségmentességhez való jogát kizárólag saját pénzügyi eszközeik alapján, férjük, élettársuk vagy családjuk jövedelmétől függetlenül értékelik, ami különösen fontos a nemi alapú erőszak eseteiben; hangsúlyozza a tényeken alapuló szakpolitikai döntéshozatal támogatása érdekében a nemekre lebontott adatok fontoságát az igazságszolgáltatáshoz való hozzáférésre, az ügyek kimenetelére, a költségmentesség igénybevételére és az akadályokra vonatkozóan;</w:t>
      </w:r>
    </w:p>
    <w:p w14:paraId="4D0C5EAB" w14:textId="46E19918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l)</w:t>
      </w:r>
      <w:r w:rsidRPr="00417804">
        <w:tab/>
        <w:t>mozdítsa elő a nők vezető szerepét, egyenlő részvételét és fokozott képviseletét az igazságszolgáltatásban és annak irányító szerveiben, és tegyen aktív lépéseket a kisebbségekhez és marginalizált csoportokhoz tartozó nők jogi szakmához való széles körű hozzáférésének előmozdítása érdekében, az igazságszolgáltatási rendszeren belüli strukturális akadályok felszámolása, valamint a méltányos és reprezentatív igazságszolgáltatás előmozdítása céljából, ezáltal biztosítva az esélyegyenlőséget;</w:t>
      </w:r>
    </w:p>
    <w:p w14:paraId="6E98ACD9" w14:textId="57BB1857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lastRenderedPageBreak/>
        <w:t>m)</w:t>
      </w:r>
      <w:r w:rsidRPr="00417804">
        <w:tab/>
        <w:t>mozdítson elő és támogasson olyan konkrét fellépéseket és intézkedéseket, amelyek biztosítják a nők részvételét és vezető szerepét a közéleti döntéshozatalban, többek között a külpolitika, a védelem és a biztonság, valamint a konfliktusok és válságok megelőzése, kezelése és megoldása területén; hangsúlyozza, hogy közös nyomonkövetési módszertanra van szükség a nők ezen ágazatokban való részvételére vonatkozó adatok gyűjtéséhez;</w:t>
      </w:r>
    </w:p>
    <w:p w14:paraId="722BF2CC" w14:textId="3FA1ADA7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n)</w:t>
      </w:r>
      <w:r w:rsidRPr="00417804">
        <w:tab/>
        <w:t>támogassa aktívan és mozdítsa elő a nőkkel szemben alkalmazott hátrányos megkülönböztetés minden formájának kiküszöbölésével foglalkozó bizottság (CEDAW) által 2024-ben kiadott, a nők döntéshozatali rendszerekben való egyenlő és inkluzív képviseletéről szóló 40. sz. általános ajánlást, amely a legkülönfélébb hátterű és élethelyzetű nők és férfiak közötti 50:50 paritást határozza meg a döntéshozatali rendszerekhez való egyenlő hozzáférés és a döntéshozatali rendszereken belüli egyenlő hatalmi pozíció tekintetében;</w:t>
      </w:r>
    </w:p>
    <w:p w14:paraId="1B0E6097" w14:textId="7C5F46CF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o)</w:t>
      </w:r>
      <w:r w:rsidRPr="00417804">
        <w:tab/>
        <w:t>ösztönözze a nők érdemi részvételét a kül-, a biztonság</w:t>
      </w:r>
      <w:r w:rsidR="00C3273F" w:rsidRPr="00417804">
        <w:t>- és a védelem</w:t>
      </w:r>
      <w:r w:rsidRPr="00417804">
        <w:t>politikában, valamint a konfliktusrendezésben a döntéshozatal minden szintjén, mind az EU-ban, mind világszerte;</w:t>
      </w:r>
    </w:p>
    <w:p w14:paraId="119C4AAA" w14:textId="6E2C7619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p)</w:t>
      </w:r>
      <w:r w:rsidRPr="00417804">
        <w:tab/>
        <w:t>tegyen lépéseket a nemek közötti egyenlőséggel és a nők társadalmi szerepvállalásának növelésével kapcsolatos meglévő kötelezettségvállalások sürgős és teljes körű végrehajtása érdekében, biztosítva a nők egyenlő emberi jogainak és alapvető szabadságainak megkülönböztetés nélküli védelmét többek között az esélyegyenlőséget garantáló erős intézmények és szakpolitikák révén, előmozdítva a közéletben való tényleges és teljes részvételüket, elősegítve ezzel a döntéshozatali eljárásokba való bevonásukat; ítélje el a nők ellen irányuló online gyűlöletbeszédet és annak a közéletben való részvételükre gyakorolt hatását, és támogassa a nőknek és lányoknak szóló médiaműveltségi és digitális biztonsági programokat;</w:t>
      </w:r>
    </w:p>
    <w:p w14:paraId="33E90C03" w14:textId="3ABB8382" w:rsidR="00057799" w:rsidRPr="00417804" w:rsidRDefault="00057799" w:rsidP="00417804">
      <w:pPr>
        <w:pStyle w:val="NormalHanging12a"/>
        <w:widowControl/>
        <w:ind w:left="1134"/>
        <w:rPr>
          <w:rFonts w:eastAsiaTheme="minorHAnsi"/>
          <w:bCs/>
          <w:iCs/>
          <w:szCs w:val="24"/>
        </w:rPr>
      </w:pPr>
      <w:r w:rsidRPr="00417804">
        <w:t>q)</w:t>
      </w:r>
      <w:r w:rsidRPr="00417804">
        <w:tab/>
        <w:t>hangsúlyozza, hogy a nők és a nőjogi szervezetek szerepvállalásának növelése, valamint a nők külpolitikai és konfliktussal kapcsolatos döntéshozatalban való részvételének támogatása elősegíti a közösségek számára a jobb eredményeket, az igazságszolgáltatáshoz való hozzáférést és a fenntarthatóbb békét; egyértelműen ítélje el azon női, nőjogi és civil társadalmi szervezetek finanszírozásának közelmúltbeli csökkentését, amelyek célja a nemi alapú erőszak elleni küzdelem és a nők igazságszolgáltatáshoz való hozzáférésének lehetővé tétele; biztosítson ezentúl fenntartható finanszírozást és jogi védelmet a feminista és LMBTIQ+-szervezetek, különösen a civil társadalmi tér szűkítése és a nem kormányzati szervezeteket célzó korlátozó jogszabályok miatt támadás alatt lévő, alulról szerveződő csoportok számára;</w:t>
      </w:r>
    </w:p>
    <w:p w14:paraId="0E7EA808" w14:textId="46B0F7C1" w:rsidR="00057799" w:rsidRPr="00417804" w:rsidRDefault="00057799" w:rsidP="00417804">
      <w:pPr>
        <w:pStyle w:val="NormalHanging12a"/>
        <w:widowControl/>
        <w:ind w:left="1134"/>
      </w:pPr>
      <w:r w:rsidRPr="00417804">
        <w:t>r)</w:t>
      </w:r>
      <w:r w:rsidRPr="00417804">
        <w:tab/>
        <w:t xml:space="preserve">védje meg az ENSZ Nők Helyzetével Foglalkozó Bizottságának megbízatását az Egyesült Államok és a hasonlóan gondolkodó országok arra irányuló erőfeszítéseinek fényében, hogy gyengítsék a nemek közötti egyenlőséggel kapcsolatban elfogadott prioritásokat, és fejezze ki aggodalmát amiatt, hogy ez a politikai nyomás a nemek közötti egyenlőséggel kapcsolatos programok finanszírozásának csökkentésével együtt alááshatja a Nők Helyzetével Foglalkozó Bizottság hatékonyságát és hitelességét; növelje a fejlesztési támogatás finanszírozását az USA Nemzetközi Fejlesztési Ügynökségének leépítése után keletkezett hiány ellensúlyozása érdekében; megerősíti, hogy teljeskörűen </w:t>
      </w:r>
      <w:r w:rsidRPr="00417804">
        <w:lastRenderedPageBreak/>
        <w:t>támogatja az ENSZ nőjogi szervezetének munkáját, amely az ENSZ-rendszeren belül a legkülönfélébb hátterű és élethelyzetű nők jogainak előmozdítását célzó központi szereplő, és amely a szakpolitikák megváltoztatása és a fellépések koordinálása érdekében az összes érdekelt felet egybegyűjti; sürgeti az ENSZ valamennyi tagállamát, hogy az Unióval együtt biztosítsanak megfelelő finanszírozást az ENSZ nőjogi szervezete számára; kötelezze el magát a nemek közötti egyenlőség és a nők jogai, többek között a szexuális és reproduktív egészség és jogok megfelelő finanszírozása mellett;</w:t>
      </w:r>
    </w:p>
    <w:p w14:paraId="2C0105B0" w14:textId="16A4BACA" w:rsidR="00057799" w:rsidRPr="00417804" w:rsidRDefault="00057799" w:rsidP="00417804">
      <w:pPr>
        <w:pStyle w:val="NormalHanging12a"/>
        <w:widowControl/>
        <w:ind w:left="1134"/>
      </w:pPr>
      <w:r w:rsidRPr="00417804">
        <w:t>s)</w:t>
      </w:r>
      <w:r w:rsidRPr="00417804">
        <w:tab/>
        <w:t>alkalmazza a nemek közötti egyenlőség általános érvényesítését és a nemek közötti egyenlőség szempontját érvényesítő költségvetés-tervezést valamennyi uniós szakpolitikai területen, beleértve a külső tevékenységeket is; hangsúlyozza, hogy az államoknak megfelelő, elegendő és kiszámítható finanszírozást kell elkülöníteniük a nemek közötti egyenlőség szempontját érvényesítő jogi segítségnyújtásra és támogatási szolgáltatásokra, különösen a nemi alapú erőszak túlélői számára, valamint megfelelő hozzáférést kell biztosítaniuk a kártérítéshez, mivel a jelenlegi akadályok aránytalanul érintik a nők igazságszolgáltatáshoz való hozzáférését; hangsúlyozza annak fontosságát, hogy kezeljék azokat a gyakorlati, regionális és hozzáférhetőséggel kapcsolatos akadályokat, amelyek gátolják a nők és a kiszolgáltatott csoportok igazságszolgáltatáshoz való hozzáférését, különösen a vidéki, távoli és gazdaságilag hátrányos helyzetű régiókban; hangsúlyozza a fogyatékossággal élő nők, az idős nők és az egyedülálló szülők előtt álló sajátos kihívásokat, beleértve a fizikai akadálymentesség hiányosságait és a testre szabott támogatási szolgáltatások hiányát; ismerje el, hogy a költségmentesség gyakran krónikusan alulfinanszírozott vagy alulértékelt, újabb akadályt gördítve a válsághelyzetben lévő nők igazságszolgáltatáshoz való hozzáférése elé, ami aránytalanul sújtja a rosszabb társadalmi-gazdasági helyzetű és az igazságszolgáltatáshoz való hozzáférés terén a legkiszolgáltatottabb nőket, amikor sérülnek a jogaik;</w:t>
      </w:r>
    </w:p>
    <w:p w14:paraId="3E43EF0E" w14:textId="1D9DFA2B" w:rsidR="00057799" w:rsidRPr="00417804" w:rsidRDefault="00057799" w:rsidP="00417804">
      <w:pPr>
        <w:pStyle w:val="NormalHanging12a"/>
        <w:widowControl/>
        <w:ind w:left="1134"/>
        <w:rPr>
          <w:rFonts w:eastAsiaTheme="minorHAnsi"/>
          <w:szCs w:val="24"/>
        </w:rPr>
      </w:pPr>
      <w:r w:rsidRPr="00417804">
        <w:t>t)</w:t>
      </w:r>
      <w:r w:rsidRPr="00417804">
        <w:tab/>
        <w:t>erősítse meg az EU elkötelezettségét a nemi alapú erőszak, többek között a szexuális erőszak büntetlensége elleni küzdelem és annak megszüntetése iránt; szorgalmazza a nemi alapú erőszak valamennyi formája – többek között a kapcsolati erőszak, a szexuális erőszak, az emberkereskedelem és a káros gyakorlatok – büntetlenségének megszüntetését; gyorsítsa fel a nők és lányok elleni erőszak valamennyi formájának további megelőzésére és az azokra való reagálásra irányuló nemzetközi kötelezettségvállalások végrehajtását mind a köz-, mind a magánszférában, beleértve a szexuális kényszerítést, a női nemi szervek megcsonkítását, a kényszerházasságot, az ún. reparatív terápiákat, az intim vagy manipulált anyagok beleegyezés nélküli megosztását, a mélykamut és az MI által generált tartalmat, az internetes fenyegető zaklatást, az internetes zaklatást, az intim képek kéretlen internetes küldését, valamint az erőszakra vagy gyűlöletre való internetes uszítást, továbbá a gyűlöletbeszédet és a gyűlölet-bűncselekményt; hangsúlyozza a mesterséges intelligencia által manipulált technológia jelentette fenyegetés kezelésének fontosságát uniós és nemzetközi szinten, az online erőszakkal szembeni határozottabb fellépés érdekében, amelyek aránytalanul sújtják a nőket, és akadályozzák a közéletben való teljes körű részvételüket; sürgesse az online óriásplatformokat és a nagyon népszerű online keresőprogramokat, hogy tegyék lehetővé a nemi alapú erőszakkal kapcsolatos éves kockázatértékeléseik és kockázatcsökkentő intézkedéseik nyilvános ellenőrzését a jobb kutatás és megoldások lehetővé tétele érdekében;</w:t>
      </w:r>
    </w:p>
    <w:p w14:paraId="4F36B5D1" w14:textId="5092FF90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lastRenderedPageBreak/>
        <w:t>u)</w:t>
      </w:r>
      <w:r w:rsidRPr="00417804">
        <w:tab/>
        <w:t>hangsúlyozza, hogy a szexuális és reproduktív egészséghez és jogokhoz, többek között a biztonságos és legális abortuszhoz való hozzáférés hiánya vagy megtagadása a nemi alapú erőszak egyik formája, valamint az emberi és alapvető jogok megsértése; szólítson fel a szexuális és reproduktív egészséghez és jogokhoz való széles körű és méltányos hozzáférés globális biztosítására irányuló erőfeszítésekre, és erősítse meg, hogy a biztonságos és legális abortuszhoz való hozzáférés a nők szexuális és reproduktív egészségének és jogainak alapvető eleme, és alapvető fontosságú testi autonómiájuk szempontjából; követelje meg az abortuszhoz, a fogamzásgátláshoz és az anyasági ellátáshoz való biztonságos hozzáférést mindenki számára, különös tekintettel a sürgősségi fogamzásgátlásra, a szexuális úton terjedő fertőzések vizsgálatára és az expozíciót követő profilaxisra; biztosítson hozzáférést a nemi szempontokat figyelembe vevő mentális egészségügyi szolgáltatásokhoz a fiatal nők és az LMBTIQ+-személyek számára, elismerve, hogy a mentális egészség kulcsfontosságú a részvétel és az egyenlőség szempontjából;</w:t>
      </w:r>
    </w:p>
    <w:p w14:paraId="00E9E294" w14:textId="77777777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v)</w:t>
      </w:r>
      <w:r w:rsidRPr="00417804">
        <w:tab/>
        <w:t>biztosítsa, hogy az EU külső politikái a fenntartható fejlődési célok elérésének részeként aktívan előmozdítsák a szexuális és reproduktív egészséghez és jogokhoz való hozzáférést;</w:t>
      </w:r>
    </w:p>
    <w:p w14:paraId="27A5FE77" w14:textId="32631D24" w:rsidR="00057799" w:rsidRPr="00417804" w:rsidRDefault="00057799" w:rsidP="00417804">
      <w:pPr>
        <w:pStyle w:val="NormalHanging12a"/>
        <w:widowControl/>
        <w:ind w:left="1134"/>
        <w:rPr>
          <w:rFonts w:eastAsiaTheme="minorHAnsi"/>
          <w:bCs/>
          <w:iCs/>
          <w:szCs w:val="24"/>
        </w:rPr>
      </w:pPr>
      <w:r w:rsidRPr="00417804">
        <w:t>w)</w:t>
      </w:r>
      <w:r w:rsidRPr="00417804">
        <w:tab/>
        <w:t>ismételten hangsúlyozza, hogy a szexuális kényszerítés továbbra is az egyik legelterjedtebb emberi jogi jogsértés világszerte; hangsúlyozza a szexuális kényszerítés beleegyezés hiányán alapuló uniós jogi szabályozás elfogadásának jelentőségét, amely a nők és lányok elleni szexuális erőszakkal szembeni küzdelem átfogó megközelítésének alapvető eleme; szorgalmazza a szexuális kényszerítés beleegyezésen alapuló, egyetemes normaként való meghatározását a világ minden részében, amelynek célja a jogi védelem fokozása és annak biztosítása, hogy a szexuális erőszakot a beleegyezés hiánya határozza meg, ne pedig kizárólag erőszak, kényszerítés vagy fenyegetés alkalmazása; mozdítsa elő azt a szemléletet, hogy az áldozatok hallgatása vagy ellenállásának hiánya vagy nem minősül beleegyezésnek; hangsúlyozza, hogy sem az előzetes hozzájárulás, sem a meglévő kapcsolat nem jelent bármely szexuális cselekményhez való, folyamatos vagy jövőbeli hozzájárulást; e tekintetben szólítsa fel az összes országot, hogy vezessék be a szexuális kényszerítés beleegyezésen alapuló fogalommeghatározását, és garantálják a túlélők igazságszolgáltatáshoz való hozzáférését;</w:t>
      </w:r>
    </w:p>
    <w:p w14:paraId="261FE5A3" w14:textId="04AC7253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x)</w:t>
      </w:r>
      <w:r w:rsidRPr="00417804">
        <w:tab/>
        <w:t xml:space="preserve">a leghatározottabban ítélje el a szexuális kényszerítés és a szexuális erőszak egyéb formáinak háborús fegyverként való alkalmazását, és emlékeztessen arra, hogy az ilyen cselekmények a nemzetközi jog értelmében háborús bűncselekménynek vagy emberiesség elleni bűncselekménynek minősülnek; aktívan törekedjen az ilyen típusú bűncselekményekkel kapcsolatos büntetőeljárások és elszámoltathatóság biztosítására nemzetközi szinten, köztük az EU globális emberi jogi szankciórendszerének alkalmazása révén; erősítse meg az e bűncselekmények folyamatban lévő konfliktusokban való dokumentálására irányuló nemzetközi erőfeszítések és a megelőző intézkedések támogatását; kérje továbbá, hogy aktívan támogassanak minden arra irányuló kezdeményezést, hogy biztosítsák a háborús fegyverként alkalmazott szexuális kényszerítés elkövetőinek elszámoltathatóságát és a túlélők igazságszolgáltatáshoz való hozzáférését, elismerve, hogy az 1820 (2008) sz. ENSZ Biztonsági Tanácsának határozatával összhangban a szexuális kényszerítés és a szexuális erőszak egyéb formái háborús </w:t>
      </w:r>
      <w:r w:rsidRPr="00417804">
        <w:lastRenderedPageBreak/>
        <w:t>bűncselekménynek, emberiesség elleni bűncselekménynek vagy népirtáshoz hozzájáruló cselekménynek minősülnek; mozdítsa elő az Eurojust és a Nemzetközi Büntetőbíróság közötti szoros együttműködést az Ukrajnában elkövetett háborús szexuális kényszerítés, bántalmazás és a szexuális erőszak egyéb formáinak dokumentálása terén, és szólítsa fel az EU-t, az Eurojustot és a Nemzetközi Büntetőbíróságot, hogy erősítsék tovább az összehangolt, traumatudatos és áldozatközpontú dokumentációs erőfeszítéseket, valamint alakítsák ki a más konfliktusövezetekre vonatkozó globális együttműködési kereteket az áldozatok azonosításának, védelmének és az igazságszolgáltatáshoz való hozzáférésének biztosítása érdekében;</w:t>
      </w:r>
    </w:p>
    <w:p w14:paraId="30B96B5B" w14:textId="0461FE01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y)</w:t>
      </w:r>
      <w:r w:rsidRPr="00417804">
        <w:tab/>
        <w:t>hangsúlyozza a transznemű nők nőként való teljes körű elismerésének fontosságát, megjegyezve, hogy befogadásuk elengedhetetlen a nemek közötti egyenlőségre és az erőszak elleni küzdelemre irányuló politikák eredményességéhez; szólítson fel a transznemű nők elismerésére és a védelmi és támogatási szolgáltatásokhoz való egyenlő hozzáférésük biztosítására;</w:t>
      </w:r>
    </w:p>
    <w:p w14:paraId="545848AD" w14:textId="3E5A29CE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z)</w:t>
      </w:r>
      <w:r w:rsidRPr="00417804">
        <w:tab/>
        <w:t>szólítsa fel azokat az országokat, amelyek még nem ratifikálták az isztambuli egyezményt, hogy ezt tegyék meg, és mozdítsák elő annak a nőkkel szembeni erőszak és a kapcsolati erőszak elleni küzdelemre vonatkozó átfogó normáinak globális elfogadását;</w:t>
      </w:r>
    </w:p>
    <w:p w14:paraId="59E90966" w14:textId="15C93961" w:rsidR="00057799" w:rsidRPr="00417804" w:rsidRDefault="00057799" w:rsidP="00417804">
      <w:pPr>
        <w:pStyle w:val="NormalHanging12a"/>
        <w:widowControl/>
        <w:ind w:left="1134"/>
        <w:rPr>
          <w:rFonts w:eastAsiaTheme="minorHAnsi"/>
          <w:bCs/>
          <w:iCs/>
          <w:szCs w:val="24"/>
        </w:rPr>
      </w:pPr>
      <w:r w:rsidRPr="00CB1B36">
        <w:t>aa)</w:t>
      </w:r>
      <w:r w:rsidRPr="00CB1B36">
        <w:tab/>
        <w:t>szólítsa fel a kormányokat és a nemzetközi szerveket, hogy foglalkozzanak azokkal a</w:t>
      </w:r>
      <w:r w:rsidR="00CB1B36" w:rsidRPr="00CB1B36">
        <w:t>z</w:t>
      </w:r>
      <w:r w:rsidRPr="00CB1B36">
        <w:t xml:space="preserve"> </w:t>
      </w:r>
      <w:r w:rsidR="00CB1B36" w:rsidRPr="00CB1B36">
        <w:t xml:space="preserve">erőszakkal szembeni </w:t>
      </w:r>
      <w:r w:rsidRPr="00CB1B36">
        <w:t>konkrét kockázatokkal, amelyekkel nők és lányok szembesülnek a befogadóállomásokon, valamint az életkor-meghatározási eljárások javításá</w:t>
      </w:r>
      <w:r w:rsidR="00CB1B36" w:rsidRPr="00CB1B36">
        <w:t>val</w:t>
      </w:r>
      <w:r w:rsidRPr="00CB1B36">
        <w:t xml:space="preserve">; </w:t>
      </w:r>
    </w:p>
    <w:p w14:paraId="5C1A6977" w14:textId="13174B25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ab)</w:t>
      </w:r>
      <w:r w:rsidRPr="00417804">
        <w:tab/>
        <w:t>támogassa a lányok inkluzív, méltányos és minőségi oktatáshoz való jogát, amely a társadalmi szerepvállalás növelésének és a nemek közötti egyenlőség megvalósításának kulcsfontosságú mozgatórugója, mert felvértezi őket az egész életük során elengedhetetlen ismeretekkel, készségekkel, lehetőségekkel és kapacitásokkal, lehetővé téve számukra jogaik érvényesítését, az igazságszolgáltatáshoz való hozzáférést, a közéletben való teljes körű részvételt és a nemi alapú erőszak elleni küzdelmet; mutasson rá annak fontosságára, hogy inkluzív, méltányos és minőségi oktatás, képzés és egész életen át tartó tanulás révén mozdítsák elő a nők társadalmi szerepvállalását, ami alapvető fontosságú a nemi sztereotípiák, attitűdök és előítéletek valamennyi dimenziója elleni küzdelem, valamint a tartós egyenlőtlenségek elleni küzdelem szempontjából; emlékeztessen a nemi alapú erőszak megelőzésének fontosságára megfelelő kampányok és egyéb intézkedések révén, többek között a digitális médiaműveltség növelése, valamint az életkornak megfelelő, átfogó kapcsolatokra és szexualitásra vonatkozó releváns, célzott oktatás révén, a testi épséggel kapcsolatos ismeretek növelése érdekében; hangsúlyozza, hogy jobban meg kell érteni a jogellenes és a genderellenes mozgalmakat, beleértve a nemi alapú egyenlőséggel kapcsolatos dezinformációt, az incel jelenséget és a nőgyűlöletet, és különösen azoknak a manoszféraként ismert online formáját; támogasson aktívabb politikákat e jelenségek és narratívájuk ellen folytatott küzdelem terén;</w:t>
      </w:r>
    </w:p>
    <w:p w14:paraId="7C4CEB25" w14:textId="7FAA7DC4" w:rsidR="00057799" w:rsidRPr="00417804" w:rsidRDefault="00057799" w:rsidP="00417804">
      <w:pPr>
        <w:pStyle w:val="NormalHanging12a"/>
        <w:widowControl/>
        <w:ind w:left="1134"/>
      </w:pPr>
      <w:r w:rsidRPr="00417804">
        <w:t>ac)</w:t>
      </w:r>
      <w:r w:rsidRPr="00417804">
        <w:tab/>
        <w:t xml:space="preserve">hangsúlyozza, hogy a háború és a konfliktus aránytalan és pusztító hatást gyakorol a nőkre, és világszerte álljon ki a béke és az inkluzív tárgyalások mellett, amelyek a konfliktusok és a nők és lányok által ezekben a helyzetekben tapasztalt erőszak </w:t>
      </w:r>
      <w:r w:rsidRPr="00417804">
        <w:lastRenderedPageBreak/>
        <w:t>felszámolásának alapvető útvonalai; ismerje el az ENSZ békefenntartó misszióiban részt vevő nők által a konfliktusövezetekben végzett figyelemre méltó munkát; hangsúlyozza, hogy a nők jogai és a nemek közötti egyenlőség elengedhetetlenek a jogállamisághoz és a reziliens és inkluzív demokráciákhoz; hangsúlyozza, hogy sajnálatos, hogy nők és lányok milliói szembesülnek továbbra is megkülönböztetéssel, erőszakkal, valamint méltóságuk és a felelősségvállalás megtagadásával, különösen a konfliktusok és a lakóhelyelhagyás összefüggésében;</w:t>
      </w:r>
    </w:p>
    <w:p w14:paraId="2DE5E061" w14:textId="4CF9A8C9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ad)</w:t>
      </w:r>
      <w:r w:rsidRPr="00417804">
        <w:tab/>
        <w:t xml:space="preserve">kötelezze el az EU-t </w:t>
      </w:r>
      <w:r w:rsidR="00B85B2C" w:rsidRPr="00417804">
        <w:t xml:space="preserve">olyan </w:t>
      </w:r>
      <w:r w:rsidRPr="00417804">
        <w:t>kül-, fejlesztési és biztonságpolitika mellett, amely inkluzív és interszekcionális, és elsőbbséget biztosít a nők és az LMBTIQ+ emberijog-védők szükségleteinek;</w:t>
      </w:r>
    </w:p>
    <w:p w14:paraId="66DDBF7B" w14:textId="20CCF9D1" w:rsidR="00057799" w:rsidRPr="00417804" w:rsidRDefault="00057799" w:rsidP="00417804">
      <w:pPr>
        <w:pStyle w:val="NormalHanging12a"/>
        <w:widowControl/>
        <w:ind w:left="1134"/>
        <w:rPr>
          <w:bCs/>
          <w:iCs/>
        </w:rPr>
      </w:pPr>
      <w:r w:rsidRPr="00417804">
        <w:t>ae)</w:t>
      </w:r>
      <w:r w:rsidRPr="00417804">
        <w:tab/>
        <w:t>hangsúlyozza, hogy a nőgyilkosság, amelyet a nők és lányok nemi alapú meggyilkolásaként határoznak meg, a nemi alapú erőszak egyik legszélsőségesebb formája, és az egyetemes alapvető jogok súlyos megsértését jelenti; határozottan ítélje el az e bűncselekményre vonatkozó adatgyűjtés és jelentéstétel tartós következetlenségeit és harmonizált fogalommeghatározásának hiányát, ami súlyosan akadályozza a hatékony megelőzést és a tényeken alapuló szakpolitikai döntéshozatalt; szólítson fel e bűncselekmény globális elismerésére és a nőgyilkosságok felszámolására irányuló globális erőfeszítésekre;</w:t>
      </w:r>
    </w:p>
    <w:p w14:paraId="6407AE25" w14:textId="148A3DA9" w:rsidR="001C6983" w:rsidRPr="001C6983" w:rsidRDefault="00057799" w:rsidP="00FE04A4">
      <w:pPr>
        <w:pStyle w:val="NormalHanging12a"/>
        <w:widowControl/>
      </w:pPr>
      <w:r w:rsidRPr="00417804">
        <w:t>2.</w:t>
      </w:r>
      <w:r w:rsidRPr="00417804">
        <w:tab/>
        <w:t>utasítja elnökét, hogy továbbítsa ezt az állásfoglalást a Tanácsnak, a Bizottságnak, a Bizottság alelnökének/az Unió külügyi és biztonságpolitikai főképviselőjének, valamint tájékoztatásul az EU emberi jogi különleges képviselőjének.</w:t>
      </w:r>
    </w:p>
    <w:p w14:paraId="66265452" w14:textId="67C42647" w:rsidR="00E365E1" w:rsidRPr="001C6983" w:rsidRDefault="00E365E1" w:rsidP="00FE04A4">
      <w:pPr>
        <w:widowControl/>
        <w:spacing w:after="240"/>
        <w:ind w:left="567" w:hanging="567"/>
      </w:pPr>
    </w:p>
    <w:sectPr w:rsidR="00E365E1" w:rsidRPr="001C6983" w:rsidSect="001C69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46EC0" w14:textId="77777777" w:rsidR="006E12C0" w:rsidRPr="001C6983" w:rsidRDefault="006E12C0">
      <w:r w:rsidRPr="001C6983">
        <w:separator/>
      </w:r>
    </w:p>
  </w:endnote>
  <w:endnote w:type="continuationSeparator" w:id="0">
    <w:p w14:paraId="286C99AE" w14:textId="77777777" w:rsidR="006E12C0" w:rsidRPr="001C6983" w:rsidRDefault="006E12C0">
      <w:r w:rsidRPr="001C69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C7A2" w14:textId="77777777" w:rsidR="00064002" w:rsidRPr="001C69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F3AF0" w14:textId="77777777" w:rsidR="00064002" w:rsidRPr="001C69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B5748" w14:textId="77777777" w:rsidR="00064002" w:rsidRPr="001C69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9890B" w14:textId="77777777" w:rsidR="006E12C0" w:rsidRPr="001C6983" w:rsidRDefault="006E12C0">
      <w:r w:rsidRPr="001C6983">
        <w:separator/>
      </w:r>
    </w:p>
  </w:footnote>
  <w:footnote w:type="continuationSeparator" w:id="0">
    <w:p w14:paraId="125AE638" w14:textId="77777777" w:rsidR="006E12C0" w:rsidRPr="001C6983" w:rsidRDefault="006E12C0">
      <w:r w:rsidRPr="001C6983">
        <w:continuationSeparator/>
      </w:r>
    </w:p>
  </w:footnote>
  <w:footnote w:id="1">
    <w:p w14:paraId="3416A142" w14:textId="27EBBBA6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r w:rsidRPr="001C6983">
        <w:rPr>
          <w:sz w:val="24"/>
          <w:lang w:val="hu-HU"/>
        </w:rPr>
        <w:t>HL C, C/2025/1279, 2025.3.13., ELI: </w:t>
      </w:r>
      <w:hyperlink r:id="rId1" w:tgtFrame="_blank" w:tooltip="Hozzáférést biztosít ehhez a dokumentumhoz annak ELI URI-jén keresztül." w:history="1">
        <w:r w:rsidRPr="001C6983">
          <w:rPr>
            <w:rStyle w:val="Hyperlink"/>
            <w:sz w:val="24"/>
            <w:lang w:val="hu-HU"/>
          </w:rPr>
          <w:t>http://data.europa.eu/eli/C/2025/1279/oj</w:t>
        </w:r>
      </w:hyperlink>
      <w:r w:rsidRPr="001C6983">
        <w:rPr>
          <w:sz w:val="24"/>
          <w:lang w:val="hu-HU"/>
        </w:rPr>
        <w:t>.</w:t>
      </w:r>
    </w:p>
  </w:footnote>
  <w:footnote w:id="2">
    <w:p w14:paraId="63353C50" w14:textId="7745A516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r w:rsidRPr="001C6983">
        <w:rPr>
          <w:sz w:val="24"/>
          <w:lang w:val="hu-HU"/>
        </w:rPr>
        <w:t>Elfogadott szövegek, P10_TA(2025)0278.</w:t>
      </w:r>
    </w:p>
  </w:footnote>
  <w:footnote w:id="3">
    <w:p w14:paraId="0C57B304" w14:textId="03AB3CD0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r w:rsidRPr="001C6983">
        <w:rPr>
          <w:sz w:val="24"/>
          <w:lang w:val="hu-HU"/>
        </w:rPr>
        <w:t xml:space="preserve">HL L 315., 2012.11.14., 57. o., ELI: </w:t>
      </w:r>
      <w:hyperlink r:id="rId2" w:history="1">
        <w:r w:rsidRPr="001C6983">
          <w:rPr>
            <w:rStyle w:val="Hyperlink"/>
            <w:sz w:val="24"/>
            <w:lang w:val="hu-HU"/>
          </w:rPr>
          <w:t>http://data.europa.eu/eli/dir/2012/29/oj</w:t>
        </w:r>
      </w:hyperlink>
      <w:r w:rsidRPr="001C6983">
        <w:rPr>
          <w:sz w:val="24"/>
          <w:lang w:val="hu-HU"/>
        </w:rPr>
        <w:t>.</w:t>
      </w:r>
    </w:p>
  </w:footnote>
  <w:footnote w:id="4">
    <w:p w14:paraId="1B7B4DCA" w14:textId="0E748932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r w:rsidRPr="001C6983">
        <w:rPr>
          <w:sz w:val="24"/>
          <w:lang w:val="hu-HU"/>
        </w:rPr>
        <w:t>HL L, 2024/1385, 2024.5.24., ELI: </w:t>
      </w:r>
      <w:hyperlink r:id="rId3" w:tgtFrame="_blank" w:tooltip="Hozzáférést biztosít ehhez a dokumentumhoz annak ELI URI-jén keresztül." w:history="1">
        <w:r w:rsidRPr="001C6983">
          <w:rPr>
            <w:rStyle w:val="Hyperlink"/>
            <w:sz w:val="24"/>
            <w:lang w:val="hu-HU"/>
          </w:rPr>
          <w:t>http://data.europa.eu/eli/dir/2024/1385/oj</w:t>
        </w:r>
      </w:hyperlink>
      <w:r w:rsidRPr="001C6983">
        <w:rPr>
          <w:sz w:val="24"/>
          <w:lang w:val="hu-HU"/>
        </w:rPr>
        <w:t>.</w:t>
      </w:r>
    </w:p>
  </w:footnote>
  <w:footnote w:id="5">
    <w:p w14:paraId="6463EDBC" w14:textId="4919BDF2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hyperlink r:id="rId4" w:history="1">
        <w:r w:rsidRPr="00FE04A4">
          <w:rPr>
            <w:rStyle w:val="Hyperlink"/>
            <w:sz w:val="24"/>
            <w:lang w:val="hu-HU"/>
          </w:rPr>
          <w:t>https://documents.un.org/doc/undoc/gen/g24/073/47/pdf/g2407347.pdf</w:t>
        </w:r>
      </w:hyperlink>
      <w:r w:rsidRPr="001C6983">
        <w:rPr>
          <w:sz w:val="24"/>
          <w:lang w:val="hu-HU"/>
        </w:rPr>
        <w:t>.</w:t>
      </w:r>
    </w:p>
  </w:footnote>
  <w:footnote w:id="6">
    <w:p w14:paraId="68A43DB4" w14:textId="1602051F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r w:rsidRPr="001C6983">
        <w:rPr>
          <w:sz w:val="24"/>
          <w:lang w:val="hu-HU"/>
        </w:rPr>
        <w:t>UN Women, „Handbook for National Action Plans on Violence against Women” (Kézikönyv a nők elleni erőszakra vonatkozó nemzeti cselekvési tervekhez), 2012.</w:t>
      </w:r>
    </w:p>
  </w:footnote>
  <w:footnote w:id="7">
    <w:p w14:paraId="7FE01E9E" w14:textId="030C7200" w:rsidR="00057799" w:rsidRPr="001C6983" w:rsidRDefault="00057799" w:rsidP="001C6983">
      <w:pPr>
        <w:pStyle w:val="FootnoteText"/>
        <w:ind w:left="567" w:hanging="567"/>
        <w:rPr>
          <w:sz w:val="24"/>
          <w:lang w:val="hu-HU"/>
        </w:rPr>
      </w:pPr>
      <w:r w:rsidRPr="001C6983">
        <w:rPr>
          <w:rStyle w:val="FootnoteReference"/>
          <w:sz w:val="24"/>
          <w:lang w:val="hu-HU"/>
        </w:rPr>
        <w:footnoteRef/>
      </w:r>
      <w:r w:rsidR="001C6983" w:rsidRPr="001C6983">
        <w:rPr>
          <w:sz w:val="24"/>
          <w:lang w:val="hu-HU"/>
        </w:rPr>
        <w:t xml:space="preserve"> </w:t>
      </w:r>
      <w:r w:rsidR="001C6983" w:rsidRPr="001C6983">
        <w:rPr>
          <w:sz w:val="24"/>
          <w:lang w:val="hu-HU"/>
        </w:rPr>
        <w:tab/>
      </w:r>
      <w:r w:rsidRPr="001C6983">
        <w:rPr>
          <w:sz w:val="24"/>
          <w:lang w:val="hu-HU"/>
        </w:rPr>
        <w:t>Tanulmány – ‘Women’s role in peace processes’ (A nők szerepe a békefolyamatokban), Európai Parlament, Uniós Belső Politikák Főigazgatósága, Állampolgári Jogi és Alkotmányügyi Tematikus Főosztály, 2019. május.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B3BC" w14:textId="77777777" w:rsidR="00064002" w:rsidRPr="001C69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13C65" w14:textId="77777777" w:rsidR="00064002" w:rsidRPr="001C69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5143" w14:textId="77777777" w:rsidR="00064002" w:rsidRPr="001C69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01862313">
    <w:abstractNumId w:val="9"/>
  </w:num>
  <w:num w:numId="2" w16cid:durableId="2125297720">
    <w:abstractNumId w:val="9"/>
  </w:num>
  <w:num w:numId="3" w16cid:durableId="1589463812">
    <w:abstractNumId w:val="7"/>
  </w:num>
  <w:num w:numId="4" w16cid:durableId="1190683383">
    <w:abstractNumId w:val="7"/>
  </w:num>
  <w:num w:numId="5" w16cid:durableId="89548399">
    <w:abstractNumId w:val="6"/>
  </w:num>
  <w:num w:numId="6" w16cid:durableId="57478998">
    <w:abstractNumId w:val="6"/>
  </w:num>
  <w:num w:numId="7" w16cid:durableId="1262756282">
    <w:abstractNumId w:val="5"/>
  </w:num>
  <w:num w:numId="8" w16cid:durableId="162358183">
    <w:abstractNumId w:val="5"/>
  </w:num>
  <w:num w:numId="9" w16cid:durableId="180903299">
    <w:abstractNumId w:val="4"/>
  </w:num>
  <w:num w:numId="10" w16cid:durableId="654794989">
    <w:abstractNumId w:val="4"/>
  </w:num>
  <w:num w:numId="11" w16cid:durableId="1541940449">
    <w:abstractNumId w:val="8"/>
  </w:num>
  <w:num w:numId="12" w16cid:durableId="878861207">
    <w:abstractNumId w:val="8"/>
  </w:num>
  <w:num w:numId="13" w16cid:durableId="13119062">
    <w:abstractNumId w:val="3"/>
  </w:num>
  <w:num w:numId="14" w16cid:durableId="320350926">
    <w:abstractNumId w:val="3"/>
  </w:num>
  <w:num w:numId="15" w16cid:durableId="130832232">
    <w:abstractNumId w:val="2"/>
  </w:num>
  <w:num w:numId="16" w16cid:durableId="1020818390">
    <w:abstractNumId w:val="2"/>
  </w:num>
  <w:num w:numId="17" w16cid:durableId="494685608">
    <w:abstractNumId w:val="1"/>
  </w:num>
  <w:num w:numId="18" w16cid:durableId="614825779">
    <w:abstractNumId w:val="1"/>
  </w:num>
  <w:num w:numId="19" w16cid:durableId="1370254589">
    <w:abstractNumId w:val="0"/>
  </w:num>
  <w:num w:numId="20" w16cid:durableId="1415084824">
    <w:abstractNumId w:val="0"/>
  </w:num>
  <w:num w:numId="21" w16cid:durableId="241381307">
    <w:abstractNumId w:val="9"/>
  </w:num>
  <w:num w:numId="22" w16cid:durableId="1433209951">
    <w:abstractNumId w:val="7"/>
  </w:num>
  <w:num w:numId="23" w16cid:durableId="1981571221">
    <w:abstractNumId w:val="6"/>
  </w:num>
  <w:num w:numId="24" w16cid:durableId="1685016941">
    <w:abstractNumId w:val="5"/>
  </w:num>
  <w:num w:numId="25" w16cid:durableId="279653224">
    <w:abstractNumId w:val="4"/>
  </w:num>
  <w:num w:numId="26" w16cid:durableId="1946494881">
    <w:abstractNumId w:val="8"/>
  </w:num>
  <w:num w:numId="27" w16cid:durableId="785318689">
    <w:abstractNumId w:val="3"/>
  </w:num>
  <w:num w:numId="28" w16cid:durableId="535506682">
    <w:abstractNumId w:val="2"/>
  </w:num>
  <w:num w:numId="29" w16cid:durableId="2063167900">
    <w:abstractNumId w:val="1"/>
  </w:num>
  <w:num w:numId="30" w16cid:durableId="321812889">
    <w:abstractNumId w:val="0"/>
  </w:num>
  <w:num w:numId="31" w16cid:durableId="1935819866">
    <w:abstractNumId w:val="9"/>
  </w:num>
  <w:num w:numId="32" w16cid:durableId="606229900">
    <w:abstractNumId w:val="7"/>
  </w:num>
  <w:num w:numId="33" w16cid:durableId="1885210266">
    <w:abstractNumId w:val="6"/>
  </w:num>
  <w:num w:numId="34" w16cid:durableId="1922904566">
    <w:abstractNumId w:val="5"/>
  </w:num>
  <w:num w:numId="35" w16cid:durableId="935215517">
    <w:abstractNumId w:val="4"/>
  </w:num>
  <w:num w:numId="36" w16cid:durableId="626393151">
    <w:abstractNumId w:val="8"/>
  </w:num>
  <w:num w:numId="37" w16cid:durableId="2112120107">
    <w:abstractNumId w:val="3"/>
  </w:num>
  <w:num w:numId="38" w16cid:durableId="632910614">
    <w:abstractNumId w:val="2"/>
  </w:num>
  <w:num w:numId="39" w16cid:durableId="74324114">
    <w:abstractNumId w:val="1"/>
  </w:num>
  <w:num w:numId="40" w16cid:durableId="1020858715">
    <w:abstractNumId w:val="0"/>
  </w:num>
  <w:num w:numId="41" w16cid:durableId="1565607901">
    <w:abstractNumId w:val="10"/>
  </w:num>
  <w:num w:numId="42" w16cid:durableId="442120057">
    <w:abstractNumId w:val="10"/>
  </w:num>
  <w:num w:numId="43" w16cid:durableId="1149437789">
    <w:abstractNumId w:val="10"/>
  </w:num>
  <w:num w:numId="44" w16cid:durableId="19219116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0/2026"/>
    <w:docVar w:name="dvlangue" w:val="HU"/>
    <w:docVar w:name="dvnumam" w:val="0"/>
    <w:docVar w:name="dvpe" w:val="776.895"/>
    <w:docVar w:name="dvrapporteur" w:val="Előadó: "/>
    <w:docVar w:name="dvtitre" w:val="Az Európai Parlament ajánlása a Tanácshoz az ENSZ nők helyzetével foglalkozó bizottsága 70. ülésszakára vonatkozó uniós prioritásokról szóló, a Tanácshoz intézett európai parlamenti ajánlásról(2025/2240(INI))"/>
  </w:docVars>
  <w:rsids>
    <w:rsidRoot w:val="006E12C0"/>
    <w:rsid w:val="00002272"/>
    <w:rsid w:val="00057799"/>
    <w:rsid w:val="00064002"/>
    <w:rsid w:val="000677B9"/>
    <w:rsid w:val="000831BA"/>
    <w:rsid w:val="000A42CC"/>
    <w:rsid w:val="000E7DD9"/>
    <w:rsid w:val="0010095E"/>
    <w:rsid w:val="00125B37"/>
    <w:rsid w:val="00187494"/>
    <w:rsid w:val="001C6983"/>
    <w:rsid w:val="001E6D81"/>
    <w:rsid w:val="001F32AE"/>
    <w:rsid w:val="002201A7"/>
    <w:rsid w:val="002767FF"/>
    <w:rsid w:val="002B18FE"/>
    <w:rsid w:val="002B44E3"/>
    <w:rsid w:val="002B5493"/>
    <w:rsid w:val="00343214"/>
    <w:rsid w:val="00361C00"/>
    <w:rsid w:val="00395FA1"/>
    <w:rsid w:val="003E15D4"/>
    <w:rsid w:val="00411CCE"/>
    <w:rsid w:val="0041666E"/>
    <w:rsid w:val="00417804"/>
    <w:rsid w:val="00421060"/>
    <w:rsid w:val="00460B3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6E9"/>
    <w:rsid w:val="006037C0"/>
    <w:rsid w:val="006631B6"/>
    <w:rsid w:val="00680577"/>
    <w:rsid w:val="006E12C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EDC"/>
    <w:rsid w:val="00817416"/>
    <w:rsid w:val="00842779"/>
    <w:rsid w:val="008631E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57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B2C"/>
    <w:rsid w:val="00BA116A"/>
    <w:rsid w:val="00BD48FE"/>
    <w:rsid w:val="00BD7BD8"/>
    <w:rsid w:val="00BE6ADC"/>
    <w:rsid w:val="00C05BFE"/>
    <w:rsid w:val="00C23CD4"/>
    <w:rsid w:val="00C3273F"/>
    <w:rsid w:val="00C61C0C"/>
    <w:rsid w:val="00C941CB"/>
    <w:rsid w:val="00CB1B36"/>
    <w:rsid w:val="00CC2357"/>
    <w:rsid w:val="00CF071A"/>
    <w:rsid w:val="00D058B8"/>
    <w:rsid w:val="00D56C11"/>
    <w:rsid w:val="00D834A0"/>
    <w:rsid w:val="00D872DF"/>
    <w:rsid w:val="00D91E21"/>
    <w:rsid w:val="00DA7FCD"/>
    <w:rsid w:val="00E05E46"/>
    <w:rsid w:val="00E365E1"/>
    <w:rsid w:val="00E5033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A4A69"/>
  <w15:chartTrackingRefBased/>
  <w15:docId w15:val="{131DA7E8-8AC9-4E31-8D22-4EC3AB7D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57799"/>
    <w:pPr>
      <w:spacing w:before="480" w:after="240"/>
    </w:pPr>
  </w:style>
  <w:style w:type="paragraph" w:customStyle="1" w:styleId="NormalBold">
    <w:name w:val="NormalBold"/>
    <w:basedOn w:val="Normal"/>
    <w:rsid w:val="00057799"/>
    <w:rPr>
      <w:b/>
    </w:rPr>
  </w:style>
  <w:style w:type="paragraph" w:customStyle="1" w:styleId="NormalHanging12a">
    <w:name w:val="NormalHanging12a"/>
    <w:basedOn w:val="Normal"/>
    <w:link w:val="NormalHanging12aChar"/>
    <w:rsid w:val="00057799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057799"/>
    <w:rPr>
      <w:sz w:val="24"/>
      <w:lang w:val="hu-HU"/>
    </w:rPr>
  </w:style>
  <w:style w:type="character" w:styleId="Hyperlink">
    <w:name w:val="Hyperlink"/>
    <w:basedOn w:val="DefaultParagraphFont"/>
    <w:rsid w:val="0005779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E04A4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FE04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385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C/2025/1279/oj" TargetMode="External"/><Relationship Id="rId4" Type="http://schemas.openxmlformats.org/officeDocument/2006/relationships/hyperlink" Target="https://documents.un.org/doc/undoc/gen/g24/073/47/pdf/g240734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5365</Words>
  <Characters>38942</Characters>
  <Application>Microsoft Office Word</Application>
  <DocSecurity>0</DocSecurity>
  <Lines>638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KOVACS-BOKOR Karoly</cp:lastModifiedBy>
  <cp:revision>2</cp:revision>
  <cp:lastPrinted>2004-11-19T15:42:00Z</cp:lastPrinted>
  <dcterms:created xsi:type="dcterms:W3CDTF">2026-03-13T11:21:00Z</dcterms:created>
  <dcterms:modified xsi:type="dcterms:W3CDTF">2026-03-13T11:21:00Z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A10-0010/2026</vt:lpwstr>
  </property>
  <property fmtid="{D5CDD505-2E9C-101B-9397-08002B2CF9AE}" pid="4" name="&lt;Type&gt;">
    <vt:lpwstr>RR</vt:lpwstr>
  </property>
</Properties>
</file>