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5E8B" w14:paraId="7B0101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D1838C" w14:textId="77777777" w:rsidR="00751A4A" w:rsidRPr="00A55E8B" w:rsidRDefault="005F775A" w:rsidP="0010095E">
            <w:pPr>
              <w:pStyle w:val="EPName"/>
            </w:pPr>
            <w:r w:rsidRPr="00A55E8B">
              <w:t>Parlament Europejski</w:t>
            </w:r>
          </w:p>
          <w:p w14:paraId="10B084A7" w14:textId="77777777" w:rsidR="00751A4A" w:rsidRPr="00A55E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5E8B">
              <w:t>2024</w:t>
            </w:r>
            <w:r w:rsidR="00817416" w:rsidRPr="00A55E8B">
              <w:t>-202</w:t>
            </w:r>
            <w:r w:rsidRPr="00A55E8B">
              <w:t>9</w:t>
            </w:r>
          </w:p>
        </w:tc>
        <w:tc>
          <w:tcPr>
            <w:tcW w:w="2268" w:type="dxa"/>
            <w:shd w:val="clear" w:color="auto" w:fill="auto"/>
          </w:tcPr>
          <w:p w14:paraId="5EDDB8A2" w14:textId="77777777" w:rsidR="00751A4A" w:rsidRPr="00A55E8B" w:rsidRDefault="00187494" w:rsidP="0010095E">
            <w:pPr>
              <w:pStyle w:val="EPLogo"/>
            </w:pPr>
            <w:r w:rsidRPr="00A55E8B">
              <w:rPr>
                <w:noProof/>
                <w:lang w:eastAsia="ja-JP"/>
              </w:rPr>
              <w:drawing>
                <wp:inline distT="0" distB="0" distL="0" distR="0" wp14:anchorId="0B6A9C19" wp14:editId="13F328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90819D" w14:textId="77777777" w:rsidR="00D058B8" w:rsidRPr="00A55E8B" w:rsidRDefault="00D058B8" w:rsidP="004C5D52">
      <w:pPr>
        <w:pStyle w:val="LineTop"/>
      </w:pPr>
    </w:p>
    <w:p w14:paraId="72C966C8" w14:textId="77777777" w:rsidR="00680577" w:rsidRPr="00A55E8B" w:rsidRDefault="005F775A" w:rsidP="00680577">
      <w:pPr>
        <w:pStyle w:val="EPBodyTA1"/>
      </w:pPr>
      <w:r w:rsidRPr="00A55E8B">
        <w:t>TEKSTY PRZYJĘTE</w:t>
      </w:r>
    </w:p>
    <w:p w14:paraId="33790583" w14:textId="77777777" w:rsidR="00D058B8" w:rsidRPr="00A55E8B" w:rsidRDefault="00D058B8" w:rsidP="00D058B8">
      <w:pPr>
        <w:pStyle w:val="LineBottom"/>
      </w:pPr>
    </w:p>
    <w:p w14:paraId="44D539FF" w14:textId="604253D2" w:rsidR="005F775A" w:rsidRPr="00A55E8B" w:rsidRDefault="005F775A" w:rsidP="005F775A">
      <w:pPr>
        <w:pStyle w:val="ATHeading1"/>
      </w:pPr>
      <w:bookmarkStart w:id="0" w:name="TANumber"/>
      <w:r w:rsidRPr="00A55E8B">
        <w:t>P10_TA(2026)00</w:t>
      </w:r>
      <w:bookmarkEnd w:id="0"/>
      <w:r w:rsidR="00DE06D4">
        <w:t>51</w:t>
      </w:r>
    </w:p>
    <w:p w14:paraId="431EC972" w14:textId="77777777" w:rsidR="005F775A" w:rsidRPr="00A55E8B" w:rsidRDefault="005F775A" w:rsidP="005F775A">
      <w:pPr>
        <w:pStyle w:val="ATHeading2"/>
      </w:pPr>
      <w:bookmarkStart w:id="1" w:name="title"/>
      <w:r w:rsidRPr="00A55E8B">
        <w:t>Zalecenie dla Rady w sprawie priorytetów UE na 70. sesję Komisji ONZ ds. Statusu</w:t>
      </w:r>
    </w:p>
    <w:p w14:paraId="0F230424" w14:textId="77777777" w:rsidR="005F775A" w:rsidRPr="00A55E8B" w:rsidRDefault="005F775A" w:rsidP="005F775A">
      <w:pPr>
        <w:pStyle w:val="ATHeading2"/>
      </w:pPr>
      <w:r w:rsidRPr="00A55E8B">
        <w:t>Kobiet</w:t>
      </w:r>
      <w:bookmarkEnd w:id="1"/>
    </w:p>
    <w:p w14:paraId="4D6297DE" w14:textId="77777777" w:rsidR="005F775A" w:rsidRPr="00A55E8B" w:rsidRDefault="005F775A" w:rsidP="005F775A">
      <w:pPr>
        <w:rPr>
          <w:i/>
          <w:vanish/>
        </w:rPr>
      </w:pPr>
      <w:r w:rsidRPr="00A55E8B">
        <w:rPr>
          <w:i/>
        </w:rPr>
        <w:fldChar w:fldCharType="begin"/>
      </w:r>
      <w:r w:rsidRPr="00A55E8B">
        <w:rPr>
          <w:i/>
        </w:rPr>
        <w:instrText xml:space="preserve"> TC"(</w:instrText>
      </w:r>
      <w:bookmarkStart w:id="2" w:name="DocNumber"/>
      <w:r w:rsidRPr="00A55E8B">
        <w:rPr>
          <w:i/>
        </w:rPr>
        <w:instrText>A10-0010/2026</w:instrText>
      </w:r>
      <w:bookmarkEnd w:id="2"/>
      <w:r w:rsidRPr="00A55E8B">
        <w:rPr>
          <w:i/>
        </w:rPr>
        <w:instrText xml:space="preserve"> - Sprawozdawca: Lina </w:instrText>
      </w:r>
      <w:proofErr w:type="spellStart"/>
      <w:r w:rsidRPr="00A55E8B">
        <w:rPr>
          <w:i/>
        </w:rPr>
        <w:instrText>Gálvez</w:instrText>
      </w:r>
      <w:proofErr w:type="spellEnd"/>
      <w:r w:rsidRPr="00A55E8B">
        <w:rPr>
          <w:i/>
        </w:rPr>
        <w:instrText xml:space="preserve">)"\l3 \n&gt; \* MERGEFORMAT </w:instrText>
      </w:r>
      <w:r w:rsidRPr="00A55E8B">
        <w:rPr>
          <w:i/>
        </w:rPr>
        <w:fldChar w:fldCharType="end"/>
      </w:r>
    </w:p>
    <w:p w14:paraId="5A6901BA" w14:textId="77777777" w:rsidR="005F775A" w:rsidRPr="00A55E8B" w:rsidRDefault="005F775A" w:rsidP="005F775A">
      <w:pPr>
        <w:rPr>
          <w:vanish/>
        </w:rPr>
      </w:pPr>
      <w:bookmarkStart w:id="3" w:name="Commission"/>
      <w:r w:rsidRPr="00A55E8B">
        <w:rPr>
          <w:vanish/>
        </w:rPr>
        <w:t>Komisja Praw Kobiet i Równouprawnienia</w:t>
      </w:r>
      <w:bookmarkEnd w:id="3"/>
    </w:p>
    <w:p w14:paraId="097433DC" w14:textId="77777777" w:rsidR="005F775A" w:rsidRPr="00A55E8B" w:rsidRDefault="005F775A" w:rsidP="005F775A">
      <w:pPr>
        <w:rPr>
          <w:vanish/>
        </w:rPr>
      </w:pPr>
      <w:bookmarkStart w:id="4" w:name="PE"/>
      <w:r w:rsidRPr="00A55E8B">
        <w:rPr>
          <w:vanish/>
        </w:rPr>
        <w:t>PE776.895</w:t>
      </w:r>
      <w:bookmarkEnd w:id="4"/>
    </w:p>
    <w:p w14:paraId="49F638FE" w14:textId="121F78A3" w:rsidR="005F775A" w:rsidRPr="00A55E8B" w:rsidRDefault="00BA6EDA" w:rsidP="005F775A">
      <w:pPr>
        <w:pStyle w:val="ATHeading3"/>
      </w:pPr>
      <w:bookmarkStart w:id="5" w:name="Sujet"/>
      <w:r>
        <w:t>Zalecenie</w:t>
      </w:r>
      <w:r w:rsidR="005F775A" w:rsidRPr="00A55E8B">
        <w:t xml:space="preserve"> Parlamentu Europejskiego </w:t>
      </w:r>
      <w:r>
        <w:t xml:space="preserve">dla Rady </w:t>
      </w:r>
      <w:r w:rsidR="005F775A" w:rsidRPr="00A55E8B">
        <w:t xml:space="preserve">z dnia </w:t>
      </w:r>
      <w:r>
        <w:t>12 lutego</w:t>
      </w:r>
      <w:r w:rsidR="005F775A" w:rsidRPr="00A55E8B">
        <w:t xml:space="preserve"> 2026 r. w sprawie priorytetów UE na 70. sesję Komisji ONZ ds. Statusu Kobiet</w:t>
      </w:r>
      <w:bookmarkEnd w:id="5"/>
      <w:r w:rsidR="005F775A" w:rsidRPr="00A55E8B">
        <w:t xml:space="preserve"> </w:t>
      </w:r>
      <w:bookmarkStart w:id="6" w:name="References"/>
      <w:r w:rsidR="005F775A" w:rsidRPr="00A55E8B">
        <w:t>(2025/2240(INI))</w:t>
      </w:r>
      <w:bookmarkEnd w:id="6"/>
    </w:p>
    <w:p w14:paraId="11D4FAFB" w14:textId="77777777" w:rsidR="00611B61" w:rsidRPr="00A55E8B" w:rsidRDefault="00611B61" w:rsidP="00611B61">
      <w:pPr>
        <w:pStyle w:val="EPComma"/>
      </w:pPr>
      <w:r w:rsidRPr="00A55E8B">
        <w:rPr>
          <w:i/>
          <w:iCs/>
        </w:rPr>
        <w:t>Parlament Europejski</w:t>
      </w:r>
      <w:r w:rsidRPr="00A55E8B">
        <w:t>,</w:t>
      </w:r>
    </w:p>
    <w:p w14:paraId="32AD2BCD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 xml:space="preserve">uwzględniając 70. sesję Komisji ONZ ds. Statusu Kobiet zaplanowaną na marzec 2026 r., jej główny temat, tj. „Zapewnienie i wzmocnienie dostępu do wymiaru sprawiedliwości dla wszystkich kobiet i dziewcząt, w tym przez promowanie </w:t>
      </w:r>
      <w:proofErr w:type="spellStart"/>
      <w:r w:rsidRPr="00A55E8B">
        <w:t>inkluzywnych</w:t>
      </w:r>
      <w:proofErr w:type="spellEnd"/>
      <w:r w:rsidRPr="00A55E8B">
        <w:t xml:space="preserve"> i sprawiedliwych systemów prawnych, zniesienie dyskryminujących przepisów, polityk i praktyk oraz usunięcie barier strukturalnych”, oraz jej temat przeglądowy, tj. „Pełne i skuteczne uczestnictwo i decyzyjność kobiet i dziewcząt w życiu publicznym oraz eliminacja przemocy w celu osiągnięcia równości płci i wzmocnienia pozycji wszystkich kobiet i dziewcząt”,</w:t>
      </w:r>
    </w:p>
    <w:p w14:paraId="38762F4A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Konwencję ONZ z 18 grudnia 1979 r. w sprawie likwidacji wszelkich form dyskryminacji kobiet,</w:t>
      </w:r>
    </w:p>
    <w:p w14:paraId="2900FF3A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Konwencję ONZ o prawach osób niepełnosprawnych z 12 grudnia 2006 r., w szczególności jej art. 6 i 13 dotyczące dostępu do wymiaru sprawiedliwości i dyskryminacji z wielu przyczyn jednocześnie, z jaką spotykają się kobiety i dziewczęta z niepełnosprawnościami,</w:t>
      </w:r>
    </w:p>
    <w:p w14:paraId="264C29A4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Agendę ONZ na rzecz zrównoważonego rozwoju 2030, w tym zasadę niepozostawiania nikogo w tyle, a w szczególności cel zrównoważonego rozwoju nr 5, który zakłada osiągnięcie równości płci i zapewnienie kobietom równych praw do zasobów gospodarczych, a także dostępu do własności i kontroli nad gruntami i innymi formami własności, usług finansowych, dziedziczenia i surowców, a także cel zrównoważonego rozwoju nr 10, który zakłada zniesienie dyskryminujących przepisów, polityk i praktyk oraz wspieranie właściwych prawodawstw, polityk i działań,</w:t>
      </w:r>
    </w:p>
    <w:p w14:paraId="52E63CB0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art. 20, 21, 23 i 47 Karty praw podstawowych Unii Europejskiej,</w:t>
      </w:r>
    </w:p>
    <w:p w14:paraId="65B30A0C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lastRenderedPageBreak/>
        <w:t>–</w:t>
      </w:r>
      <w:r w:rsidRPr="00A55E8B">
        <w:tab/>
        <w:t>uwzględniając swoją rezolucję z 11 kwietnia 2024 r. w sprawie zapisania prawa do aborcji w Karcie praw podstawowych UE</w:t>
      </w:r>
      <w:r w:rsidRPr="00A55E8B">
        <w:rPr>
          <w:rStyle w:val="FootnoteReference"/>
          <w:bCs/>
          <w:iCs/>
        </w:rPr>
        <w:footnoteReference w:id="1"/>
      </w:r>
      <w:r w:rsidRPr="00A55E8B">
        <w:t>,</w:t>
      </w:r>
    </w:p>
    <w:p w14:paraId="20954D98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wspólny komunikat Komisji i wysokiego przedstawiciela Unii do spraw zagranicznych i polityki bezpieczeństwa z 25 listopada 2020 r. pt. „Trzeci unijny plan działania w sprawie równości płci (GAP III) – Ambitny program na rzecz równouprawnienia płci i wzmocnienia pozycji kobiet w działaniach zewnętrznych UE” (JOIN(2020)0017), w którym określono unijny plan działania w sprawie równości płci na lata 2021–2025,</w:t>
      </w:r>
    </w:p>
    <w:p w14:paraId="1ACE94E4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komunikat Komisji z 7 marca 2025 r. pt. „Plan działania na rzecz praw kobiet” (COM(2025)0097), w którym potwierdzono zaangażowanie UE na rzecz równości płci,</w:t>
      </w:r>
    </w:p>
    <w:p w14:paraId="0232AC0C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komunikat Komisji z 5 marca 2020 r. pt. „Unia równości: strategia na rzecz równouprawnienia płci na lata 2020–2025” (COM(2020)0152),</w:t>
      </w:r>
    </w:p>
    <w:p w14:paraId="6CFF0B31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swoją rezolucję z 13 listopada 2025 r. w sprawie strategii na rzecz równouprawnienia płci na rok 2025</w:t>
      </w:r>
      <w:r w:rsidRPr="00A55E8B">
        <w:rPr>
          <w:rStyle w:val="FootnoteReference"/>
          <w:bCs/>
          <w:iCs/>
        </w:rPr>
        <w:footnoteReference w:id="2"/>
      </w:r>
      <w:r w:rsidRPr="00A55E8B">
        <w:t>,</w:t>
      </w:r>
    </w:p>
    <w:p w14:paraId="0F5D57E8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dyrektywę Parlamentu Europejskiego i Rady 2012/29/UE z dnia 25 października 2012 r. ustanawiającą normy minimalne w zakresie praw, wsparcia i ochrony ofiar przestępstw oraz zastępującą decyzję ramową Rady 2001/220/</w:t>
      </w:r>
      <w:proofErr w:type="spellStart"/>
      <w:r w:rsidRPr="00A55E8B">
        <w:t>WSiSW</w:t>
      </w:r>
      <w:proofErr w:type="spellEnd"/>
      <w:r w:rsidRPr="00A55E8B">
        <w:rPr>
          <w:bCs/>
          <w:iCs/>
          <w:vertAlign w:val="superscript"/>
        </w:rPr>
        <w:footnoteReference w:id="3"/>
      </w:r>
      <w:r w:rsidRPr="00A55E8B">
        <w:t>, a także trwające obecnie prace nad jej przekształceniem,</w:t>
      </w:r>
    </w:p>
    <w:p w14:paraId="0B02287D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dyrektywę Parlamentu Europejskiego i Rady (UE) 2024/1385 z dnia 14 maja 2024 r. w sprawie zwalczania przemocy wobec kobiet i przemocy domowej</w:t>
      </w:r>
      <w:r w:rsidRPr="00A55E8B">
        <w:rPr>
          <w:rStyle w:val="FootnoteReference"/>
          <w:bCs/>
          <w:iCs/>
        </w:rPr>
        <w:footnoteReference w:id="4"/>
      </w:r>
      <w:r w:rsidRPr="00A55E8B">
        <w:t>,</w:t>
      </w:r>
    </w:p>
    <w:p w14:paraId="6CD808A4" w14:textId="3C19D6C8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rezolucję Rady Bezpieczeństwa ONZ 1820 (2008) z 19 czerwca 20</w:t>
      </w:r>
      <w:r w:rsidR="00231600">
        <w:t>0</w:t>
      </w:r>
      <w:r w:rsidRPr="00A55E8B">
        <w:t>8 r. w sprawie przemocy seksualnej jako narzędzia wojny,</w:t>
      </w:r>
    </w:p>
    <w:p w14:paraId="36D0757D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przyjęte w grudniu 2012 r. zasady i wytyczne ONZ dotyczące dostępu do pomocy prawnej w sprawach karnych,</w:t>
      </w:r>
    </w:p>
    <w:p w14:paraId="76380443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realizowany przez Komisję program „Sprawiedliwość” na lata 2021–2027, z którego finansowane jest wsparcie na potrzeby współpracy sądowej w sprawach cywilnych i karnych, np. szkolenia dla sędziów i innych przedstawicieli zawodów prawniczych, oraz skuteczny dostęp obywateli i przedsiębiorstw do wymiaru sprawiedliwości,</w:t>
      </w:r>
    </w:p>
    <w:p w14:paraId="5E0885F5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Konwencję Rady Europy o zapobieganiu i zwalczaniu przemocy wobec kobiet i przemocy domowej (konwencja stambulska),</w:t>
      </w:r>
    </w:p>
    <w:p w14:paraId="0807FF85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art. 81 ust. 2 Traktatu o funkcjonowaniu Unii Europejskiej,</w:t>
      </w:r>
    </w:p>
    <w:p w14:paraId="35E239EE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–</w:t>
      </w:r>
      <w:r w:rsidRPr="00A55E8B">
        <w:tab/>
        <w:t>uwzględniając art. 121 Regulaminu,</w:t>
      </w:r>
    </w:p>
    <w:p w14:paraId="42D5242C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lastRenderedPageBreak/>
        <w:t>–</w:t>
      </w:r>
      <w:r w:rsidRPr="00A55E8B">
        <w:tab/>
        <w:t>uwzględniając sprawozdanie Komisji Praw Kobiet i Równouprawnienia (A10-0010/2026),</w:t>
      </w:r>
    </w:p>
    <w:p w14:paraId="05D9751E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A.</w:t>
      </w:r>
      <w:r w:rsidRPr="00A55E8B">
        <w:tab/>
        <w:t xml:space="preserve">mając na uwadze, że równouprawnienie płci jest jedną z podstawowych zasad ustanowioną w art. 2 Traktatu o Unii Europejskiej i art. 23 Karty praw podstawowych Unii Europejskiej; mając na uwadze, że zasada ta ma zastosowanie we wszystkich obszarach życia i we wszystkich strategiach politycznych, w tym w dostępie do wymiaru sprawiedliwości; mając na uwadze, że należy uwzględniać aspekt płci, sporządzać budżet z uwzględnieniem aspektu płci i stosować podejście </w:t>
      </w:r>
      <w:proofErr w:type="spellStart"/>
      <w:r w:rsidRPr="00A55E8B">
        <w:t>intersekcjonalne</w:t>
      </w:r>
      <w:proofErr w:type="spellEnd"/>
      <w:r w:rsidRPr="00A55E8B">
        <w:t xml:space="preserve"> we wszystkich odpowiednich strategiach politycznych UE; kwestie te są kluczowe dla osiągnięcia równouprawnienia płci; mając na uwadze, że należy zachować konsekwencję i spójność polityki wewnętrznej i zewnętrznej, aby zapewnić skuteczne i wiarygodne propagowanie praw człowieka i praw podstawowych, demokracji i równouprawnienia płci na całym świecie;</w:t>
      </w:r>
    </w:p>
    <w:p w14:paraId="026EBE2B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B.</w:t>
      </w:r>
      <w:r w:rsidRPr="00A55E8B">
        <w:tab/>
        <w:t xml:space="preserve">mając na uwadze, że równouprawnienie płci, demokracja, prawa podstawowe oraz praworządność są ze sobą nierozerwalnie powiązane; mając na uwadze, że pogłębiający się regres w obszarze praw kobiet i równouprawnienia płci jest napędzany bezprecedensowym wzrostem ruchów </w:t>
      </w:r>
      <w:proofErr w:type="spellStart"/>
      <w:r w:rsidRPr="00A55E8B">
        <w:t>antygenderowych</w:t>
      </w:r>
      <w:proofErr w:type="spellEnd"/>
      <w:r w:rsidRPr="00A55E8B">
        <w:t xml:space="preserve"> i antydemokratycznych; mając na uwadze, że niedawne cięcia w pomocy rozwojowej USA w nieproporcjonalnym stopniu wpływają na kobiety i dziewczęta na całym świecie, zwiększając podatność na zagrożenia i szkodząc społecznościom; mając na uwadze, że Zgromadzenie Ogólne ONZ przestrzegało przed aktywnym oporem wobec równouprawnienia płci oraz regresem w obszarze praw kobiet w wielu krajach; mając na uwadze, że istnieje pilna potrzeba potwierdzenia rzeczywistej równości i praw człowieka przysługujących kobietom i dziewczętom</w:t>
      </w:r>
      <w:r w:rsidRPr="00A55E8B">
        <w:rPr>
          <w:bCs/>
          <w:iCs/>
          <w:vertAlign w:val="superscript"/>
        </w:rPr>
        <w:footnoteReference w:id="5"/>
      </w:r>
      <w:r w:rsidRPr="00A55E8B">
        <w:t>;</w:t>
      </w:r>
    </w:p>
    <w:p w14:paraId="6D8228EC" w14:textId="77777777" w:rsidR="00611B61" w:rsidRPr="00A55E8B" w:rsidRDefault="00611B61" w:rsidP="00611B61">
      <w:pPr>
        <w:pStyle w:val="NormalHanging12a"/>
      </w:pPr>
      <w:r w:rsidRPr="00A55E8B">
        <w:t>C.</w:t>
      </w:r>
      <w:r w:rsidRPr="00A55E8B">
        <w:tab/>
        <w:t>mając na uwadze, że prawa kobiet i dziewcząt oraz równouprawnienie płci są podstawowymi prawami człowieka, a także w sposób zasadniczy warunkują rozwój społeczny, sprawiedliwość społeczną, demokrację, praworządność, podnoszenie poziomu życia, ograniczanie ubóstwa, przeciwdziałanie kryzysowi klimatycznemu oraz budowanie niezbędnych podwalin dla pokojowego, sprawiedliwego, zamożnego i zrównoważonego świata; mając na uwadze, że ogólnie rzecz biorąc, zapewnienie praw kobietom i dziewczętom na całym świecie poprawia konkurencyjność, ponieważ propaguje wzrost sprzyjający włączeniu społecznemu, zmniejsza nierówności oraz zapewnia pełne wykorzystanie umiejętności i potencjału kobiet we wszystkich sektorach społeczeństwa;</w:t>
      </w:r>
    </w:p>
    <w:p w14:paraId="3568D382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D.</w:t>
      </w:r>
      <w:r w:rsidRPr="00A55E8B">
        <w:tab/>
        <w:t>mając na uwadze, że ubóstwo i dyskryminację potęgują czynniki krzyżowe, takie jak rasizm, niepełnosprawność, status migracyjny, orientacja seksualna, tożsamość płciowa i cechy płciowe, jak podkreślono w art. 21 Karty praw podstawowych Unii Europejskiej; mając na uwadze, że ubóstwo menstruacyjne pozostaje istotną przeszkodą dla równouprawnienia płci, ponieważ ogranicza dostęp do edukacji i ochrony zdrowia oraz udział w życiu gospodarczym milionów kobiet i dziewcząt na całym świecie, a tym samym ogranicza ich dostęp do wymiaru sprawiedliwości oraz osłabia ich reprezentację i udział w procesach decyzyjnych na wszystkich szczeblach;</w:t>
      </w:r>
    </w:p>
    <w:p w14:paraId="1186F0AE" w14:textId="77777777" w:rsidR="00611B61" w:rsidRPr="00A55E8B" w:rsidRDefault="00611B61" w:rsidP="00611B61">
      <w:pPr>
        <w:pStyle w:val="NormalHanging12a"/>
      </w:pPr>
      <w:r w:rsidRPr="00A55E8B">
        <w:t>E.</w:t>
      </w:r>
      <w:r w:rsidRPr="00A55E8B">
        <w:tab/>
        <w:t xml:space="preserve">mając na uwadze, że dostęp do wymiaru sprawiedliwości jest powszechnie uznawany za podstawowe prawo człowieka w świetle prawa międzynarodowego, zasadniczą </w:t>
      </w:r>
      <w:r w:rsidRPr="00A55E8B">
        <w:lastRenderedPageBreak/>
        <w:t xml:space="preserve">koncepcję w szerzej pojmowanym wymiarze sprawiedliwości oraz filar praworządności i demokracji; mając na uwadze, że UE uznaje dostęp do wymiaru sprawiedliwości za prawo podstawowe zgodnie z art. 47 Karty praw podstawowych Unii Europejskiej; mając na uwadze, że skuteczny dostęp do wymiaru sprawiedliwości wymaga wiarygodnych danych, przejrzystych procedur, kształtowania polityki w oparciu o dowody oraz bezstronnych instytucji, które zapewniają kobietom i dziewczętom możliwość korzystania z przysługujących im praw bez dyskryminacji; mając na uwadze, że dostęp do wymiaru sprawiedliwości jest podstawowym prawem człowieka opartym na sprawiedliwych przepisach, skutecznym egzekwowaniu prawa, przystępnej cenowo pomocy, instytucjach uwzględniających aspekt płci i mechanizmach rozliczalności; mając na uwadze, że dyskryminujące przepisy, stereotypy płci, bariery finansowe oraz uprzedzenia instytucjonalne nadal utrudniają życie wielu kobietom i dziewczętom, zwłaszcza tym, które doświadczają dyskryminacji </w:t>
      </w:r>
      <w:proofErr w:type="spellStart"/>
      <w:r w:rsidRPr="00A55E8B">
        <w:t>intersekcjonalnej</w:t>
      </w:r>
      <w:proofErr w:type="spellEnd"/>
      <w:r w:rsidRPr="00A55E8B">
        <w:t xml:space="preserve">; mając na uwadze, że kobiety i dziewczęta znajdujące się w trudnej sytuacji, na przykład kobiety i dziewczęta z niepełnosprawnościami, mieszkające na obszarach wiejskich lub w regionach oddalonych oraz starsze kobiety, często napotykają dodatkowe przeszkody w dostępie do wymiaru sprawiedliwości i wsparcia prawnego; mając na uwadze, że cyfryzacja i sztuczna inteligencja w coraz większym stopniu kształtują dostęp do wymiaru sprawiedliwości, co sprawia, iż należy zająć się dyskryminacją algorytmiczną, wykluczeniem cyfrowym oraz szkodami w </w:t>
      </w:r>
      <w:proofErr w:type="spellStart"/>
      <w:r w:rsidRPr="00A55E8B">
        <w:t>internecie</w:t>
      </w:r>
      <w:proofErr w:type="spellEnd"/>
      <w:r w:rsidRPr="00A55E8B">
        <w:t>; mając na uwadze, że pomoc prawna ma zasadnicze znaczenie dla równego dostępu do wymiaru sprawiedliwości, a wymiana najlepszych praktyk przyczynia się do poprawy jakości i spójności systemów pomocy prawnej;</w:t>
      </w:r>
    </w:p>
    <w:p w14:paraId="00CBFD82" w14:textId="77777777" w:rsidR="00611B61" w:rsidRPr="00A55E8B" w:rsidRDefault="00611B61" w:rsidP="00611B61">
      <w:pPr>
        <w:pStyle w:val="NormalHanging12a"/>
      </w:pPr>
      <w:r w:rsidRPr="00A55E8B">
        <w:t>F.</w:t>
      </w:r>
      <w:r w:rsidRPr="00A55E8B">
        <w:tab/>
        <w:t>mając na uwadze, że powszechny i równy dostęp kobiet i dziewcząt do wymiaru sprawiedliwości pozostaje złożoną i krytyczną kwestią we wszystkich regionach świata oraz stanowi szczególne wyzwanie w niektórych regionach, zwłaszcza w tych, w których instytucje demokratyczne i praworządność są osłabione; mając na uwadze, że zniechęcenie ze względów ekonomicznych, ograniczony dostęp do pomocy prawnej, wysokie koszty, złożone procedury prawne, bariery cyfrowe i językowe, nieufność wobec systemów sądowych, powszechne stereotypy płci, uprzedzenia rasowe, mizoginia i dyskryminacja systemowa nadal utrudniają kobietom i dziewczętom skuteczny dostęp do wymiaru sprawiedliwości;</w:t>
      </w:r>
    </w:p>
    <w:p w14:paraId="2CC923D8" w14:textId="22F729D3" w:rsidR="00611B61" w:rsidRPr="00A55E8B" w:rsidRDefault="00611B61" w:rsidP="00611B61">
      <w:pPr>
        <w:pStyle w:val="NormalHanging12a"/>
      </w:pPr>
      <w:r w:rsidRPr="00A55E8B">
        <w:t>G.</w:t>
      </w:r>
      <w:r w:rsidRPr="00A55E8B">
        <w:tab/>
        <w:t xml:space="preserve">mając na uwadze, że na całym świecie kobiety są nadal poważnie niedoreprezentowane na najwyższych szczeblach organów sądowych i organów ścigania, szczególnie na eksponowanych stanowiskach, np. na stanowiskach prezesów sądów, zwierzchników sądownictwa i szefów prokuratur; mając na uwadze, że osiągnięcie równowagi płci w tych organach decyzyjnych powinno być priorytetem; mając na uwadze, że należy pozostać przy podejściu uwzględniającym aspekt płci, nawet jeśli zapewniono obecność kobiet; mając na uwadze, że uwzględnianie perspektywy płci w procesie podejmowania decyzji w sądach ma zasadnicze znaczenie dla zapewnienia kobietom i dziewczętom równego dostępu do wymiaru sprawiedliwości oraz wymaga oceny faktów i stosowania prawa bez uprzedzeń ze względu na płeć i szkodliwych stereotypów, zarówno w samej decyzji, jak i w procesie jej podejmowania; mając na uwadze, że w 2024 r. Komitet ONZ ds. Likwidacji Dyskryminacji Kobiet (CEDAW) wydał ogólne zalecenie nr 40 dotyczące równej i </w:t>
      </w:r>
      <w:proofErr w:type="spellStart"/>
      <w:r w:rsidRPr="00A55E8B">
        <w:t>inkluzywnej</w:t>
      </w:r>
      <w:proofErr w:type="spellEnd"/>
      <w:r w:rsidRPr="00A55E8B">
        <w:t xml:space="preserve"> reprezentacji kobiet w systemach decyzyjnych, pod względem zarówno równego dostępu do takich systemów, jak i równych uprawnień w ramach tych systemów;</w:t>
      </w:r>
    </w:p>
    <w:p w14:paraId="3B70D11D" w14:textId="7F0C5A6A" w:rsidR="00611B61" w:rsidRPr="00A55E8B" w:rsidRDefault="00611B61" w:rsidP="00611B61">
      <w:pPr>
        <w:pStyle w:val="NormalHanging12a"/>
      </w:pPr>
      <w:r w:rsidRPr="00A55E8B">
        <w:t>H.</w:t>
      </w:r>
      <w:r w:rsidRPr="00A55E8B">
        <w:tab/>
        <w:t xml:space="preserve">mając na uwadze, że ONZ aktywnie wspiera większy udział kobiet w sektorze wymiaru </w:t>
      </w:r>
      <w:r w:rsidRPr="00A55E8B">
        <w:lastRenderedPageBreak/>
        <w:t>sprawiedliwości za pośrednictwem specjalnych inicjatyw i kampanii; mając na uwadze, że większa reprezentacja kobiet w instytucjach sądowych wiąże się z podejściem do wymiaru sprawiedliwości, które w większej mierze kładzie nacisk na potrzeby ofiar, oraz jest niezbędna, aby ofiary mogły czuć się wspierane i wysłuchane, gdy zgłaszają się i dochodzą sprawiedliwości; mając na uwadze, że potrzebne są jasne zasady i solidne przepisy prawne, szkolenia dotyczące ich stosowania oraz inicjatywy podnoszące świadomość na temat płci i wymiaru sprawiedliwości, skierowane zarówno do wszystkich przedstawicieli sektora wymiaru sprawiedliwości, jak i do społeczeństwa obywatelskiego;</w:t>
      </w:r>
    </w:p>
    <w:p w14:paraId="72131AFD" w14:textId="77777777" w:rsidR="00611B61" w:rsidRPr="00A55E8B" w:rsidRDefault="00611B61" w:rsidP="00611B61">
      <w:pPr>
        <w:pStyle w:val="NormalHanging12a"/>
      </w:pPr>
      <w:r w:rsidRPr="00A55E8B">
        <w:t>I.</w:t>
      </w:r>
      <w:r w:rsidRPr="00A55E8B">
        <w:tab/>
        <w:t xml:space="preserve">mając na uwadze, że przemoc wobec kobiet, przemoc ze względu na płeć i przemoc domowa stanowią naruszenie praw podstawowych; mając na uwadze, że systemy prawne muszą w pełni uwzględniać szczególne potrzeby ofiar przez zapewnienie odpowiedniej ochrony, skutecznych środków prawnych, dostępnych usług wsparcia i odpowiednich szkoleń dla właściwych organów, które mają kontakt z ofiarami przemocy ze względu na płeć, tak aby uniknąć wtórnej </w:t>
      </w:r>
      <w:proofErr w:type="spellStart"/>
      <w:r w:rsidRPr="00A55E8B">
        <w:t>wiktymizacji</w:t>
      </w:r>
      <w:proofErr w:type="spellEnd"/>
      <w:r w:rsidRPr="00A55E8B">
        <w:t xml:space="preserve">; mając na uwadze, że wiele kobiet i dziewcząt nadal napotyka poważne przeszkody w zgłaszaniu nadużyć i w uzyskiwaniu pomocy prawnej; mając na uwadze, że należy formalnie uznać wszystkie formy przemocy – w tym przemoc psychologiczną, emocjonalną i psychiczną, a także kontrolę </w:t>
      </w:r>
      <w:proofErr w:type="spellStart"/>
      <w:r w:rsidRPr="00A55E8B">
        <w:t>przemocową</w:t>
      </w:r>
      <w:proofErr w:type="spellEnd"/>
      <w:r w:rsidRPr="00A55E8B">
        <w:t xml:space="preserve"> i finansową; mając na uwadze, że utrzymujące się w instytucjach stereotypy płci, mizoginia i seksizm, a także przeszkody strukturalne i proceduralne nadal utrudniają kobietom będącym ofiarami przemocy dostęp do wymiaru sprawiedliwości; mając na uwadze, że specjalizacja sądowa w dziedzinie przemocy ze względu na płeć okazała się skuteczna, ponieważ koncentruje wiedzę fachową, poprawia zarządzanie sprawami i sprzyja środowisku w większym stopniu uwzględniającemu aspekt płci i wspierającemu ofiary</w:t>
      </w:r>
      <w:r w:rsidRPr="00A55E8B">
        <w:rPr>
          <w:vertAlign w:val="superscript"/>
        </w:rPr>
        <w:footnoteReference w:id="6"/>
      </w:r>
      <w:r w:rsidRPr="00A55E8B">
        <w:t>;</w:t>
      </w:r>
    </w:p>
    <w:p w14:paraId="61FF4F26" w14:textId="77777777" w:rsidR="00611B61" w:rsidRPr="00A55E8B" w:rsidRDefault="00611B61" w:rsidP="00611B61">
      <w:pPr>
        <w:pStyle w:val="NormalHanging12a"/>
        <w:rPr>
          <w:bCs/>
          <w:iCs/>
          <w:szCs w:val="24"/>
        </w:rPr>
      </w:pPr>
      <w:r w:rsidRPr="00A55E8B">
        <w:t>J.</w:t>
      </w:r>
      <w:r w:rsidRPr="00A55E8B">
        <w:tab/>
        <w:t xml:space="preserve">mając na uwadze, że molestowanie – w miejscu pracy, w sferze politycznej, sądowej, akademickiej lub w </w:t>
      </w:r>
      <w:proofErr w:type="spellStart"/>
      <w:r w:rsidRPr="00A55E8B">
        <w:t>internecie</w:t>
      </w:r>
      <w:proofErr w:type="spellEnd"/>
      <w:r w:rsidRPr="00A55E8B">
        <w:t xml:space="preserve"> – stanowi przeszkodę uniemożliwiającą kobietom dostęp do wymiaru sprawiedliwości oraz objęcie stanowisk publicznych i decyzyjnych lub pozostawanie na takich stanowiskach; mając na uwadze, że wszechobecna przemoc w </w:t>
      </w:r>
      <w:proofErr w:type="spellStart"/>
      <w:r w:rsidRPr="00A55E8B">
        <w:t>internecie</w:t>
      </w:r>
      <w:proofErr w:type="spellEnd"/>
      <w:r w:rsidRPr="00A55E8B">
        <w:t>, mowa nienawiści i przestępstwa z nienawiści w coraz większym stopniu skierowane przeciwko kobietom i dziewczętom mają poważne konsekwencje dla codziennego życia kobiet i dziewcząt, ograniczają ich udział w życiu publicznym i szkodzą ich równej reprezentacji;</w:t>
      </w:r>
    </w:p>
    <w:p w14:paraId="1A8C4CBC" w14:textId="384E4BA9" w:rsidR="00611B61" w:rsidRPr="00A55E8B" w:rsidRDefault="00611B61" w:rsidP="00611B61">
      <w:pPr>
        <w:pStyle w:val="NormalHanging12a"/>
        <w:rPr>
          <w:bCs/>
          <w:iCs/>
        </w:rPr>
      </w:pPr>
      <w:r w:rsidRPr="00A55E8B">
        <w:t>K.</w:t>
      </w:r>
      <w:r w:rsidRPr="00A55E8B">
        <w:tab/>
        <w:t xml:space="preserve">mając na uwadze, że konflikty zbrojne, przymusowe przesiedlenia, skutki zmiany klimatu i nadzwyczajne sytuacje humanitarne pogłębiają nierówności i osłabiają systemy ochrony, przez co kobiety i dziewczęta są bardziej narażone na przemoc ze względu na płeć, w tym przymusowe małżeństwa, przemoc seksualną podczas tranzytu, handel ludźmi, przemoc ze względu na płeć w ośrodkach recepcyjnych lub ośrodkach dla uchodźców oraz przemoc seksualną i tortury wykorzystywane jako narzędzie wojny; mając na uwadze, że przemoc seksualna związana z konfliktem pozostaje jednym z najpowszechniejszych naruszeń praw człowieka i jest wykorzystywana do terroryzowania ludności cywilnej, tłumienia oporu i niszczenia społeczności, oraz stanowi zbrodnię wojenną, zbrodnię przeciwko ludzkości lub czyn przyczyniający się do ludobójstwa w rozumieniu prawa międzynarodowego; mając na uwadze, że agenda ONZ dotycząca kobiet, pokoju i bezpieczeństwa ma kluczowe znaczenie dla sprostania </w:t>
      </w:r>
      <w:r w:rsidRPr="00A55E8B">
        <w:lastRenderedPageBreak/>
        <w:t>współczesnym globalnym wyzwaniom w zakresie pokoju i bezpieczeństwa; mając na uwadze, że trwające konflikty zbrojne, a także pojawiające się i coraz bardziej złożone zagrożenia dla bezpieczeństwa w sposób nieproporcjonalny dotykają kobiet i dziewcząt oraz prowadzą do pogorszenia ich statusu, co wiąże się z poważnymi konsekwencjami dla pełnego korzystania z praw człowieka przez kobiety i dziewczęta na całym świecie;</w:t>
      </w:r>
    </w:p>
    <w:p w14:paraId="1368794E" w14:textId="77777777" w:rsidR="00611B61" w:rsidRPr="00A55E8B" w:rsidRDefault="00611B61" w:rsidP="00611B61">
      <w:pPr>
        <w:pStyle w:val="NormalHanging12a"/>
        <w:rPr>
          <w:bCs/>
          <w:iCs/>
          <w:szCs w:val="24"/>
        </w:rPr>
      </w:pPr>
      <w:r w:rsidRPr="00A55E8B">
        <w:t>L.</w:t>
      </w:r>
      <w:r w:rsidRPr="00A55E8B">
        <w:tab/>
        <w:t>mając na uwadze, że konwencja stambulska jest jednym z najbardziej zaawansowanych międzynarodowych instrumentów prawnych ustanawiających wiążące zobowiązania w zakresie zapobiegania przemocy ze względu na płeć i jej zwalczania;</w:t>
      </w:r>
    </w:p>
    <w:p w14:paraId="2A0250DF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M.</w:t>
      </w:r>
      <w:r w:rsidRPr="00A55E8B">
        <w:tab/>
        <w:t>mając na uwadze, że naruszenia zdrowia i praw seksualnych i reprodukcyjnych, w tym odmowa zapewnienia bezpiecznych i legalnych usług aborcyjnych oraz wszelkie formy przemocy położniczej i ginekologicznej, stanowią przemoc ze względu na płeć i łamią podstawowe prawa człowieka; mając na uwadze, że zgodnie z utrzymującymi się normami społecznymi przemoc ze względu na płeć jest legitymizowana, dostęp do usług zdrowotnych, w tym do opieki zdrowotnej w zakresie zdrowia seksualnego i reprodukcyjnego, jest ograniczony, nieodpłatną pracę opiekuńczą powierza się głównie kobietom, a możliwości kobiet w zakresie przywództwa są ograniczone; mając na uwadze, że dostęp do opieki zdrowotnej w zakresie zdrowia seksualnego i reprodukcyjnego, w tym bezpiecznej i legalnej aborcji, jest podstawowym prawem człowieka, którego należy przestrzegać na całym świecie; mając na uwadze, że miliony kobiet nadal nie mają takiego dostępu, co naraża je na uszczerbek na zdrowiu fizycznym oraz stres ekonomiczny i psychiczny; mając na uwadze, że groźby i ataki skierowane przeciwko organizacjom społeczeństwa obywatelskiego i obrońcom praw człowieka, zwłaszcza tym wspierającym zdrowie i prawa reprodukcyjne i seksualne, nasilają się w alarmującym tempie;</w:t>
      </w:r>
    </w:p>
    <w:p w14:paraId="35E542F2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N.</w:t>
      </w:r>
      <w:r w:rsidRPr="00A55E8B">
        <w:tab/>
        <w:t>mając na uwadze, że gwałt pozostaje powszechnym naruszeniem praw człowieka i jest często wykorzystywany jako narzędzie wojny do terroryzowania ludności cywilnej i niszczenia społeczności; mając na uwadze, że potrzebne są pilne działania, aby położyć kres bezkarności w tym zakresie i zapewnić sprawiedliwość ofiarom gwałtu;</w:t>
      </w:r>
    </w:p>
    <w:p w14:paraId="3745FFC7" w14:textId="77777777" w:rsidR="00611B61" w:rsidRPr="00A55E8B" w:rsidRDefault="00611B61" w:rsidP="00611B61">
      <w:pPr>
        <w:pStyle w:val="NormalHanging12a"/>
      </w:pPr>
      <w:r w:rsidRPr="00A55E8B">
        <w:t>O.</w:t>
      </w:r>
      <w:r w:rsidRPr="00A55E8B">
        <w:tab/>
        <w:t xml:space="preserve">mając na uwadze, że </w:t>
      </w:r>
      <w:proofErr w:type="spellStart"/>
      <w:r w:rsidRPr="00A55E8B">
        <w:t>stereotypizacja</w:t>
      </w:r>
      <w:proofErr w:type="spellEnd"/>
      <w:r w:rsidRPr="00A55E8B">
        <w:t xml:space="preserve"> sądowa i dominujące normy płciowe, w połączeniu z niewystarczającymi informacjami, mogą utrudniać skuteczny dostęp do wymiaru sprawiedliwości kobietom i dziewczętom, które doświadczyły przemocy; mając na uwadze, że przemoc ze względu na płeć i utrudnienia w dostępie kobiet do wymiaru sprawiedliwości mogą mieć wpływ na ich pełny udział w życiu publicznym; mając na uwadze, że sytuacja ta podważa zaufanie kobiet i dziewcząt do systemu wymiaru sprawiedliwości oraz przyczynia się do zaniżonej liczby zgłaszanych przez nie spraw, zwłaszcza w przypadkach przemocy ze względu na płeć; mając na uwadze, że wiele osób, które były ofiarami przemocy, nadal doświadcza obwiniania ofiar i stygmatyzacji oraz obawia się odwetu i wtórnej </w:t>
      </w:r>
      <w:proofErr w:type="spellStart"/>
      <w:r w:rsidRPr="00A55E8B">
        <w:t>wiktymizacji</w:t>
      </w:r>
      <w:proofErr w:type="spellEnd"/>
      <w:r w:rsidRPr="00A55E8B">
        <w:t>, co jeszcze bardziej zniechęca je do dochodzenia sprawiedliwości;</w:t>
      </w:r>
    </w:p>
    <w:p w14:paraId="1372422C" w14:textId="77777777" w:rsidR="00611B61" w:rsidRPr="00A55E8B" w:rsidRDefault="00611B61" w:rsidP="00611B61">
      <w:pPr>
        <w:pStyle w:val="NormalHanging12a"/>
        <w:rPr>
          <w:bCs/>
          <w:iCs/>
        </w:rPr>
      </w:pPr>
      <w:r w:rsidRPr="00A55E8B">
        <w:t>P.</w:t>
      </w:r>
      <w:r w:rsidRPr="00A55E8B">
        <w:tab/>
        <w:t xml:space="preserve">mając na uwadze, że stereotypy płci, mizoginia i seksizm w systemie sądowym nadal pogłębiają nierówności płci poprzez utrwalanie stronniczych postaw, praktyk dyskryminacyjnych oraz nierównej dynamiki władzy; mając na uwadze, że te przeszkody systemowe podważają zaufanie kobiet do dochodzenia sprawiedliwości, ograniczają ich sprawiedliwą reprezentację oraz przyczyniają się do utrzymywania się niesprawiedliwości i marginalizacji w procesach sądowych; mając na uwadze, że występowanie uprzedzeń ze względu na płeć i stereotypów płci w systemie wymiaru </w:t>
      </w:r>
      <w:r w:rsidRPr="00A55E8B">
        <w:lastRenderedPageBreak/>
        <w:t xml:space="preserve">sprawiedliwości w pełni uwidocznił i potępił ruch </w:t>
      </w:r>
      <w:proofErr w:type="spellStart"/>
      <w:r w:rsidRPr="00A55E8B">
        <w:t>MeToo</w:t>
      </w:r>
      <w:proofErr w:type="spellEnd"/>
      <w:r w:rsidRPr="00A55E8B">
        <w:t>, który zmobilizował kobiety i dziewczęta na wszystkich kontynentach, co pokazuje, iż pomimo zróżnicowanych uwarunkowań społecznych, gospodarczych i prawnych wyzwania, z jakimi mierzą się kobiety i dziewczęta w systemach wymiaru sprawiedliwości, są bardzo podobne, a tym samym wymagają skoordynowanych działań;</w:t>
      </w:r>
    </w:p>
    <w:p w14:paraId="21615366" w14:textId="77777777" w:rsidR="00611B61" w:rsidRPr="00A55E8B" w:rsidRDefault="00611B61" w:rsidP="00611B61">
      <w:pPr>
        <w:pStyle w:val="NormalHanging12a"/>
      </w:pPr>
      <w:r w:rsidRPr="00A55E8B">
        <w:t>1.</w:t>
      </w:r>
      <w:r w:rsidRPr="00A55E8B">
        <w:tab/>
        <w:t>zaleca Radzie, aby:</w:t>
      </w:r>
    </w:p>
    <w:p w14:paraId="2DC9397C" w14:textId="77777777" w:rsidR="00611B61" w:rsidRPr="00A55E8B" w:rsidRDefault="00611B61" w:rsidP="00BA6EDA">
      <w:pPr>
        <w:pStyle w:val="NormalHanging12a"/>
        <w:ind w:left="1134"/>
      </w:pPr>
      <w:r w:rsidRPr="00A55E8B">
        <w:t>a)</w:t>
      </w:r>
      <w:r w:rsidRPr="00A55E8B">
        <w:tab/>
        <w:t xml:space="preserve">potwierdziła silne zaangażowanie UE na rzecz równouprawnienia płci i zagwarantowała pełne wdrożenie praw kobiet i dziewcząt we wszystkich aspektach działań zewnętrznych UE, w tym w polityce rozwojowej, handlowej i zagranicznej, za pomocą odpowiednio finansowanego, sprzyjającego włączeniu społecznemu i </w:t>
      </w:r>
      <w:proofErr w:type="spellStart"/>
      <w:r w:rsidRPr="00A55E8B">
        <w:t>intersekcjonalnego</w:t>
      </w:r>
      <w:proofErr w:type="spellEnd"/>
      <w:r w:rsidRPr="00A55E8B">
        <w:t xml:space="preserve"> podejścia, które przełamuje stereotypy płci i opiera się na zasadzie niedyskryminacji, tak aby przyspieszyć osiągnięcie równouprawnienia płci;</w:t>
      </w:r>
    </w:p>
    <w:p w14:paraId="1BAF2430" w14:textId="77777777" w:rsidR="00611B61" w:rsidRPr="00A55E8B" w:rsidRDefault="00611B61" w:rsidP="00BA6EDA">
      <w:pPr>
        <w:pStyle w:val="NormalHanging12a"/>
        <w:ind w:left="1134"/>
      </w:pPr>
      <w:r w:rsidRPr="00A55E8B">
        <w:t>b)</w:t>
      </w:r>
      <w:r w:rsidRPr="00A55E8B">
        <w:tab/>
        <w:t>zapewniła pełny udział Parlamentu oraz jego Komisji Praw Kobiet i Równouprawnienia w procesie decyzyjnym dotyczącym stanowiska UE na 70. sesję Komisji ONZ ds. Statusu Kobiet; zadbała, aby przed rozpoczęciem negocjacji Parlament był odpowiednio informowany o dokumencie zawierającym stanowisko UE i miał do niego dostęp; poprawiła współpracę międzyinstytucjonalną, w tym podczas negocjacji, w celu odpowiedniego uwzględnienia priorytetów Parlamentu; podkreśliła, że udział kobiet i ich przywództwo na stanowiskach decyzyjnych nadal pozostają niewystarczające, w tym w polityce zagranicznej i w procesach budowania pokoju; uznała, że w badaniach wykazano, iż porozumienia pokojowe osiągnięte przy aktywnym udziale kobiet częściej mogą okazać się trwałe i skuteczne</w:t>
      </w:r>
      <w:r w:rsidRPr="00A55E8B">
        <w:rPr>
          <w:vertAlign w:val="superscript"/>
        </w:rPr>
        <w:footnoteReference w:id="7"/>
      </w:r>
      <w:r w:rsidRPr="00A55E8B">
        <w:t>; stwierdziła, że w niedawnych globalnych ocenach podkreślono, iż pomimo obecnych zobowiązań postępy w dążeniu do pełnego, równego i znaczącego udziału i przywództwa kobiet w procesach pokojowych i procesach dotyczących bezpieczeństwa są nadal ograniczone;</w:t>
      </w:r>
    </w:p>
    <w:p w14:paraId="290C0C9F" w14:textId="77777777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c)</w:t>
      </w:r>
      <w:r w:rsidRPr="00A55E8B">
        <w:tab/>
        <w:t xml:space="preserve">ponownie potwierdziła zobowiązanie UE do traktowania równouprawnienia płci jako priorytetu horyzontalnego; wspierała i promowała takie wartości jak różnorodność, równość i </w:t>
      </w:r>
      <w:proofErr w:type="spellStart"/>
      <w:r w:rsidRPr="00A55E8B">
        <w:t>inkluzywność</w:t>
      </w:r>
      <w:proofErr w:type="spellEnd"/>
      <w:r w:rsidRPr="00A55E8B">
        <w:t xml:space="preserve">, podkreśliła, że należy opracować kompleksowe narzędzie do monitorowania regresu demokracji i regresu w zakresie praw kobiet, które to regresy są ze sobą nierozerwalnie powiązane, i do przeciwdziałania im; odgrywała wiodącą rolę w przeciwdziałaniu regresowi w zakresie równouprawnienia płci na świecie oraz stanowczo potępiła ataki ruchów </w:t>
      </w:r>
      <w:proofErr w:type="spellStart"/>
      <w:r w:rsidRPr="00A55E8B">
        <w:t>antygenderowych</w:t>
      </w:r>
      <w:proofErr w:type="spellEnd"/>
      <w:r w:rsidRPr="00A55E8B">
        <w:t xml:space="preserve"> i przeciwnych prawom, które to ruchy szerzą fałszywe informacje, podważają demokrację i atakują prawa kobiet oraz osób LGBTIQ+;</w:t>
      </w:r>
    </w:p>
    <w:p w14:paraId="79EC87D7" w14:textId="16619C2B" w:rsidR="00611B61" w:rsidRPr="00A55E8B" w:rsidRDefault="000551AF" w:rsidP="00BA6EDA">
      <w:pPr>
        <w:pStyle w:val="NormalHanging12a"/>
        <w:ind w:left="1134"/>
        <w:rPr>
          <w:bCs/>
          <w:iCs/>
        </w:rPr>
      </w:pPr>
      <w:r>
        <w:t>d</w:t>
      </w:r>
      <w:r w:rsidR="00611B61" w:rsidRPr="00A55E8B">
        <w:t>)</w:t>
      </w:r>
      <w:r w:rsidR="00611B61" w:rsidRPr="00A55E8B">
        <w:tab/>
        <w:t xml:space="preserve">zadbała, aby instrumenty unijne i międzynarodowe wzajemnie się uzupełniały i miały ambitne cele, w oparciu o solidne i rzetelne przepisy wzmacniające pozycję kobiet i dziewcząt oraz gwarantujące im dostęp do wymiaru sprawiedliwości; podkreśliła, że prawo do pomocy i obsługi prawnej ma zasadnicze znaczenie dla zagwarantowania powszechnego i równego dostępu do wymiaru sprawiedliwości </w:t>
      </w:r>
      <w:r w:rsidR="00611B61" w:rsidRPr="00A55E8B">
        <w:lastRenderedPageBreak/>
        <w:t xml:space="preserve">dla wszystkich oraz skutecznego udziału w odpowiednich postępowaniach; podkreśliła ponadto, że osoby z niepełnosprawnościami, w szczególności kobiety i dziewczęta z niepełnosprawnościami, napotykają strukturalne i praktyczne bariery w dostępie do wymiaru sprawiedliwości i udziału w życiu publicznym; podkreśliła potrzebę szczególnych środków w celu zapewnienia im pełnego włączenia i powszechnego dostępu do skutecznej ochrony; zadbała, by UE wykazała się silnym przywództwem i przyjęła jednolite stanowisko w sprawie </w:t>
      </w:r>
      <w:proofErr w:type="spellStart"/>
      <w:r w:rsidR="00611B61" w:rsidRPr="00A55E8B">
        <w:t>inkluzywnych</w:t>
      </w:r>
      <w:proofErr w:type="spellEnd"/>
      <w:r w:rsidR="00611B61" w:rsidRPr="00A55E8B">
        <w:t xml:space="preserve"> i bezstronnych systemów wymiaru sprawiedliwości ; opowiedziała się za kompleksowymi ramami prawnymi chroniącymi prawa kobiet oraz zapewniła pełne i równe uczestnictwo kobiet, dziewcząt i ludzi w całej ich różnorodności zarówno na podstawie prawa krajowego, jak i międzynarodowego; wezwała do zapewnienia i wspierania prawa ofiar do uzyskania terminowej rekompensaty od sprawcy w ramach postępowania karnego oraz do wymiany najlepszych praktyk w celu zapobiegania wtórnej </w:t>
      </w:r>
      <w:proofErr w:type="spellStart"/>
      <w:r w:rsidR="00611B61" w:rsidRPr="00A55E8B">
        <w:t>wiktymizacji</w:t>
      </w:r>
      <w:proofErr w:type="spellEnd"/>
      <w:r w:rsidR="00611B61" w:rsidRPr="00A55E8B">
        <w:t>, w tym za pośrednictwem mechanizmów subrogacji państwowej;</w:t>
      </w:r>
    </w:p>
    <w:p w14:paraId="02244D81" w14:textId="39B0DAC3" w:rsidR="00611B61" w:rsidRDefault="000551AF" w:rsidP="00BA6EDA">
      <w:pPr>
        <w:pStyle w:val="NormalHanging12a"/>
        <w:ind w:left="1134"/>
      </w:pPr>
      <w:r>
        <w:t>e</w:t>
      </w:r>
      <w:r w:rsidR="00611B61" w:rsidRPr="00A55E8B">
        <w:t>)</w:t>
      </w:r>
      <w:r w:rsidR="00611B61" w:rsidRPr="00A55E8B">
        <w:tab/>
        <w:t>podjęła działania na rzecz pełnej realizacji aktualnych zobowiązań w zakresie równości płci i wzmocnienia pozycji kobiet, przy zapewnieniu kobietom ochrony równych praw człowieka i podstawowych wolności bez dyskryminacji, w celu zwiększenia ich udziału w życiu publicznym; zachęcała do zapewnienia rzeczywistego równouprawnienia płci i instytucjonalnego parytetu płci na wszystkich szczeblach procesu decyzyjnego i podejmowała działania w tym względzie;</w:t>
      </w:r>
    </w:p>
    <w:p w14:paraId="4C9E735E" w14:textId="69730AFB" w:rsidR="000551AF" w:rsidRPr="000551AF" w:rsidRDefault="000551AF" w:rsidP="000551AF">
      <w:pPr>
        <w:pStyle w:val="NormalHanging12a"/>
        <w:ind w:left="1134"/>
      </w:pPr>
      <w:r>
        <w:t>f</w:t>
      </w:r>
      <w:r w:rsidRPr="00DE06D4">
        <w:t>)</w:t>
      </w:r>
      <w:r w:rsidRPr="00DE06D4">
        <w:tab/>
        <w:t>podkreśliła, jak ważne jest wspieranie polityki publicznej promującej i wspierającej macierzyństwo;</w:t>
      </w:r>
    </w:p>
    <w:p w14:paraId="45BDEDDC" w14:textId="3C2A8A66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g)</w:t>
      </w:r>
      <w:r w:rsidRPr="00A55E8B">
        <w:tab/>
        <w:t xml:space="preserve">podkreśliła znaczenie zagwarantowania kobietom i dziewczętom skutecznego dostępu do wymiaru sprawiedliwości na wszystkich szczeblach, w tym jasnych kanałów dokonywania zgłoszeń oraz szybkiego rozpatrywania środków ochrony i wsparcia; wyeliminowała przeszkody, zwłaszcza dla </w:t>
      </w:r>
      <w:proofErr w:type="spellStart"/>
      <w:r w:rsidRPr="00A55E8B">
        <w:t>defaworyzowanych</w:t>
      </w:r>
      <w:proofErr w:type="spellEnd"/>
      <w:r w:rsidRPr="00A55E8B">
        <w:t xml:space="preserve"> i wrażliwych grup kobiet, które często napotykają bariery w dostępie do wymiaru sprawiedliwości z racji nakładających się skutków ograniczonych i niedofinansowanych zasobów w systemie wymiaru sprawiedliwości, a także czynników społeczno-gospodarczych i społeczno-kulturowych oraz dyskryminacji </w:t>
      </w:r>
      <w:proofErr w:type="spellStart"/>
      <w:r w:rsidRPr="00A55E8B">
        <w:t>intersekcjonalnej</w:t>
      </w:r>
      <w:proofErr w:type="spellEnd"/>
      <w:r w:rsidRPr="00A55E8B">
        <w:t xml:space="preserve">; zapewniła odpowiednie, zorientowane na ofiary usługi wsparcia i ochrony w przypadkach przemocy ze względu na płeć oraz zapobiegała wszelkim formom wtórnej </w:t>
      </w:r>
      <w:proofErr w:type="spellStart"/>
      <w:r w:rsidRPr="00A55E8B">
        <w:t>wiktymizacji</w:t>
      </w:r>
      <w:proofErr w:type="spellEnd"/>
      <w:r w:rsidRPr="00A55E8B">
        <w:t xml:space="preserve"> w przypadku zgłaszania przemocy policji lub w trakcie postępowania sądowego; podkreśliła, że nierówności ekonomiczne pozostają istotną przeszkodą w dostępie do wymiaru sprawiedliwości;</w:t>
      </w:r>
    </w:p>
    <w:p w14:paraId="225AD9E8" w14:textId="470C433F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h)</w:t>
      </w:r>
      <w:r w:rsidRPr="00A55E8B">
        <w:tab/>
        <w:t>podkreśliła potrzebę uznania apartheidu płciowego za zbrodnię przeciwko ludzkości na mocy statutu rzymskiego i opowiedziała się za jego międzynarodowym uznaniem, aby zapewnić dostęp do wymiaru sprawiedliwości, rozliczalność i możliwość ścigania przez sądy międzynarodowe; poparła wypracowaną przez grupę roboczą ONZ ds. dyskryminacji kobiet i dziewcząt definicję apartheidu płciowego jako czynów popełnionych w ramach zinstytucjonalizowanego systemu dyskryminacji i dominacji ze względu na płeć;</w:t>
      </w:r>
    </w:p>
    <w:p w14:paraId="1266609E" w14:textId="3C7C99B5" w:rsidR="00611B61" w:rsidRPr="00A55E8B" w:rsidRDefault="00611B61" w:rsidP="00BA6EDA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A55E8B">
        <w:t>i)</w:t>
      </w:r>
      <w:r w:rsidRPr="00A55E8B">
        <w:tab/>
        <w:t xml:space="preserve">zapewniła wymianę najlepszych praktyk, w tym poprzez szkolenia kadr wymiaru </w:t>
      </w:r>
      <w:r w:rsidRPr="00A55E8B">
        <w:lastRenderedPageBreak/>
        <w:t xml:space="preserve">sprawiedliwości, w zakresie psychologicznych, psychicznych, fizycznych, przymusowych i finansowych skutków przemocy ze względu na płeć; zobowiązała się i zachęcała do uwzględniania perspektywy płci w procesie podejmowania decyzji w sądach; zachęcała do zapewnienia ofiarom, na ich wniosek, usług prawniczek; promowała uwzględniające aspekt płci i zorientowane na ofiary szkolenia dla urzędników mających kontakt z ofiarami, zgodnie z ich funkcjami, w tym funkcjonariuszy policji, prokuratorów i sędziów, aby zapobiegać wtórnej </w:t>
      </w:r>
      <w:proofErr w:type="spellStart"/>
      <w:r w:rsidRPr="00A55E8B">
        <w:t>wiktymizacji</w:t>
      </w:r>
      <w:proofErr w:type="spellEnd"/>
      <w:r w:rsidRPr="00A55E8B">
        <w:t>, przeciwdziałać stereotypom płci i uprzedzeniom ze względu na płeć oraz zapewnić ofiarom traktowanie z szacunkiem, w sposób uwzględniający przebyte traumy i niedyskryminacyjny;</w:t>
      </w:r>
    </w:p>
    <w:p w14:paraId="7C953DE0" w14:textId="18B0552A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j)</w:t>
      </w:r>
      <w:r w:rsidRPr="00A55E8B">
        <w:tab/>
        <w:t>zaznaczyła, że kobietom i dziewczętom należy zapewnić przystępne, kompleksowe i spójne informacje na temat ich praw, a także wsparcie i ochronę na każdym etapie postępowania sądowego, w szczególności w sprawach dotyczących przemocy wobec kobiet lub przemocy domowej, w tym przez inicjatywy podnoszące świadomość; podkreśliła potrzebę wspierania oddolnych programów na rzecz prawnego wzmocnienia pozycji kobiet i dziewcząt, które pomagają im zrozumieć ich prawa i z nich korzystać, a także zachęcała do ustanawiania zarówno ogólnych, jak i specjalistycznych służb udzielających wsparcia ofiarom przestępstw oraz zapewniała ich skuteczną koordynację i metody kierowania ofiar do właściwych podmiotów; podkreśliła istotną rolę, jaką służby te odgrywają w informowaniu ofiar o ich prawach oraz ułatwianiu im dostępu do wymiaru sprawiedliwości; zadbała o to, aby informacje udzielane ofiarom były łatwo dostępne i przedstawione prostym językiem; propagowała istnienie telefonów zaufania dla ofiar i korzystanie z tych usług oraz zapewniała ich dostępność za pośrednictwem różnych kanałów, w tym telefonu oraz technologii informacyjno-komunikacyjnych; uznała, że ograniczony dostęp do technologii informacyjno-komunikacyjnych w wielu krajach na świecie utrudnia pełne wykorzystanie potencjału kobiet i dziewcząt;</w:t>
      </w:r>
    </w:p>
    <w:p w14:paraId="0473A839" w14:textId="13219C15" w:rsidR="00611B61" w:rsidRPr="00A55E8B" w:rsidRDefault="00611B61" w:rsidP="00BA6EDA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A55E8B">
        <w:t>k)</w:t>
      </w:r>
      <w:r w:rsidRPr="00A55E8B">
        <w:tab/>
        <w:t>zobowiązała się do zapewnienia ofiarom dostępu do pomocy prawnej od samego początku postępowania cywilnego lub karnego oraz do promowania tego podejścia na całym świecie, wraz z partnerami międzynarodowymi; wezwała do uwzględnienia perspektywy płci we wszystkich strategiach politycznych, przepisach, procedurach, programach i praktykach w celu wyeliminowania konkretnych barier napotykanych przez kobiety i dziewczęta, obejmujących ograniczoną wiedzę o prawach, postawy dyskryminacyjne i stereotypy płci w systemach wymiaru sprawiedliwości oraz niewystarczającą dostępność specjalistycznych usług, zwłaszcza na obszarach wiejskich i w regionach oddalonych; promowała praktykę oceniania prawa kobiet i dziewcząt do pomocy prawnej wyłącznie na podstawie ich własnych środków finansowych, niezależnie od dochodów ich męża, partnera lub rodziny, co ma szczególne znaczenie w przypadkach przemocy ze względu na płeć; podkreśliła, jak ważne są dane w podziale ze względu na płeć dotyczące dostępu do wymiaru sprawiedliwości, rozstrzygnięć spraw, korzystania z pomocy prawnej oraz napotykanych barier, aby wspierać kształtowanie polityki opartej na dowodach;</w:t>
      </w:r>
    </w:p>
    <w:p w14:paraId="64095145" w14:textId="5BC26FA9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l)</w:t>
      </w:r>
      <w:r w:rsidRPr="00A55E8B">
        <w:tab/>
        <w:t xml:space="preserve">wspierała przywództwo kobiet, równy udział i większą reprezentację kobiet w sądownictwie i jego organach zarządzających oraz podejmowała aktywne działania na rzecz promowania szerokiego dostępu kobiet z mniejszości i grup zmarginalizowanych do zawodów prawniczych w celu przezwyciężenia barier </w:t>
      </w:r>
      <w:r w:rsidRPr="00A55E8B">
        <w:lastRenderedPageBreak/>
        <w:t>strukturalnych w systemie wymiaru sprawiedliwości oraz wsparcia sprawiedliwego i reprezentatywnego sądownictwa, a tym samym zapewnienia równych szans;</w:t>
      </w:r>
    </w:p>
    <w:p w14:paraId="547FB79B" w14:textId="4D428B53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m)</w:t>
      </w:r>
      <w:r w:rsidRPr="00A55E8B">
        <w:tab/>
        <w:t>promowała i wspierała konkretne działania i środki mające na celu zapewnienie udziału i przywództwa kobiet w podejmowaniu decyzji w życiu publicznym, w tym w obszarach polityki zagranicznej, obronności i bezpieczeństwa oraz zapobiegania konfliktom i kryzysom, zarządzania nimi i ich rozwiązywania; zwróciła uwagę, że należy opracować wspólną metodykę monitorowania w celu gromadzenia danych na temat udziału kobiet w tych sektorach;</w:t>
      </w:r>
    </w:p>
    <w:p w14:paraId="42B39298" w14:textId="0CE7BC55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n)</w:t>
      </w:r>
      <w:r w:rsidRPr="00A55E8B">
        <w:tab/>
        <w:t>aktywnie wspierała i promowała wydane w 2024 r. przez Komitet ONZ ds. Likwidacji Dyskryminacji Kobiet (CEDAW) zalecenie ogólne nr 40 w sprawie równej i sprzyjającej włączeniu społecznemu reprezentacji kobiet w systemach decyzyjnych, zdefiniowanej jako parytet 50:50 kobiet i mężczyzn w całej ich różnorodności pod względem równego dostępu do systemów decyzyjnych i równych uprawnień w ramach tych systemów;</w:t>
      </w:r>
    </w:p>
    <w:p w14:paraId="7E0BB086" w14:textId="3130BFCD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o)</w:t>
      </w:r>
      <w:r w:rsidRPr="00A55E8B">
        <w:tab/>
        <w:t>zachęcała do znaczącego udziału kobiet na wszystkich szczeblach decyzyjnych w polityce zagranicznej oraz polityce obrony i bezpieczeństwa, a także w rozwiązywaniu konfliktów, zarówno w UE, jak i na całym świecie;</w:t>
      </w:r>
    </w:p>
    <w:p w14:paraId="218006AF" w14:textId="363AFAC8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p)</w:t>
      </w:r>
      <w:r w:rsidRPr="00A55E8B">
        <w:tab/>
        <w:t xml:space="preserve">podjęła działania w celu pilnego i pełnego wdrożenia istniejących zobowiązań w zakresie równości płci i wzmocnienia pozycji kobiet, przy zapewnieniu kobietom ochrony równych praw człowieka i podstawowych wolności bez dyskryminacji, w tym poprzez silne instytucje publiczne i strategie polityczne gwarantujące równe szanse, aby zwiększyć ich skuteczny i pełny udział w życiu publicznym, ułatwiając tym samym ich zaangażowanie w procesy decyzyjne; potępiła mowę nienawiści w </w:t>
      </w:r>
      <w:proofErr w:type="spellStart"/>
      <w:r w:rsidRPr="00A55E8B">
        <w:t>internecie</w:t>
      </w:r>
      <w:proofErr w:type="spellEnd"/>
      <w:r w:rsidRPr="00A55E8B">
        <w:t xml:space="preserve"> wymierzoną wobec kobiet i jej wpływ na ich udział w życiu publicznym oraz wspierała programy na rzecz umiejętności korzystania z mediów i bezpieczeństwa cyfrowego dla kobiet i dziewcząt;</w:t>
      </w:r>
    </w:p>
    <w:p w14:paraId="478D20BF" w14:textId="0FB3A64C" w:rsidR="00611B61" w:rsidRPr="00A55E8B" w:rsidRDefault="00611B61" w:rsidP="00BA6EDA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A55E8B">
        <w:t>q)</w:t>
      </w:r>
      <w:r w:rsidRPr="00A55E8B">
        <w:tab/>
        <w:t>podkreśliła, że wzmacnianie pozycji kobiet i organizacji działających na rzecz praw kobiet oraz wspieranie udziału kobiet w kształtowaniu polityki zewnętrznej i podejmowaniu decyzji związanych z konfliktami sprzyja lepszym efektom dla społeczności, zapewnia dostęp do wymiaru sprawiedliwości oraz przyczynia się do trwalszego pokoju; zdecydowanie potępiła niedawne cięcia finansowania organizacji działających na rzecz kobiet i praw kobiet oraz organizacji społeczeństwa obywatelskiego, które zwalczają przemoc ze względu na płeć oraz wspierają dostęp kobiet do wymiaru sprawiedliwości; zapewniła ponadto stabilne finansowanie i ochronę prawną organizacjom feministycznym i LGBTIQ+, w szczególności grupom oddolnym, które są atakowane w związku z kurczeniem się przestrzeni społeczeństwa obywatelskiego i restrykcyjnymi przepisami wymierzonymi w organizacje pozarządowe;</w:t>
      </w:r>
    </w:p>
    <w:p w14:paraId="0C2E0992" w14:textId="79FF6AB4" w:rsidR="00611B61" w:rsidRPr="00A55E8B" w:rsidRDefault="00611B61" w:rsidP="00BA6EDA">
      <w:pPr>
        <w:pStyle w:val="NormalHanging12a"/>
        <w:ind w:left="1134"/>
      </w:pPr>
      <w:r w:rsidRPr="00A55E8B">
        <w:t>r)</w:t>
      </w:r>
      <w:r w:rsidRPr="00A55E8B">
        <w:tab/>
        <w:t xml:space="preserve">broniła mandatu Komisji ONZ ds. Statusu Kobiet w świetle wysiłków Stanów Zjednoczonych i krajów sojuszniczych na rzecz osłabienia uzgodnionych priorytetów w zakresie równouprawnienia płci oraz wyraziła zaniepokojenie, że taka presja polityczna, w połączeniu z cięciami środków finansowych na programy na rzecz równouprawnienia płci, grozi osłabieniem skuteczności i wiarygodności Komisji ds. Statusu Kobiet; zwiększyła finansowanie pomocy </w:t>
      </w:r>
      <w:r w:rsidRPr="00A55E8B">
        <w:lastRenderedPageBreak/>
        <w:t xml:space="preserve">rozwojowej w celu zrekompensowania luki powstałej po ograniczeniu wsparcia ze strony Agencji Stanów Zjednoczonych ds. Rozwoju Międzynarodowego; ponownie wyraziła pełne wsparcie dla prac Jednostki ONZ ds. Równości Płci i Uwłasnowolnienia Kobiet (UN </w:t>
      </w:r>
      <w:proofErr w:type="spellStart"/>
      <w:r w:rsidRPr="00A55E8B">
        <w:t>Women</w:t>
      </w:r>
      <w:proofErr w:type="spellEnd"/>
      <w:r w:rsidRPr="00A55E8B">
        <w:t xml:space="preserve">), która w systemie ONZ jest głównym podmiotem wspierającym prawa kobiet w całej ich różnorodności i skupiającym wszystkie odpowiednie zainteresowane strony, by inicjować zmiany polityki i koordynować działania; wezwała wszystkie państwa członkowskie ONZ oraz UE, by zapewniły odpowiednie finansowanie UN </w:t>
      </w:r>
      <w:proofErr w:type="spellStart"/>
      <w:r w:rsidRPr="00A55E8B">
        <w:t>Women</w:t>
      </w:r>
      <w:proofErr w:type="spellEnd"/>
      <w:r w:rsidRPr="00A55E8B">
        <w:t>; zobowiązała się do odpowiedniego finansowania na rzecz równouprawnienia płci i praw kobiet, w tym zdrowia i praw seksualnych i reprodukcyjnych;</w:t>
      </w:r>
    </w:p>
    <w:p w14:paraId="5D31D2C5" w14:textId="0B6D979E" w:rsidR="00611B61" w:rsidRPr="00A55E8B" w:rsidRDefault="00611B61" w:rsidP="00BA6EDA">
      <w:pPr>
        <w:pStyle w:val="NormalHanging12a"/>
        <w:ind w:left="1134"/>
      </w:pPr>
      <w:r w:rsidRPr="00A55E8B">
        <w:t>s)</w:t>
      </w:r>
      <w:r w:rsidRPr="00A55E8B">
        <w:tab/>
        <w:t>uwzględniała aspekt płci i sporządzała budżet z uwzględnieniem aspektu płci we wszystkich obszarach polityki UE, w tym w działaniach zewnętrznych; zaznaczyła, że państwa powinny przeznaczać odpowiednie, wystarczające i przewidywalne środki finansowe na pomoc prawną i usługi wsparcia uwzględniające aspekt płci – zwłaszcza dla osób, które doświadczyły przemocy ze względu na płeć – oraz na wystarczający dostęp do rekompensat, gdyż obecne bariery nieproporcjonalnie wpływają na dostęp kobiet do wymiaru sprawiedliwości; podkreśliła, że należy zająć się kwestią praktycznych, regionalnych i związanych z dostępnością barier, które utrudniają kobietom i wrażliwym grupom społecznym dostęp do wymiaru sprawiedliwości, w szczególności na obszarach wiejskich, a także w regionach oddalonych i znajdujących się w niekorzystnej sytuacji gospodarczej; zwróciła uwagę na szczególne wyzwania, z jakimi mierzą się kobiety z niepełnosprawnościami, starsze kobiety i osoby samotnie wychowujące dzieci, w tym przeszkody w dostępności fizycznej i brak dostosowanych usług wsparcia; uznała, że pomoc prawna jest często chronicznie niedofinansowana lub niedoceniana, co tworzy kolejną barierę dla kobiet w sytuacjach kryzysowych starających się o dostęp do wymiaru sprawiedliwości, która to bariera w nieproporcjonalny sposób dotyka kobiety znajdujące się w gorszej sytuacji społeczno-ekonomicznej oraz kobiety znajdujące się w najtrudniejszej sytuacji, pod względem dostępu do wymiaru sprawiedliwości w przypadku naruszenia ich praw;</w:t>
      </w:r>
    </w:p>
    <w:p w14:paraId="5B6FBA43" w14:textId="0FA3C41C" w:rsidR="00611B61" w:rsidRPr="00A55E8B" w:rsidRDefault="00611B61" w:rsidP="00BA6EDA">
      <w:pPr>
        <w:pStyle w:val="NormalHanging12a"/>
        <w:ind w:left="1134"/>
        <w:rPr>
          <w:rFonts w:eastAsiaTheme="minorHAnsi"/>
          <w:szCs w:val="24"/>
        </w:rPr>
      </w:pPr>
      <w:r w:rsidRPr="00A55E8B">
        <w:t>t)</w:t>
      </w:r>
      <w:r w:rsidRPr="00A55E8B">
        <w:tab/>
        <w:t xml:space="preserve">potwierdziła zobowiązanie UE do zwalczania i eliminowania bezkarności za przemoc ze względu na płeć, w tym przemoc seksualną; opowiadała się za wyeliminowaniem bezkarności w przypadku wszystkich form przemocy ze względu na płeć, w tym przemocy domowej, przemocy seksualnej, handlu ludźmi oraz szkodliwych praktyk; przyspieszyła realizację zobowiązań międzynarodowych do dalszego zapobiegania wszelkim formom przemocy wobec kobiet i dziewcząt zarówno w sferze publicznej, jak i prywatnej, w tym gwałtom, okaleczaniu żeńskich narządów płciowych, przymusowym małżeństwom, tzw. praktykom konwersyjnym, udostępnianiu materiałów o charakterze intymnym lub materiałów zmanipulowanych bez zgody przedstawionych w nich osób, treściom typu </w:t>
      </w:r>
      <w:proofErr w:type="spellStart"/>
      <w:r w:rsidRPr="00A55E8B">
        <w:t>deepfake</w:t>
      </w:r>
      <w:proofErr w:type="spellEnd"/>
      <w:r w:rsidRPr="00A55E8B">
        <w:t xml:space="preserve"> i treściom generowanym przez sztuczną inteligencję, internetowemu stalkingowi, nękaniu w </w:t>
      </w:r>
      <w:proofErr w:type="spellStart"/>
      <w:r w:rsidRPr="00A55E8B">
        <w:t>internecie</w:t>
      </w:r>
      <w:proofErr w:type="spellEnd"/>
      <w:r w:rsidRPr="00A55E8B">
        <w:t xml:space="preserve">, </w:t>
      </w:r>
      <w:proofErr w:type="spellStart"/>
      <w:r w:rsidRPr="00A55E8B">
        <w:t>cyberekshibicjonizmowi</w:t>
      </w:r>
      <w:proofErr w:type="spellEnd"/>
      <w:r w:rsidRPr="00A55E8B">
        <w:t xml:space="preserve">, nawoływaniu w </w:t>
      </w:r>
      <w:proofErr w:type="spellStart"/>
      <w:r w:rsidRPr="00A55E8B">
        <w:t>internecie</w:t>
      </w:r>
      <w:proofErr w:type="spellEnd"/>
      <w:r w:rsidRPr="00A55E8B">
        <w:t xml:space="preserve"> do przemocy lub nienawiści, mowie nienawiści oraz przestępstwom z nienawiści, oraz do reagowania na nie; podkreśliła, jak ważne jest przeciwdziałanie zagrożeniu stwarzanemu przez technologię opartą na sztucznej inteligencji, i opowiedziała się na szczeblu unijnym i międzynarodowym za bardziej zdecydowanymi działaniami przeciwko przemocy w </w:t>
      </w:r>
      <w:proofErr w:type="spellStart"/>
      <w:r w:rsidRPr="00A55E8B">
        <w:t>internecie</w:t>
      </w:r>
      <w:proofErr w:type="spellEnd"/>
      <w:r w:rsidRPr="00A55E8B">
        <w:t xml:space="preserve">, które to obie kwestie w nieproporcjonalny sposób dotykają kobiety i </w:t>
      </w:r>
      <w:r w:rsidRPr="00A55E8B">
        <w:lastRenderedPageBreak/>
        <w:t>utrudniają im pełny udział w życiu publicznym; wezwała bardzo duże platformy internetowe i bardzo duże wyszukiwarki internetowe, aby pozwoliły na publiczną kontrolę ich corocznych ocen ryzyka i środków ograniczających ryzyko związanych z przemocą ze względu na płeć, tak aby umożliwić prowadzenie lepszych badań i opracowanie lepszych rozwiązań;</w:t>
      </w:r>
    </w:p>
    <w:p w14:paraId="68498F5A" w14:textId="18A7323A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u)</w:t>
      </w:r>
      <w:r w:rsidRPr="00A55E8B">
        <w:tab/>
        <w:t xml:space="preserve">podkreśliła, że brak dostępu do zdrowia i praw reprodukcyjnych i seksualnych, w tym do bezpiecznej i legalnej aborcji, lub odmowa takiego dostępu stanowi formę przemocy ze względu na płeć oraz naruszenie praw człowieka i praw podstawowych; wezwała do podjęcia wysiłków na rzecz zapewnienia szerokiego i sprawiedliwego dostępu do zdrowia i praw reprodukcyjnych i seksualnych na całym świecie oraz potwierdziła, że dostęp do bezpiecznej i legalnej aborcji jest podstawowym elementem zdrowia i praw reprodukcyjnych i seksualnych kobiet oraz ma zasadnicze znaczenie dla ich autonomii cielesnej; domagała się bezpiecznego dostępu do aborcji, antykoncepcji i opieki okołoporodowej dla wszystkich, w szczególności antykoncepcji awaryjnej, badań w kierunku zakażeń przenoszonych drogą płciową i profilaktyki </w:t>
      </w:r>
      <w:proofErr w:type="spellStart"/>
      <w:r w:rsidRPr="00A55E8B">
        <w:t>poekspozycyjnej</w:t>
      </w:r>
      <w:proofErr w:type="spellEnd"/>
      <w:r w:rsidRPr="00A55E8B">
        <w:t>; zapewniała młodym kobietom i osobom LGBTIQ+ dostęp do usług w zakresie zdrowia psychicznego uwzględniających aspekt płci, uznając zdrowie psychiczne za kluczowy element uczestnictwa i równości;</w:t>
      </w:r>
    </w:p>
    <w:p w14:paraId="690D68ED" w14:textId="77777777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v)</w:t>
      </w:r>
      <w:r w:rsidRPr="00A55E8B">
        <w:tab/>
        <w:t>zapewniła, aby w ramach polityki zewnętrznej UE aktywnie promowano dostęp do zdrowia i praw reprodukcyjnych i seksualnych jako element realizacji celów zrównoważonego rozwoju;</w:t>
      </w:r>
    </w:p>
    <w:p w14:paraId="427F4841" w14:textId="613E9C8E" w:rsidR="00611B61" w:rsidRPr="00A55E8B" w:rsidRDefault="00611B61" w:rsidP="00BA6EDA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A55E8B">
        <w:t>w)</w:t>
      </w:r>
      <w:r w:rsidRPr="00A55E8B">
        <w:tab/>
        <w:t>powtórzyła, że gwałt pozostaje jednym z najpowszechniejszych naruszeń praw człowieka na świecie; zwróciła uwagę na znaczenie przyjęcia przepisów uwzględniających brak zgody pośród znamion definicji gwałtu jako zasadniczego elementu kompleksowego podejścia do zwalczania przemocy seksualnej wobec kobiet i dziewcząt; opowiadała się za definicją gwałtu opartą na braku zgody jako uniwersalnego standardu na całym świecie, mającą na celu wzmocnienie ochrony prawnej i zapewnienie, aby przemoc seksualna była definiowana przez brak zgody, a nie jedynie przez użycie przemocy, przymusu lub groźby; promowała koncepcję, zgodnie z którą milczenie lub brak oporu ze strony ofiary nie oznacza zgody; podkreśliła, że ani wcześniejsza zgoda, ani istniejący związek nie oznaczają bieżącej ani przyszłej zgody na jakiekolwiek czynności seksualne; wezwała w związku z tym wszystkie państwa do wprowadzenia opartej na braku zgody definicji gwałtu oraz do zagwarantowania ofiarom dostępu do wymiaru sprawiedliwości;</w:t>
      </w:r>
    </w:p>
    <w:p w14:paraId="2803BEA1" w14:textId="0D8490E5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x)</w:t>
      </w:r>
      <w:r w:rsidRPr="00A55E8B">
        <w:tab/>
        <w:t>surowo potępiła stosowanie gwałtu i innych form przemocy seksualnej jako narzędzia wojny, a także przypomniała, że takie czyny stanowi</w:t>
      </w:r>
      <w:r w:rsidR="000551AF">
        <w:t>ą</w:t>
      </w:r>
      <w:r w:rsidRPr="00A55E8B">
        <w:t xml:space="preserve"> zbrodnie wojenne lub zbrodnie przeciwko ludzkości w świetle prawa międzynarodowego; podejmowała aktywne działania w celu zapewnienia ścigania tego rodzaju przestępstw i pociągania sprawców do odpowiedzialności na szczeblu międzynarodowym, w tym przez stosowanie globalnego systemu sankcji UE za naruszenia praw człowieka; zwiększyła wsparcie dla międzynarodowych działań mających na celu dokumentowanie tych przestępstw w trwających konfliktach oraz dla środków zapobiegawczych; wezwała ponadto do aktywnego wspierania wszystkich inicjatyw mających na celu pociągnięcie sprawców do odpowiedzialności i zapewnienie ofiarom gwałtu używanego jako narzędzie </w:t>
      </w:r>
      <w:r w:rsidRPr="00A55E8B">
        <w:lastRenderedPageBreak/>
        <w:t>wojny dostępu do wymiaru sprawiedliwości, przy uznaniu, że zgodnie z rezolucją Rady Bezpieczeństwa ONZ nr 1820 (2008) gwałt i inne formy przemocy seksualnej stanowi</w:t>
      </w:r>
      <w:r w:rsidR="000551AF">
        <w:t>ą</w:t>
      </w:r>
      <w:r w:rsidRPr="00A55E8B">
        <w:t xml:space="preserve"> zbrodnie wojenne, zbrodnie przeciwko ludzkości lub czyny przyczyniające się do ludobójstwa; promowała ścisłą współpracę </w:t>
      </w:r>
      <w:proofErr w:type="spellStart"/>
      <w:r w:rsidRPr="00A55E8B">
        <w:t>Eurojustu</w:t>
      </w:r>
      <w:proofErr w:type="spellEnd"/>
      <w:r w:rsidRPr="00A55E8B">
        <w:t xml:space="preserve"> z Międzynarodowym Trybunałem Karnym (MTK) w zakresie dokumentowania przypadków gwałtów, nadużyć oraz innych form przemocy seksualnej podczas wojny w Ukrainie oraz wezwała UE, </w:t>
      </w:r>
      <w:proofErr w:type="spellStart"/>
      <w:r w:rsidRPr="00A55E8B">
        <w:t>Eurojust</w:t>
      </w:r>
      <w:proofErr w:type="spellEnd"/>
      <w:r w:rsidRPr="00A55E8B">
        <w:t xml:space="preserve"> i MTK do dalszego wzmacniania skoordynowanych, opartych na wiedzy o traumatycznych przeżyciach i zorientowanych na ofiary działań w zakresie tworzenia dokumentacji oraz do stworzenia globalnych ram współpracy w innych strefach konfliktu, aby zapewnić identyfikację i ochronę ofiar oraz zagwarantować im dostęp do wymiaru sprawiedliwości;</w:t>
      </w:r>
    </w:p>
    <w:p w14:paraId="32B4F83C" w14:textId="3A08EA59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y)</w:t>
      </w:r>
      <w:r w:rsidRPr="00A55E8B">
        <w:tab/>
        <w:t>podkreśliła, że należy w pełni uznać kobiety transpłciowe za kobiety, i zauważyła, że ich włączenie jest niezbędne dla skuteczności wszelkich strategii politycznych na rzecz równouprawnienia płci i przeciwdziałania przemocy; zaapelowała o uznanie kobiet transpłciowych i zapewnienie im równego dostępu do usług ochrony i wsparcia;</w:t>
      </w:r>
    </w:p>
    <w:p w14:paraId="63A3F627" w14:textId="03132E5B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z)</w:t>
      </w:r>
      <w:r w:rsidRPr="00A55E8B">
        <w:tab/>
        <w:t>wezwała wszystkie państwa, które jeszcze nie ratyfikowały konwencji stambulskiej, do uczynienia tego oraz do promowania globalnego przyjęcia zawartych w tej konwencji kompleksowych standardów zwalczania przemocy wobec kobiet i przemocy domowej;</w:t>
      </w:r>
    </w:p>
    <w:p w14:paraId="242726A3" w14:textId="721BA448" w:rsidR="00611B61" w:rsidRPr="00A55E8B" w:rsidRDefault="00611B61" w:rsidP="00BA6EDA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A55E8B">
        <w:t>aa)</w:t>
      </w:r>
      <w:r w:rsidRPr="00A55E8B">
        <w:tab/>
        <w:t xml:space="preserve">wezwała rządy i organy międzynarodowe do zajęcia się konkretnymi zagrożeniami, na jakie narażone są kobiety i </w:t>
      </w:r>
      <w:proofErr w:type="spellStart"/>
      <w:r w:rsidRPr="00A55E8B">
        <w:t>dziewczętaprzed</w:t>
      </w:r>
      <w:proofErr w:type="spellEnd"/>
      <w:r w:rsidRPr="00A55E8B">
        <w:t xml:space="preserve"> przemocą w ośrodkach recepcyjnych oraz poprawy procedur oceny wieku; </w:t>
      </w:r>
    </w:p>
    <w:p w14:paraId="0D020758" w14:textId="3EBE5500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ab)</w:t>
      </w:r>
      <w:r w:rsidRPr="00A55E8B">
        <w:tab/>
        <w:t xml:space="preserve">opowiadała się za prawem dziewcząt do sprzyjającej włączeniu społecznemu, sprawiedliwej i wysokiej jakości edukacji jako kluczowego czynnika wzmacniającego ich pozycję i sprzyjającego osiągnięciu równości płci, wyposażającego je w wiedzę, umiejętności, możliwości i zdolności, które mają zasadnicze znaczenie dla ich całego życia i które pozwolą im dochodzić swoich praw, uzyskiwać dostęp do wymiaru sprawiedliwości, w pełni uczestniczyć w życiu publicznym oraz przeciwdziałać przemocy ze względu na płeć; zwróciła uwagę, jak istotne jest promowanie wzmocnienia pozycji kobiet poprzez sprzyjające włączeniu społecznemu, sprawiedliwe i wysokiej jakości kształcenie, szkolenia i uczenie się przez całe życie, które mają kluczowe znaczenie dla eliminowania stereotypów, postaw i uprzedzeń związanych z płcią we wszystkich ich wymiarach oraz dla zwalczania utrzymujących się nierówności; przypomniała, że należy zapobiegać przemocy ze względu na płeć poprzez odpowiednie kampanie i inne działania, w tym poprzez zwiększanie umiejętności korzystania z mediów cyfrowych, a także poprzez odpowiednią, ukierunkowaną edukację na temat dostosowanych do wieku, kompleksowych związków i seksualności, tak aby zwiększyć wiedzę na temat integralności cielesnej; podkreśliła potrzebę głębszego zrozumienia ruchów przeciwnych prawom i </w:t>
      </w:r>
      <w:proofErr w:type="spellStart"/>
      <w:r w:rsidRPr="00A55E8B">
        <w:t>antygenderowych</w:t>
      </w:r>
      <w:proofErr w:type="spellEnd"/>
      <w:r w:rsidRPr="00A55E8B">
        <w:t xml:space="preserve">, w tym dezinformacji w kwestiach równouprawnienia płci, zjawiska </w:t>
      </w:r>
      <w:proofErr w:type="spellStart"/>
      <w:r w:rsidRPr="00A55E8B">
        <w:t>incelizmu</w:t>
      </w:r>
      <w:proofErr w:type="spellEnd"/>
      <w:r w:rsidRPr="00A55E8B">
        <w:t xml:space="preserve"> i mizoginii, a w szczególności ich przejawów w </w:t>
      </w:r>
      <w:proofErr w:type="spellStart"/>
      <w:r w:rsidRPr="00A55E8B">
        <w:t>internecie</w:t>
      </w:r>
      <w:proofErr w:type="spellEnd"/>
      <w:r w:rsidRPr="00A55E8B">
        <w:t xml:space="preserve"> znanych jako </w:t>
      </w:r>
      <w:proofErr w:type="spellStart"/>
      <w:r w:rsidRPr="00A55E8B">
        <w:t>manosfera</w:t>
      </w:r>
      <w:proofErr w:type="spellEnd"/>
      <w:r w:rsidRPr="00A55E8B">
        <w:t>; opowiadała się za bardziej aktywną polityką przeciwdziałania tym zjawiskom i ich narracji;</w:t>
      </w:r>
    </w:p>
    <w:p w14:paraId="21E0836D" w14:textId="26CFB320" w:rsidR="00611B61" w:rsidRPr="00A55E8B" w:rsidRDefault="00611B61" w:rsidP="00BA6EDA">
      <w:pPr>
        <w:pStyle w:val="NormalHanging12a"/>
        <w:ind w:left="1134"/>
      </w:pPr>
      <w:proofErr w:type="spellStart"/>
      <w:r w:rsidRPr="00A55E8B">
        <w:lastRenderedPageBreak/>
        <w:t>ac</w:t>
      </w:r>
      <w:proofErr w:type="spellEnd"/>
      <w:r w:rsidRPr="00A55E8B">
        <w:t>)</w:t>
      </w:r>
      <w:r w:rsidRPr="00A55E8B">
        <w:tab/>
        <w:t xml:space="preserve">zaznaczyła, że wojna i konflikt mają nieproporcjonalnie silny i niszczycielski wpływ na kobiety, oraz opowiedziała się za pokojem i </w:t>
      </w:r>
      <w:proofErr w:type="spellStart"/>
      <w:r w:rsidRPr="00A55E8B">
        <w:t>inkluzywnymi</w:t>
      </w:r>
      <w:proofErr w:type="spellEnd"/>
      <w:r w:rsidRPr="00A55E8B">
        <w:t xml:space="preserve"> negocjacjami na całym świecie jako podstawowymi sposobami zakończenia konfliktu i przemocy, z jaką mierzą się kobiety i dziewczęta w tych okolicznościach; uznała niezwykłą pracę wykonywaną przez kobiety pracujące w misjach pokojowych ONZ w strefach konfliktu; zaznaczyła, że prawa kobiet i równouprawnienie płci są konieczne z punktu widzenia praworządności oraz odpornych i </w:t>
      </w:r>
      <w:proofErr w:type="spellStart"/>
      <w:r w:rsidRPr="00A55E8B">
        <w:t>inkluzywnych</w:t>
      </w:r>
      <w:proofErr w:type="spellEnd"/>
      <w:r w:rsidRPr="00A55E8B">
        <w:t xml:space="preserve"> demokracji; podkreśliła z zaniepokojeniem, że miliony kobiet i dziewcząt, zwłaszcza w sytuacji konfliktów i przesiedleń, nadal doświadczają dyskryminacji i przemocy oraz pozbawia się ich godności i sprawczości;</w:t>
      </w:r>
    </w:p>
    <w:p w14:paraId="3D1EB8E0" w14:textId="27C1B238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ad)</w:t>
      </w:r>
      <w:r w:rsidRPr="00A55E8B">
        <w:tab/>
        <w:t xml:space="preserve">zobowiązała UE do prowadzenia polityki zagranicznej, rozwojowej i bezpieczeństwa, która będzie </w:t>
      </w:r>
      <w:proofErr w:type="spellStart"/>
      <w:r w:rsidRPr="00A55E8B">
        <w:t>inkluzywna</w:t>
      </w:r>
      <w:proofErr w:type="spellEnd"/>
      <w:r w:rsidRPr="00A55E8B">
        <w:t xml:space="preserve"> i </w:t>
      </w:r>
      <w:proofErr w:type="spellStart"/>
      <w:r w:rsidRPr="00A55E8B">
        <w:t>intersekcjonalna</w:t>
      </w:r>
      <w:proofErr w:type="spellEnd"/>
      <w:r w:rsidRPr="00A55E8B">
        <w:t>, oraz do priorytetowego traktowania potrzeb obrońców praw człowieka przysługujących kobietom i osobom LGBTIQ+;</w:t>
      </w:r>
    </w:p>
    <w:p w14:paraId="5EA73FC4" w14:textId="66F35FF1" w:rsidR="00611B61" w:rsidRPr="00A55E8B" w:rsidRDefault="00611B61" w:rsidP="00BA6EDA">
      <w:pPr>
        <w:pStyle w:val="NormalHanging12a"/>
        <w:ind w:left="1134"/>
        <w:rPr>
          <w:bCs/>
          <w:iCs/>
        </w:rPr>
      </w:pPr>
      <w:r w:rsidRPr="00A55E8B">
        <w:t>ae)</w:t>
      </w:r>
      <w:r w:rsidRPr="00A55E8B">
        <w:tab/>
        <w:t xml:space="preserve">podkreśliła, że </w:t>
      </w:r>
      <w:proofErr w:type="spellStart"/>
      <w:r w:rsidRPr="00A55E8B">
        <w:t>kobietobójstwo</w:t>
      </w:r>
      <w:proofErr w:type="spellEnd"/>
      <w:r w:rsidRPr="00A55E8B">
        <w:t xml:space="preserve">, definiowane jako zabójstwo kobiet i dziewcząt ze względu na płeć, jest jedną z najbardziej skrajnych form przemocy ze względu na płeć i stanowi poważne naruszenie powszechnych praw podstawowych; zdecydowanie potępiła brak ujednoliconej definicji tego przestępstwa oraz utrzymujące się niespójności w gromadzeniu danych i zgłaszaniu tego przestępstwa, co poważnie utrudnia skuteczne zapobieganie i kształtowanie polityki opartej na dowodach; wezwała do uznania tego przestępstwa na całym świecie i do podjęcia działań o charakterze globalnym na rzecz wyeliminowania </w:t>
      </w:r>
      <w:proofErr w:type="spellStart"/>
      <w:r w:rsidRPr="00A55E8B">
        <w:t>kobietobójstwa</w:t>
      </w:r>
      <w:proofErr w:type="spellEnd"/>
      <w:r w:rsidRPr="00A55E8B">
        <w:t>;</w:t>
      </w:r>
    </w:p>
    <w:p w14:paraId="51462C9A" w14:textId="51AB6066" w:rsidR="00A55E8B" w:rsidRPr="00A55E8B" w:rsidRDefault="00611B61" w:rsidP="00A55E8B">
      <w:pPr>
        <w:pStyle w:val="NormalHanging12a"/>
      </w:pPr>
      <w:r w:rsidRPr="00A55E8B">
        <w:t>2.</w:t>
      </w:r>
      <w:r w:rsidRPr="00A55E8B">
        <w:tab/>
        <w:t xml:space="preserve">zobowiązuje swoją przewodniczącą do przekazania niniejszego zalecenia Radzie, Komisji i wiceprzewodniczącej Komisji / wysokiej przedstawicielce Unii do spraw zagranicznych i polityki bezpieczeństwa </w:t>
      </w:r>
      <w:proofErr w:type="gramStart"/>
      <w:r w:rsidRPr="00A55E8B">
        <w:t>oraz,</w:t>
      </w:r>
      <w:proofErr w:type="gramEnd"/>
      <w:r w:rsidRPr="00A55E8B">
        <w:t xml:space="preserve"> tytułem informacji, specjalnemu przedstawicielowi UE ds. praw człowieka.</w:t>
      </w:r>
    </w:p>
    <w:p w14:paraId="13A97970" w14:textId="596BF22D" w:rsidR="00E365E1" w:rsidRPr="00A55E8B" w:rsidRDefault="00E365E1" w:rsidP="005F775A"/>
    <w:sectPr w:rsidR="00E365E1" w:rsidRPr="00A55E8B" w:rsidSect="00A55E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B87D4" w14:textId="77777777" w:rsidR="005F775A" w:rsidRPr="00A55E8B" w:rsidRDefault="005F775A">
      <w:r w:rsidRPr="00A55E8B">
        <w:separator/>
      </w:r>
    </w:p>
  </w:endnote>
  <w:endnote w:type="continuationSeparator" w:id="0">
    <w:p w14:paraId="2286A4AF" w14:textId="77777777" w:rsidR="005F775A" w:rsidRPr="00A55E8B" w:rsidRDefault="005F775A">
      <w:r w:rsidRPr="00A55E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A9C19" w14:textId="77777777" w:rsidR="00064002" w:rsidRPr="00A55E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3ADAE" w14:textId="77777777" w:rsidR="00064002" w:rsidRPr="00A55E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883CF" w14:textId="77777777" w:rsidR="00064002" w:rsidRPr="00A55E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A644" w14:textId="77777777" w:rsidR="005F775A" w:rsidRPr="00A55E8B" w:rsidRDefault="005F775A">
      <w:r w:rsidRPr="00A55E8B">
        <w:separator/>
      </w:r>
    </w:p>
  </w:footnote>
  <w:footnote w:type="continuationSeparator" w:id="0">
    <w:p w14:paraId="0646A24F" w14:textId="77777777" w:rsidR="005F775A" w:rsidRPr="00A55E8B" w:rsidRDefault="005F775A">
      <w:r w:rsidRPr="00A55E8B">
        <w:continuationSeparator/>
      </w:r>
    </w:p>
  </w:footnote>
  <w:footnote w:id="1">
    <w:p w14:paraId="3E931A59" w14:textId="004AD334" w:rsidR="00611B61" w:rsidRPr="00A55E8B" w:rsidRDefault="00611B61" w:rsidP="00A55E8B">
      <w:pPr>
        <w:pStyle w:val="FootnoteText"/>
        <w:ind w:left="567" w:hanging="567"/>
        <w:rPr>
          <w:sz w:val="24"/>
          <w:lang w:val="pl-PL"/>
        </w:rPr>
      </w:pPr>
      <w:r w:rsidRPr="00A55E8B">
        <w:rPr>
          <w:rStyle w:val="FootnoteReference"/>
          <w:sz w:val="24"/>
          <w:lang w:val="pl-PL"/>
        </w:rPr>
        <w:footnoteRef/>
      </w:r>
      <w:r w:rsidR="00A55E8B" w:rsidRPr="00A55E8B">
        <w:rPr>
          <w:sz w:val="24"/>
          <w:lang w:val="pl-PL"/>
        </w:rPr>
        <w:t xml:space="preserve"> </w:t>
      </w:r>
      <w:r w:rsidR="00A55E8B" w:rsidRPr="00A55E8B">
        <w:rPr>
          <w:sz w:val="24"/>
          <w:lang w:val="pl-PL"/>
        </w:rPr>
        <w:tab/>
      </w:r>
      <w:r w:rsidRPr="00A55E8B">
        <w:rPr>
          <w:sz w:val="24"/>
          <w:lang w:val="pl-PL"/>
        </w:rPr>
        <w:t>Dz.U. C, C/2025/1279, 13.3.2025, ELI: </w:t>
      </w:r>
      <w:r>
        <w:fldChar w:fldCharType="begin"/>
      </w:r>
      <w:r w:rsidRPr="00231600">
        <w:rPr>
          <w:lang w:val="pl-PL"/>
        </w:rPr>
        <w:instrText>HYPERLINK "http://data.europa.eu/eli/C/2025/1279/oj" \t "_blank" \o "Dostęp do dokumentu poprzez identyfikator URI w systemie ELI."</w:instrText>
      </w:r>
      <w:r>
        <w:fldChar w:fldCharType="separate"/>
      </w:r>
      <w:r w:rsidRPr="00A55E8B">
        <w:rPr>
          <w:rStyle w:val="Hyperlink"/>
          <w:sz w:val="24"/>
          <w:lang w:val="pl-PL"/>
        </w:rPr>
        <w:t>http://data.europa.eu/eli/C/2025/1279/oj</w:t>
      </w:r>
      <w:r>
        <w:fldChar w:fldCharType="end"/>
      </w:r>
      <w:r w:rsidRPr="00A55E8B">
        <w:rPr>
          <w:sz w:val="24"/>
          <w:lang w:val="pl-PL"/>
        </w:rPr>
        <w:t>.</w:t>
      </w:r>
    </w:p>
  </w:footnote>
  <w:footnote w:id="2">
    <w:p w14:paraId="2C669CA1" w14:textId="62E10C25" w:rsidR="00611B61" w:rsidRPr="00A55E8B" w:rsidRDefault="00611B61" w:rsidP="00A55E8B">
      <w:pPr>
        <w:pStyle w:val="FootnoteText"/>
        <w:ind w:left="567" w:hanging="567"/>
        <w:rPr>
          <w:sz w:val="24"/>
          <w:lang w:val="pl-PL"/>
        </w:rPr>
      </w:pPr>
      <w:r w:rsidRPr="00A55E8B">
        <w:rPr>
          <w:rStyle w:val="FootnoteReference"/>
          <w:sz w:val="24"/>
          <w:lang w:val="pl-PL"/>
        </w:rPr>
        <w:footnoteRef/>
      </w:r>
      <w:r w:rsidR="00A55E8B" w:rsidRPr="00A55E8B">
        <w:rPr>
          <w:sz w:val="24"/>
          <w:lang w:val="pl-PL"/>
        </w:rPr>
        <w:t xml:space="preserve"> </w:t>
      </w:r>
      <w:r w:rsidR="00A55E8B" w:rsidRPr="00A55E8B">
        <w:rPr>
          <w:sz w:val="24"/>
          <w:lang w:val="pl-PL"/>
        </w:rPr>
        <w:tab/>
      </w:r>
      <w:r w:rsidRPr="00A55E8B">
        <w:rPr>
          <w:sz w:val="24"/>
          <w:lang w:val="pl-PL"/>
        </w:rPr>
        <w:t>Teksty przyjęte, P10_TA(2025)0278.</w:t>
      </w:r>
    </w:p>
  </w:footnote>
  <w:footnote w:id="3">
    <w:p w14:paraId="77938D39" w14:textId="6D210179" w:rsidR="00611B61" w:rsidRPr="00A55E8B" w:rsidRDefault="00611B61" w:rsidP="00A55E8B">
      <w:pPr>
        <w:pStyle w:val="FootnoteText"/>
        <w:ind w:left="567" w:hanging="567"/>
        <w:rPr>
          <w:sz w:val="24"/>
          <w:lang w:val="pl-PL"/>
        </w:rPr>
      </w:pPr>
      <w:r w:rsidRPr="00A55E8B">
        <w:rPr>
          <w:rStyle w:val="FootnoteReference"/>
          <w:sz w:val="24"/>
          <w:lang w:val="pl-PL"/>
        </w:rPr>
        <w:footnoteRef/>
      </w:r>
      <w:r w:rsidR="00A55E8B" w:rsidRPr="00A55E8B">
        <w:rPr>
          <w:sz w:val="24"/>
          <w:lang w:val="pl-PL"/>
        </w:rPr>
        <w:t xml:space="preserve"> </w:t>
      </w:r>
      <w:r w:rsidR="00A55E8B" w:rsidRPr="00A55E8B">
        <w:rPr>
          <w:sz w:val="24"/>
          <w:lang w:val="pl-PL"/>
        </w:rPr>
        <w:tab/>
      </w:r>
      <w:r w:rsidRPr="00A55E8B">
        <w:rPr>
          <w:sz w:val="24"/>
          <w:lang w:val="pl-PL"/>
        </w:rPr>
        <w:t xml:space="preserve">Dz.U. L 315 z 14.11.2012, s. 57, ELI: </w:t>
      </w:r>
      <w:r>
        <w:fldChar w:fldCharType="begin"/>
      </w:r>
      <w:r w:rsidRPr="00231600">
        <w:rPr>
          <w:lang w:val="pl-PL"/>
        </w:rPr>
        <w:instrText>HYPERLINK "http://data.europa.eu/eli/dir/2012/29/oj"</w:instrText>
      </w:r>
      <w:r>
        <w:fldChar w:fldCharType="separate"/>
      </w:r>
      <w:r w:rsidRPr="00A55E8B">
        <w:rPr>
          <w:rStyle w:val="Hyperlink"/>
          <w:sz w:val="24"/>
          <w:lang w:val="pl-PL"/>
        </w:rPr>
        <w:t>http://data.europa.eu/eli/dir/2012/29/oj</w:t>
      </w:r>
      <w:r>
        <w:fldChar w:fldCharType="end"/>
      </w:r>
      <w:r w:rsidRPr="00A55E8B">
        <w:rPr>
          <w:sz w:val="24"/>
          <w:lang w:val="pl-PL"/>
        </w:rPr>
        <w:t>.</w:t>
      </w:r>
    </w:p>
  </w:footnote>
  <w:footnote w:id="4">
    <w:p w14:paraId="729DC182" w14:textId="602C189B" w:rsidR="00611B61" w:rsidRPr="00A55E8B" w:rsidRDefault="00611B61" w:rsidP="00A55E8B">
      <w:pPr>
        <w:pStyle w:val="FootnoteText"/>
        <w:ind w:left="567" w:hanging="567"/>
        <w:rPr>
          <w:sz w:val="24"/>
          <w:lang w:val="pl-PL"/>
        </w:rPr>
      </w:pPr>
      <w:r w:rsidRPr="00A55E8B">
        <w:rPr>
          <w:rStyle w:val="FootnoteReference"/>
          <w:sz w:val="24"/>
          <w:lang w:val="pl-PL"/>
        </w:rPr>
        <w:footnoteRef/>
      </w:r>
      <w:r w:rsidR="00A55E8B" w:rsidRPr="00A55E8B">
        <w:rPr>
          <w:sz w:val="24"/>
          <w:lang w:val="pl-PL"/>
        </w:rPr>
        <w:t xml:space="preserve"> </w:t>
      </w:r>
      <w:r w:rsidR="00A55E8B" w:rsidRPr="00A55E8B">
        <w:rPr>
          <w:sz w:val="24"/>
          <w:lang w:val="pl-PL"/>
        </w:rPr>
        <w:tab/>
      </w:r>
      <w:r w:rsidRPr="00A55E8B">
        <w:rPr>
          <w:sz w:val="24"/>
          <w:lang w:val="pl-PL"/>
        </w:rPr>
        <w:t>Dz.U. L, 2024/1385, 24.5.2024, ELI: </w:t>
      </w:r>
      <w:r>
        <w:fldChar w:fldCharType="begin"/>
      </w:r>
      <w:r w:rsidRPr="00231600">
        <w:rPr>
          <w:lang w:val="pl-PL"/>
        </w:rPr>
        <w:instrText>HYPERLINK "http://data.europa.eu/eli/dir/2024/1385/oj" \t "_blank" \o "Dostęp do dokumentu poprzez identyfikator URI w systemie ELI."</w:instrText>
      </w:r>
      <w:r>
        <w:fldChar w:fldCharType="separate"/>
      </w:r>
      <w:r w:rsidRPr="00A55E8B">
        <w:rPr>
          <w:rStyle w:val="Hyperlink"/>
          <w:sz w:val="24"/>
          <w:lang w:val="pl-PL"/>
        </w:rPr>
        <w:t>http://data.europa.eu/eli/dir/2024/1385/oj</w:t>
      </w:r>
      <w:r>
        <w:fldChar w:fldCharType="end"/>
      </w:r>
      <w:r w:rsidRPr="00A55E8B">
        <w:rPr>
          <w:sz w:val="24"/>
          <w:lang w:val="pl-PL"/>
        </w:rPr>
        <w:t>.</w:t>
      </w:r>
    </w:p>
  </w:footnote>
  <w:footnote w:id="5">
    <w:p w14:paraId="29159788" w14:textId="4C45AAEA" w:rsidR="00611B61" w:rsidRPr="00A55E8B" w:rsidRDefault="00611B61" w:rsidP="00A55E8B">
      <w:pPr>
        <w:pStyle w:val="FootnoteText"/>
        <w:ind w:left="567" w:hanging="567"/>
        <w:rPr>
          <w:sz w:val="24"/>
          <w:lang w:val="pl-PL"/>
        </w:rPr>
      </w:pPr>
      <w:r w:rsidRPr="00A55E8B">
        <w:rPr>
          <w:rStyle w:val="FootnoteReference"/>
          <w:sz w:val="24"/>
          <w:lang w:val="pl-PL"/>
        </w:rPr>
        <w:footnoteRef/>
      </w:r>
      <w:r w:rsidR="00A55E8B" w:rsidRPr="00A55E8B">
        <w:rPr>
          <w:sz w:val="24"/>
          <w:lang w:val="pl-PL"/>
        </w:rPr>
        <w:t xml:space="preserve"> </w:t>
      </w:r>
      <w:r w:rsidR="00A55E8B" w:rsidRPr="00A55E8B">
        <w:rPr>
          <w:sz w:val="24"/>
          <w:lang w:val="pl-PL"/>
        </w:rPr>
        <w:tab/>
      </w:r>
      <w:r w:rsidRPr="00A55E8B">
        <w:rPr>
          <w:sz w:val="24"/>
          <w:lang w:val="pl-PL"/>
        </w:rPr>
        <w:t>https://documents.un.org/doc/undoc/gen/g24/073/47/pdf/g2407347.pdf.</w:t>
      </w:r>
    </w:p>
  </w:footnote>
  <w:footnote w:id="6">
    <w:p w14:paraId="3C630743" w14:textId="3EFEB895" w:rsidR="00611B61" w:rsidRPr="00A55E8B" w:rsidRDefault="00611B61" w:rsidP="00A55E8B">
      <w:pPr>
        <w:pStyle w:val="FootnoteText"/>
        <w:ind w:left="567" w:hanging="567"/>
        <w:rPr>
          <w:sz w:val="24"/>
          <w:lang w:val="pl-PL"/>
        </w:rPr>
      </w:pPr>
      <w:r w:rsidRPr="00A55E8B">
        <w:rPr>
          <w:rStyle w:val="FootnoteReference"/>
          <w:sz w:val="24"/>
          <w:lang w:val="pl-PL"/>
        </w:rPr>
        <w:footnoteRef/>
      </w:r>
      <w:r w:rsidR="00A55E8B" w:rsidRPr="00A55E8B">
        <w:rPr>
          <w:sz w:val="24"/>
          <w:lang w:val="pl-PL"/>
        </w:rPr>
        <w:t xml:space="preserve"> </w:t>
      </w:r>
      <w:r w:rsidR="00A55E8B" w:rsidRPr="00A55E8B">
        <w:rPr>
          <w:sz w:val="24"/>
          <w:lang w:val="pl-PL"/>
        </w:rPr>
        <w:tab/>
      </w:r>
      <w:r w:rsidRPr="00A55E8B">
        <w:rPr>
          <w:sz w:val="24"/>
          <w:lang w:val="pl-PL"/>
        </w:rPr>
        <w:t xml:space="preserve">UN </w:t>
      </w:r>
      <w:proofErr w:type="spellStart"/>
      <w:r w:rsidRPr="00A55E8B">
        <w:rPr>
          <w:sz w:val="24"/>
          <w:lang w:val="pl-PL"/>
        </w:rPr>
        <w:t>Women</w:t>
      </w:r>
      <w:proofErr w:type="spellEnd"/>
      <w:r w:rsidRPr="00A55E8B">
        <w:rPr>
          <w:sz w:val="24"/>
          <w:lang w:val="pl-PL"/>
        </w:rPr>
        <w:t>, „</w:t>
      </w:r>
      <w:proofErr w:type="spellStart"/>
      <w:r w:rsidRPr="00A55E8B">
        <w:rPr>
          <w:sz w:val="24"/>
          <w:lang w:val="pl-PL"/>
        </w:rPr>
        <w:t>Handbook</w:t>
      </w:r>
      <w:proofErr w:type="spellEnd"/>
      <w:r w:rsidRPr="00A55E8B">
        <w:rPr>
          <w:sz w:val="24"/>
          <w:lang w:val="pl-PL"/>
        </w:rPr>
        <w:t xml:space="preserve"> for </w:t>
      </w:r>
      <w:proofErr w:type="spellStart"/>
      <w:r w:rsidRPr="00A55E8B">
        <w:rPr>
          <w:sz w:val="24"/>
          <w:lang w:val="pl-PL"/>
        </w:rPr>
        <w:t>National</w:t>
      </w:r>
      <w:proofErr w:type="spellEnd"/>
      <w:r w:rsidRPr="00A55E8B">
        <w:rPr>
          <w:sz w:val="24"/>
          <w:lang w:val="pl-PL"/>
        </w:rPr>
        <w:t xml:space="preserve"> Action </w:t>
      </w:r>
      <w:proofErr w:type="spellStart"/>
      <w:r w:rsidRPr="00A55E8B">
        <w:rPr>
          <w:sz w:val="24"/>
          <w:lang w:val="pl-PL"/>
        </w:rPr>
        <w:t>Plans</w:t>
      </w:r>
      <w:proofErr w:type="spellEnd"/>
      <w:r w:rsidRPr="00A55E8B">
        <w:rPr>
          <w:sz w:val="24"/>
          <w:lang w:val="pl-PL"/>
        </w:rPr>
        <w:t xml:space="preserve"> on </w:t>
      </w:r>
      <w:proofErr w:type="spellStart"/>
      <w:r w:rsidRPr="00A55E8B">
        <w:rPr>
          <w:sz w:val="24"/>
          <w:lang w:val="pl-PL"/>
        </w:rPr>
        <w:t>Violence</w:t>
      </w:r>
      <w:proofErr w:type="spellEnd"/>
      <w:r w:rsidRPr="00A55E8B">
        <w:rPr>
          <w:sz w:val="24"/>
          <w:lang w:val="pl-PL"/>
        </w:rPr>
        <w:t xml:space="preserve"> </w:t>
      </w:r>
      <w:proofErr w:type="spellStart"/>
      <w:r w:rsidRPr="00A55E8B">
        <w:rPr>
          <w:sz w:val="24"/>
          <w:lang w:val="pl-PL"/>
        </w:rPr>
        <w:t>against</w:t>
      </w:r>
      <w:proofErr w:type="spellEnd"/>
      <w:r w:rsidRPr="00A55E8B">
        <w:rPr>
          <w:sz w:val="24"/>
          <w:lang w:val="pl-PL"/>
        </w:rPr>
        <w:t xml:space="preserve"> </w:t>
      </w:r>
      <w:proofErr w:type="spellStart"/>
      <w:r w:rsidRPr="00A55E8B">
        <w:rPr>
          <w:sz w:val="24"/>
          <w:lang w:val="pl-PL"/>
        </w:rPr>
        <w:t>Women</w:t>
      </w:r>
      <w:proofErr w:type="spellEnd"/>
      <w:r w:rsidRPr="00A55E8B">
        <w:rPr>
          <w:sz w:val="24"/>
          <w:lang w:val="pl-PL"/>
        </w:rPr>
        <w:t>” [Podręcznik krajowych planów działania przeciwko przemocy wobec kobiet], 2012.</w:t>
      </w:r>
    </w:p>
  </w:footnote>
  <w:footnote w:id="7">
    <w:p w14:paraId="3E1A5A6D" w14:textId="7BB46A4E" w:rsidR="00611B61" w:rsidRPr="00A55E8B" w:rsidRDefault="00611B61" w:rsidP="00A55E8B">
      <w:pPr>
        <w:pStyle w:val="FootnoteText"/>
        <w:ind w:left="567" w:hanging="567"/>
        <w:rPr>
          <w:sz w:val="24"/>
          <w:lang w:val="pl-PL"/>
        </w:rPr>
      </w:pPr>
      <w:r w:rsidRPr="00A55E8B">
        <w:rPr>
          <w:rStyle w:val="FootnoteReference"/>
          <w:sz w:val="24"/>
          <w:lang w:val="pl-PL"/>
        </w:rPr>
        <w:footnoteRef/>
      </w:r>
      <w:r w:rsidR="00A55E8B" w:rsidRPr="00A55E8B">
        <w:rPr>
          <w:sz w:val="24"/>
          <w:lang w:val="pl-PL"/>
        </w:rPr>
        <w:t xml:space="preserve"> </w:t>
      </w:r>
      <w:r w:rsidR="00A55E8B" w:rsidRPr="00A55E8B">
        <w:rPr>
          <w:sz w:val="24"/>
          <w:lang w:val="pl-PL"/>
        </w:rPr>
        <w:tab/>
      </w:r>
      <w:r w:rsidRPr="00A55E8B">
        <w:rPr>
          <w:sz w:val="24"/>
          <w:lang w:val="pl-PL"/>
        </w:rPr>
        <w:t>Badanie pt. „Rola kobiet w procesach pokojowych”, Parlament Europejski, Dyrekcja Generalna ds. Polityki Wewnętrznej Unii Europejskiej, Departament Tematyczny ds. Praw Obywatelskich i Spraw Konstytucyjnych, maj 2019 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7803" w14:textId="77777777" w:rsidR="00064002" w:rsidRPr="00A55E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29BD" w14:textId="77777777" w:rsidR="00064002" w:rsidRPr="00A55E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B274" w14:textId="77777777" w:rsidR="00064002" w:rsidRPr="00A55E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7380539">
    <w:abstractNumId w:val="9"/>
  </w:num>
  <w:num w:numId="2" w16cid:durableId="371157578">
    <w:abstractNumId w:val="9"/>
  </w:num>
  <w:num w:numId="3" w16cid:durableId="331445478">
    <w:abstractNumId w:val="7"/>
  </w:num>
  <w:num w:numId="4" w16cid:durableId="1564683602">
    <w:abstractNumId w:val="7"/>
  </w:num>
  <w:num w:numId="5" w16cid:durableId="716973770">
    <w:abstractNumId w:val="6"/>
  </w:num>
  <w:num w:numId="6" w16cid:durableId="790897086">
    <w:abstractNumId w:val="6"/>
  </w:num>
  <w:num w:numId="7" w16cid:durableId="1979916997">
    <w:abstractNumId w:val="5"/>
  </w:num>
  <w:num w:numId="8" w16cid:durableId="125125051">
    <w:abstractNumId w:val="5"/>
  </w:num>
  <w:num w:numId="9" w16cid:durableId="675621070">
    <w:abstractNumId w:val="4"/>
  </w:num>
  <w:num w:numId="10" w16cid:durableId="1403455273">
    <w:abstractNumId w:val="4"/>
  </w:num>
  <w:num w:numId="11" w16cid:durableId="851148112">
    <w:abstractNumId w:val="8"/>
  </w:num>
  <w:num w:numId="12" w16cid:durableId="1565874072">
    <w:abstractNumId w:val="8"/>
  </w:num>
  <w:num w:numId="13" w16cid:durableId="1838955269">
    <w:abstractNumId w:val="3"/>
  </w:num>
  <w:num w:numId="14" w16cid:durableId="2046128749">
    <w:abstractNumId w:val="3"/>
  </w:num>
  <w:num w:numId="15" w16cid:durableId="1990940547">
    <w:abstractNumId w:val="2"/>
  </w:num>
  <w:num w:numId="16" w16cid:durableId="1126775024">
    <w:abstractNumId w:val="2"/>
  </w:num>
  <w:num w:numId="17" w16cid:durableId="662851371">
    <w:abstractNumId w:val="1"/>
  </w:num>
  <w:num w:numId="18" w16cid:durableId="694577404">
    <w:abstractNumId w:val="1"/>
  </w:num>
  <w:num w:numId="19" w16cid:durableId="2106222029">
    <w:abstractNumId w:val="0"/>
  </w:num>
  <w:num w:numId="20" w16cid:durableId="1461847248">
    <w:abstractNumId w:val="0"/>
  </w:num>
  <w:num w:numId="21" w16cid:durableId="111558309">
    <w:abstractNumId w:val="9"/>
  </w:num>
  <w:num w:numId="22" w16cid:durableId="788353011">
    <w:abstractNumId w:val="7"/>
  </w:num>
  <w:num w:numId="23" w16cid:durableId="167333297">
    <w:abstractNumId w:val="6"/>
  </w:num>
  <w:num w:numId="24" w16cid:durableId="209612277">
    <w:abstractNumId w:val="5"/>
  </w:num>
  <w:num w:numId="25" w16cid:durableId="1442408035">
    <w:abstractNumId w:val="4"/>
  </w:num>
  <w:num w:numId="26" w16cid:durableId="37096720">
    <w:abstractNumId w:val="8"/>
  </w:num>
  <w:num w:numId="27" w16cid:durableId="750733640">
    <w:abstractNumId w:val="3"/>
  </w:num>
  <w:num w:numId="28" w16cid:durableId="1688018729">
    <w:abstractNumId w:val="2"/>
  </w:num>
  <w:num w:numId="29" w16cid:durableId="190579001">
    <w:abstractNumId w:val="1"/>
  </w:num>
  <w:num w:numId="30" w16cid:durableId="1836216552">
    <w:abstractNumId w:val="0"/>
  </w:num>
  <w:num w:numId="31" w16cid:durableId="1914772890">
    <w:abstractNumId w:val="9"/>
  </w:num>
  <w:num w:numId="32" w16cid:durableId="37945711">
    <w:abstractNumId w:val="7"/>
  </w:num>
  <w:num w:numId="33" w16cid:durableId="1136725819">
    <w:abstractNumId w:val="6"/>
  </w:num>
  <w:num w:numId="34" w16cid:durableId="831874926">
    <w:abstractNumId w:val="5"/>
  </w:num>
  <w:num w:numId="35" w16cid:durableId="2039692566">
    <w:abstractNumId w:val="4"/>
  </w:num>
  <w:num w:numId="36" w16cid:durableId="1431201966">
    <w:abstractNumId w:val="8"/>
  </w:num>
  <w:num w:numId="37" w16cid:durableId="741610031">
    <w:abstractNumId w:val="3"/>
  </w:num>
  <w:num w:numId="38" w16cid:durableId="732168295">
    <w:abstractNumId w:val="2"/>
  </w:num>
  <w:num w:numId="39" w16cid:durableId="16153055">
    <w:abstractNumId w:val="1"/>
  </w:num>
  <w:num w:numId="40" w16cid:durableId="1645502618">
    <w:abstractNumId w:val="0"/>
  </w:num>
  <w:num w:numId="41" w16cid:durableId="1846477774">
    <w:abstractNumId w:val="10"/>
  </w:num>
  <w:num w:numId="42" w16cid:durableId="1637493776">
    <w:abstractNumId w:val="10"/>
  </w:num>
  <w:num w:numId="43" w16cid:durableId="126166183">
    <w:abstractNumId w:val="10"/>
  </w:num>
  <w:num w:numId="44" w16cid:durableId="3164992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0/2026"/>
    <w:docVar w:name="dvlangue" w:val="PL"/>
    <w:docVar w:name="dvnumam" w:val="0"/>
    <w:docVar w:name="dvpe" w:val="776.895"/>
    <w:docVar w:name="dvrapporteur" w:val="Sprawozdawca: "/>
    <w:docVar w:name="dvtitre" w:val="Rezolucja Parlamentu Europejskiego z dnia  2026 r. w sprawie zalecenia Parlamentu Europejskiego dla Rady w sprawie priorytetów UE na 70. sesję Komisji ONZ ds. Statusu Kobiet(2025/2240(INI))"/>
  </w:docVars>
  <w:rsids>
    <w:rsidRoot w:val="005F775A"/>
    <w:rsid w:val="00002272"/>
    <w:rsid w:val="000551AF"/>
    <w:rsid w:val="00064002"/>
    <w:rsid w:val="000677B9"/>
    <w:rsid w:val="000831BA"/>
    <w:rsid w:val="000A42CC"/>
    <w:rsid w:val="000E7DD9"/>
    <w:rsid w:val="0010095E"/>
    <w:rsid w:val="00125B37"/>
    <w:rsid w:val="00167376"/>
    <w:rsid w:val="00187494"/>
    <w:rsid w:val="001F32AE"/>
    <w:rsid w:val="00231600"/>
    <w:rsid w:val="00266E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75A"/>
    <w:rsid w:val="006037C0"/>
    <w:rsid w:val="00611B61"/>
    <w:rsid w:val="006631B6"/>
    <w:rsid w:val="00672799"/>
    <w:rsid w:val="00680577"/>
    <w:rsid w:val="006A485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E8B"/>
    <w:rsid w:val="00A778C7"/>
    <w:rsid w:val="00AB441E"/>
    <w:rsid w:val="00AB6293"/>
    <w:rsid w:val="00AE0928"/>
    <w:rsid w:val="00AF3B82"/>
    <w:rsid w:val="00B12E95"/>
    <w:rsid w:val="00B22876"/>
    <w:rsid w:val="00B558F0"/>
    <w:rsid w:val="00BA6EDA"/>
    <w:rsid w:val="00BB6E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6D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F7C2D1"/>
  <w15:chartTrackingRefBased/>
  <w15:docId w15:val="{74B889A2-A065-4A1A-B7CB-9C4B1C26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11B6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611B6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611B61"/>
    <w:rPr>
      <w:sz w:val="24"/>
      <w:lang w:val="pl-PL"/>
    </w:rPr>
  </w:style>
  <w:style w:type="character" w:styleId="Hyperlink">
    <w:name w:val="Hyperlink"/>
    <w:basedOn w:val="DefaultParagraphFont"/>
    <w:rsid w:val="00611B6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551A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5653</Words>
  <Characters>37515</Characters>
  <Application>Microsoft Office Word</Application>
  <DocSecurity>0</DocSecurity>
  <Lines>312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SOLTYSOVA Zuzana</cp:lastModifiedBy>
  <cp:revision>3</cp:revision>
  <cp:lastPrinted>2004-11-19T15:42:00Z</cp:lastPrinted>
  <dcterms:created xsi:type="dcterms:W3CDTF">2026-03-16T08:59:00Z</dcterms:created>
  <dcterms:modified xsi:type="dcterms:W3CDTF">2026-04-30T15:28:00Z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A10-0010/2026</vt:lpwstr>
  </property>
  <property fmtid="{D5CDD505-2E9C-101B-9397-08002B2CF9AE}" pid="4" name="&lt;Type&gt;">
    <vt:lpwstr>RR</vt:lpwstr>
  </property>
</Properties>
</file>