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90551" w14:paraId="39498B2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D751399" w14:textId="77777777" w:rsidR="00751A4A" w:rsidRPr="00B90551" w:rsidRDefault="0001336B" w:rsidP="0010095E">
            <w:pPr>
              <w:pStyle w:val="EPName"/>
            </w:pPr>
            <w:r w:rsidRPr="00B90551">
              <w:t xml:space="preserve">Parlamento </w:t>
            </w:r>
            <w:proofErr w:type="gramStart"/>
            <w:r w:rsidRPr="00B90551">
              <w:t>Europeu</w:t>
            </w:r>
            <w:proofErr w:type="gramEnd"/>
          </w:p>
          <w:p w14:paraId="3F7DC49A" w14:textId="77777777" w:rsidR="00751A4A" w:rsidRPr="00B9055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90551">
              <w:t>2024</w:t>
            </w:r>
            <w:r w:rsidR="00817416" w:rsidRPr="00B90551">
              <w:t>-202</w:t>
            </w:r>
            <w:r w:rsidRPr="00B90551">
              <w:t>9</w:t>
            </w:r>
          </w:p>
        </w:tc>
        <w:tc>
          <w:tcPr>
            <w:tcW w:w="2268" w:type="dxa"/>
            <w:shd w:val="clear" w:color="auto" w:fill="auto"/>
          </w:tcPr>
          <w:p w14:paraId="56EC10B3" w14:textId="77777777" w:rsidR="00751A4A" w:rsidRPr="00B90551" w:rsidRDefault="00187494" w:rsidP="0010095E">
            <w:pPr>
              <w:pStyle w:val="EPLogo"/>
            </w:pPr>
            <w:r w:rsidRPr="00B90551">
              <w:rPr>
                <w:noProof/>
                <w:lang w:eastAsia="ja-JP"/>
              </w:rPr>
              <w:drawing>
                <wp:inline distT="0" distB="0" distL="0" distR="0" wp14:anchorId="06FB6BAA" wp14:editId="765E19B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6D299E" w14:textId="77777777" w:rsidR="00D058B8" w:rsidRPr="00B90551" w:rsidRDefault="00D058B8" w:rsidP="004C5D52">
      <w:pPr>
        <w:pStyle w:val="LineTop"/>
      </w:pPr>
    </w:p>
    <w:p w14:paraId="57E27E4B" w14:textId="77777777" w:rsidR="00680577" w:rsidRPr="00B90551" w:rsidRDefault="0001336B" w:rsidP="00680577">
      <w:pPr>
        <w:pStyle w:val="EPBodyTA1"/>
      </w:pPr>
      <w:r w:rsidRPr="00B90551">
        <w:t>TEXTOS APROVADOS</w:t>
      </w:r>
    </w:p>
    <w:p w14:paraId="2713F2AB" w14:textId="77777777" w:rsidR="00D058B8" w:rsidRPr="00B90551" w:rsidRDefault="00D058B8" w:rsidP="00D058B8">
      <w:pPr>
        <w:pStyle w:val="LineBottom"/>
      </w:pPr>
    </w:p>
    <w:p w14:paraId="4351416B" w14:textId="41746615" w:rsidR="0001336B" w:rsidRPr="00B90551" w:rsidRDefault="0001336B" w:rsidP="0001336B">
      <w:pPr>
        <w:pStyle w:val="ATHeading1"/>
      </w:pPr>
      <w:bookmarkStart w:id="0" w:name="TANumber"/>
      <w:r w:rsidRPr="00B90551">
        <w:t>P10_TA(2026)00</w:t>
      </w:r>
      <w:r w:rsidR="00933406" w:rsidRPr="00B90551">
        <w:t>51</w:t>
      </w:r>
      <w:bookmarkEnd w:id="0"/>
    </w:p>
    <w:p w14:paraId="1F4781A9" w14:textId="77777777" w:rsidR="0001336B" w:rsidRPr="00B90551" w:rsidRDefault="0001336B" w:rsidP="0001336B">
      <w:pPr>
        <w:pStyle w:val="ATHeading2"/>
      </w:pPr>
      <w:bookmarkStart w:id="1" w:name="title"/>
      <w:r w:rsidRPr="00B90551">
        <w:t>Recomendação ao Conselho referente às prioridades da UE para a 70.ª sessão da Comissão das Nações Unidas sobre o Estatuto da Mulher</w:t>
      </w:r>
      <w:bookmarkEnd w:id="1"/>
    </w:p>
    <w:p w14:paraId="1545F76E" w14:textId="77777777" w:rsidR="0001336B" w:rsidRPr="00B90551" w:rsidRDefault="0001336B" w:rsidP="0001336B">
      <w:pPr>
        <w:rPr>
          <w:i/>
          <w:vanish/>
        </w:rPr>
      </w:pPr>
      <w:r w:rsidRPr="00B90551">
        <w:rPr>
          <w:i/>
        </w:rPr>
        <w:fldChar w:fldCharType="begin"/>
      </w:r>
      <w:r w:rsidRPr="00B90551">
        <w:rPr>
          <w:i/>
        </w:rPr>
        <w:instrText xml:space="preserve"> TC"(</w:instrText>
      </w:r>
      <w:bookmarkStart w:id="2" w:name="DocNumber"/>
      <w:r w:rsidRPr="00B90551">
        <w:rPr>
          <w:i/>
        </w:rPr>
        <w:instrText>A10-0010/2026</w:instrText>
      </w:r>
      <w:bookmarkEnd w:id="2"/>
      <w:r w:rsidRPr="00B90551">
        <w:rPr>
          <w:i/>
        </w:rPr>
        <w:instrText xml:space="preserve"> - Relatora: Lina </w:instrText>
      </w:r>
      <w:proofErr w:type="spellStart"/>
      <w:r w:rsidRPr="00B90551">
        <w:rPr>
          <w:i/>
        </w:rPr>
        <w:instrText>Gálvez</w:instrText>
      </w:r>
      <w:proofErr w:type="spellEnd"/>
      <w:r w:rsidRPr="00B90551">
        <w:rPr>
          <w:i/>
        </w:rPr>
        <w:instrText xml:space="preserve">)"\l3 \n&gt; \* MERGEFORMAT </w:instrText>
      </w:r>
      <w:r w:rsidRPr="00B90551">
        <w:rPr>
          <w:i/>
        </w:rPr>
        <w:fldChar w:fldCharType="end"/>
      </w:r>
    </w:p>
    <w:p w14:paraId="3831F1EE" w14:textId="77777777" w:rsidR="0001336B" w:rsidRPr="00B90551" w:rsidRDefault="0001336B" w:rsidP="0001336B">
      <w:pPr>
        <w:rPr>
          <w:vanish/>
        </w:rPr>
      </w:pPr>
      <w:bookmarkStart w:id="3" w:name="Commission"/>
      <w:r w:rsidRPr="00B90551">
        <w:rPr>
          <w:vanish/>
        </w:rPr>
        <w:t>Comissão dos Direitos das Mulheres e da Igualdade dos Géneros</w:t>
      </w:r>
      <w:bookmarkEnd w:id="3"/>
    </w:p>
    <w:p w14:paraId="6F1B0F6D" w14:textId="77777777" w:rsidR="0001336B" w:rsidRPr="00B90551" w:rsidRDefault="0001336B" w:rsidP="0001336B">
      <w:pPr>
        <w:rPr>
          <w:vanish/>
        </w:rPr>
      </w:pPr>
      <w:bookmarkStart w:id="4" w:name="PE"/>
      <w:r w:rsidRPr="00B90551">
        <w:rPr>
          <w:vanish/>
        </w:rPr>
        <w:t>PE776.895</w:t>
      </w:r>
      <w:bookmarkEnd w:id="4"/>
    </w:p>
    <w:p w14:paraId="7C2BABE0" w14:textId="19342D4A" w:rsidR="0001336B" w:rsidRPr="00B90551" w:rsidRDefault="0001336B" w:rsidP="0001336B">
      <w:pPr>
        <w:pStyle w:val="ATHeading3"/>
      </w:pPr>
      <w:bookmarkStart w:id="5" w:name="Sujet"/>
      <w:r w:rsidRPr="00B90551">
        <w:t>Recomendação do Parlamento Europeu ao Conselho</w:t>
      </w:r>
      <w:r w:rsidR="006E1F93" w:rsidRPr="00B90551">
        <w:t>, de 12 de fevereiro de 2026,</w:t>
      </w:r>
      <w:r w:rsidRPr="00B90551">
        <w:t xml:space="preserve"> referente às prioridades da UE para a 70.ª sessão da Comissão das Nações Unidas sobre o Estatuto da Mulher</w:t>
      </w:r>
      <w:bookmarkEnd w:id="5"/>
      <w:r w:rsidRPr="00B90551">
        <w:t xml:space="preserve"> </w:t>
      </w:r>
      <w:bookmarkStart w:id="6" w:name="References"/>
      <w:r w:rsidRPr="00B90551">
        <w:t>(2025/2240(INI))</w:t>
      </w:r>
      <w:bookmarkEnd w:id="6"/>
    </w:p>
    <w:p w14:paraId="33272475" w14:textId="77777777" w:rsidR="004B081E" w:rsidRPr="00B90551" w:rsidRDefault="004B081E" w:rsidP="004B081E">
      <w:pPr>
        <w:pStyle w:val="EPComma"/>
      </w:pPr>
      <w:r w:rsidRPr="00B90551">
        <w:rPr>
          <w:i/>
        </w:rPr>
        <w:t>O Parlamento Europeu,</w:t>
      </w:r>
    </w:p>
    <w:p w14:paraId="7FAE7D75" w14:textId="77777777" w:rsidR="004B081E" w:rsidRPr="00B90551" w:rsidRDefault="004B081E" w:rsidP="004B081E">
      <w:pPr>
        <w:pStyle w:val="NormalHanging12a"/>
        <w:rPr>
          <w:bCs/>
          <w:iCs/>
        </w:rPr>
      </w:pPr>
      <w:r w:rsidRPr="00B90551">
        <w:t>–</w:t>
      </w:r>
      <w:r w:rsidRPr="00B90551">
        <w:tab/>
        <w:t>Tendo em conta a 70.ª sessão da Comissão das Nações Unidas sobre o Estatuto da Mulher, prevista para março de 2026, o seu tema prioritário «Garantir e reforçar o acesso à justiça para todas as mulheres e raparigas, nomeadamente através da promoção de ordenamentos jurídicos inclusivos e equitativos, da eliminação de leis, políticas e práticas discriminatórias e da eliminação das barreiras estruturais», e o seu tema de revisão «Participação e tomada de decisões plena e efetiva das mulheres na vida pública, bem como a eliminação da violência, para alcançar a igualdade de género e o empoderamento de todas as mulheres e raparigas»,</w:t>
      </w:r>
    </w:p>
    <w:p w14:paraId="640FF35A" w14:textId="77777777" w:rsidR="004B081E" w:rsidRPr="00B90551" w:rsidRDefault="004B081E" w:rsidP="004B081E">
      <w:pPr>
        <w:pStyle w:val="NormalHanging12a"/>
        <w:rPr>
          <w:bCs/>
          <w:iCs/>
        </w:rPr>
      </w:pPr>
      <w:r w:rsidRPr="00B90551">
        <w:t>–</w:t>
      </w:r>
      <w:r w:rsidRPr="00B90551">
        <w:tab/>
        <w:t>Tendo em conta a Convenção das Nações Unidas sobre a Eliminação de Todas as Formas de Discriminação contra as Mulheres, de 18 de dezembro de 1979,</w:t>
      </w:r>
    </w:p>
    <w:p w14:paraId="52F7BBA8" w14:textId="77777777" w:rsidR="004B081E" w:rsidRPr="00B90551" w:rsidRDefault="004B081E" w:rsidP="004B081E">
      <w:pPr>
        <w:pStyle w:val="NormalHanging12a"/>
        <w:rPr>
          <w:bCs/>
          <w:iCs/>
        </w:rPr>
      </w:pPr>
      <w:r w:rsidRPr="00B90551">
        <w:t>–</w:t>
      </w:r>
      <w:r w:rsidRPr="00B90551">
        <w:tab/>
        <w:t>Tendo em conta a Convenção das Nações Unidas sobre os Direitos das Pessoas com Deficiência de 12 de dezembro de 2006, particularmente os seus artigos 6.º e 13.º sobre o acesso à justiça e a discriminação múltipla a que estão sujeitas as mulheres e as raparigas com deficiência,</w:t>
      </w:r>
    </w:p>
    <w:p w14:paraId="04E6EE75" w14:textId="77777777" w:rsidR="004B081E" w:rsidRPr="00B90551" w:rsidRDefault="004B081E" w:rsidP="004B081E">
      <w:pPr>
        <w:pStyle w:val="NormalHanging12a"/>
        <w:rPr>
          <w:bCs/>
          <w:iCs/>
        </w:rPr>
      </w:pPr>
      <w:r w:rsidRPr="00B90551">
        <w:t>–</w:t>
      </w:r>
      <w:r w:rsidRPr="00B90551">
        <w:tab/>
        <w:t>Tendo em conta a Agenda 2030 das Nações Unidas para o Desenvolvimento Sustentável, nomeadamente o princípio de «não deixar ninguém para trás» e, em particular, o Objetivo de Desenvolvimento Sustentável (ODS) 5, que visa alcançar a igualdade de género e garantir às mulheres direitos iguais aos recursos económicos, bem como o acesso à propriedade e ao controlo da terra e outras formas de propriedade, serviços financeiros, sucessões e recursos naturais, e o ODS 10, que visa eliminar leis, políticas e práticas discriminatórias, e promover legislação, políticas e ações adequadas,</w:t>
      </w:r>
    </w:p>
    <w:p w14:paraId="2A56AA7D" w14:textId="77777777" w:rsidR="004B081E" w:rsidRPr="00B90551" w:rsidRDefault="004B081E" w:rsidP="004B081E">
      <w:pPr>
        <w:pStyle w:val="NormalHanging12a"/>
        <w:rPr>
          <w:bCs/>
          <w:iCs/>
        </w:rPr>
      </w:pPr>
      <w:r w:rsidRPr="00B90551">
        <w:t>–</w:t>
      </w:r>
      <w:r w:rsidRPr="00B90551">
        <w:tab/>
        <w:t>Tendo em conta os artigos 20.º, 21.º, 23.º e 47.º da Carta dos Direitos Fundamentais da União Europeia,</w:t>
      </w:r>
    </w:p>
    <w:p w14:paraId="59D748C9" w14:textId="77777777" w:rsidR="004B081E" w:rsidRPr="00B90551" w:rsidRDefault="004B081E" w:rsidP="004B081E">
      <w:pPr>
        <w:pStyle w:val="NormalHanging12a"/>
        <w:rPr>
          <w:bCs/>
          <w:iCs/>
        </w:rPr>
      </w:pPr>
      <w:r w:rsidRPr="00B90551">
        <w:lastRenderedPageBreak/>
        <w:t>–</w:t>
      </w:r>
      <w:r w:rsidRPr="00B90551">
        <w:tab/>
        <w:t>Tendo em conta a sua Resolução de 11 de abril de 2024 sobre a inclusão do direito ao aborto na Carta dos Direitos Fundamentais da UE</w:t>
      </w:r>
      <w:r w:rsidRPr="00B90551">
        <w:rPr>
          <w:rStyle w:val="FootnoteReference"/>
          <w:bCs/>
          <w:iCs/>
        </w:rPr>
        <w:footnoteReference w:id="1"/>
      </w:r>
      <w:r w:rsidRPr="00B90551">
        <w:t>,</w:t>
      </w:r>
    </w:p>
    <w:p w14:paraId="33103CE2" w14:textId="77777777" w:rsidR="004B081E" w:rsidRPr="00B90551" w:rsidRDefault="004B081E" w:rsidP="004B081E">
      <w:pPr>
        <w:pStyle w:val="NormalHanging12a"/>
        <w:rPr>
          <w:bCs/>
          <w:iCs/>
        </w:rPr>
      </w:pPr>
      <w:r w:rsidRPr="00B90551">
        <w:t>–</w:t>
      </w:r>
      <w:r w:rsidRPr="00B90551">
        <w:tab/>
        <w:t>Tendo em conta a Comunicação Conjunta da Comissão e do alto representante da União para os Negócios Estrangeiros e a Política de Segurança de 25 de novembro de 2020, intitulada «Terceiro Plano de Ação da UE em matéria de Igualdade de Género (GAP III) — Uma agenda ambiciosa para a igualdade de género e o empoderamento das mulheres na ação externa da UE» (JOIN(2020)0017), que descreve o plano de ação da UE para a igualdade de género para o período de 2021</w:t>
      </w:r>
      <w:r w:rsidRPr="00B90551">
        <w:noBreakHyphen/>
        <w:t>2025,</w:t>
      </w:r>
    </w:p>
    <w:p w14:paraId="10FC793B" w14:textId="77777777" w:rsidR="004B081E" w:rsidRPr="00B90551" w:rsidRDefault="004B081E" w:rsidP="004B081E">
      <w:pPr>
        <w:pStyle w:val="NormalHanging12a"/>
        <w:rPr>
          <w:bCs/>
          <w:iCs/>
        </w:rPr>
      </w:pPr>
      <w:r w:rsidRPr="00B90551">
        <w:t>–</w:t>
      </w:r>
      <w:r w:rsidRPr="00B90551">
        <w:tab/>
        <w:t>Tendo em conta a Comunicação da Comissão de 7 de março de 2025, intitulada «Um Roteiro dos Direitos das Mulheres» (COM(2025)0097), que reafirma o compromisso da UE com a igualdade de género,</w:t>
      </w:r>
    </w:p>
    <w:p w14:paraId="40C378B7" w14:textId="77777777" w:rsidR="004B081E" w:rsidRPr="00B90551" w:rsidRDefault="004B081E" w:rsidP="004B081E">
      <w:pPr>
        <w:pStyle w:val="NormalHanging12a"/>
        <w:rPr>
          <w:bCs/>
          <w:iCs/>
        </w:rPr>
      </w:pPr>
      <w:r w:rsidRPr="00B90551">
        <w:t>–</w:t>
      </w:r>
      <w:r w:rsidRPr="00B90551">
        <w:tab/>
        <w:t>Tendo em conta a Comunicação da Comissão de 5 de março de 2020, intitulada «Uma União da Igualdade: Estratégia para a Igualdade de Género 2020</w:t>
      </w:r>
      <w:r w:rsidRPr="00B90551">
        <w:noBreakHyphen/>
        <w:t>2025» (COM(2020)0152),</w:t>
      </w:r>
    </w:p>
    <w:p w14:paraId="25FAEBBC" w14:textId="77777777" w:rsidR="004B081E" w:rsidRPr="00B90551" w:rsidRDefault="004B081E" w:rsidP="004B081E">
      <w:pPr>
        <w:pStyle w:val="NormalHanging12a"/>
        <w:rPr>
          <w:bCs/>
          <w:iCs/>
        </w:rPr>
      </w:pPr>
      <w:r w:rsidRPr="00B90551">
        <w:t>–</w:t>
      </w:r>
      <w:r w:rsidRPr="00B90551">
        <w:tab/>
        <w:t>Tendo em conta a sua Resolução, de 13 de novembro de 2025, sobre a Estratégia para a Igualdade de Género 2025</w:t>
      </w:r>
      <w:r w:rsidRPr="00B90551">
        <w:rPr>
          <w:rStyle w:val="FootnoteReference"/>
          <w:bCs/>
          <w:iCs/>
        </w:rPr>
        <w:footnoteReference w:id="2"/>
      </w:r>
      <w:r w:rsidRPr="00B90551">
        <w:t>,</w:t>
      </w:r>
    </w:p>
    <w:p w14:paraId="26324A50" w14:textId="77777777" w:rsidR="004B081E" w:rsidRPr="00B90551" w:rsidRDefault="004B081E" w:rsidP="004B081E">
      <w:pPr>
        <w:pStyle w:val="NormalHanging12a"/>
        <w:rPr>
          <w:bCs/>
          <w:iCs/>
        </w:rPr>
      </w:pPr>
      <w:r w:rsidRPr="00B90551">
        <w:t>–</w:t>
      </w:r>
      <w:r w:rsidRPr="00B90551">
        <w:tab/>
        <w:t>Tendo em conta a Diretiva 2012/29/UE do Parlamento Europeu e do Conselho, de 25 de outubro de 2012, que estabelece normas mínimas relativas aos direitos, ao apoio e à proteção das vítimas da criminalidade e que substitui a Decisão</w:t>
      </w:r>
      <w:r w:rsidRPr="00B90551">
        <w:noBreakHyphen/>
        <w:t>Quadro 2001/220/JAI do Conselho</w:t>
      </w:r>
      <w:r w:rsidRPr="00B90551">
        <w:rPr>
          <w:bCs/>
          <w:iCs/>
          <w:vertAlign w:val="superscript"/>
        </w:rPr>
        <w:footnoteReference w:id="3"/>
      </w:r>
      <w:r w:rsidRPr="00B90551">
        <w:t>, bem como a sua reformulação, atualmente em curso,</w:t>
      </w:r>
    </w:p>
    <w:p w14:paraId="7259AFAF" w14:textId="77777777" w:rsidR="004B081E" w:rsidRPr="00B90551" w:rsidRDefault="004B081E" w:rsidP="004B081E">
      <w:pPr>
        <w:pStyle w:val="NormalHanging12a"/>
        <w:rPr>
          <w:bCs/>
          <w:iCs/>
        </w:rPr>
      </w:pPr>
      <w:r w:rsidRPr="00B90551">
        <w:t>–</w:t>
      </w:r>
      <w:r w:rsidRPr="00B90551">
        <w:tab/>
        <w:t>Tendo em conta a Diretiva (UE) 2024/1385 do Parlamento Europeu e do Conselho, de 14 de maio de 2024, relativa ao combate à violência contra as mulheres e à violência doméstica</w:t>
      </w:r>
      <w:r w:rsidRPr="00B90551">
        <w:rPr>
          <w:rStyle w:val="FootnoteReference"/>
          <w:bCs/>
          <w:iCs/>
        </w:rPr>
        <w:footnoteReference w:id="4"/>
      </w:r>
      <w:r w:rsidRPr="00B90551">
        <w:t>,</w:t>
      </w:r>
    </w:p>
    <w:p w14:paraId="75B5B77E" w14:textId="77777777" w:rsidR="004B081E" w:rsidRPr="00B90551" w:rsidRDefault="004B081E" w:rsidP="004B081E">
      <w:pPr>
        <w:pStyle w:val="NormalHanging12a"/>
        <w:rPr>
          <w:bCs/>
          <w:iCs/>
        </w:rPr>
      </w:pPr>
      <w:r w:rsidRPr="00B90551">
        <w:t>–</w:t>
      </w:r>
      <w:r w:rsidRPr="00B90551">
        <w:tab/>
        <w:t>Tendo em conta a Resolução 1820 (2008) do Conselho de Segurança da Nações Unidas, de 19 de junho de 2008, sobre a violência sexual como tática de guerra,</w:t>
      </w:r>
    </w:p>
    <w:p w14:paraId="574D64C4" w14:textId="77777777" w:rsidR="004B081E" w:rsidRPr="00B90551" w:rsidRDefault="004B081E" w:rsidP="004B081E">
      <w:pPr>
        <w:pStyle w:val="NormalHanging12a"/>
        <w:rPr>
          <w:bCs/>
          <w:iCs/>
        </w:rPr>
      </w:pPr>
      <w:r w:rsidRPr="00B90551">
        <w:t>–</w:t>
      </w:r>
      <w:r w:rsidRPr="00B90551">
        <w:tab/>
        <w:t>Tendo em conta os Princípios e as Orientações das Nações Unidas em matéria de acesso a apoio judiciário nos sistemas de justiça penal, adotados em dezembro de 2012,</w:t>
      </w:r>
    </w:p>
    <w:p w14:paraId="4F1FA71E" w14:textId="77777777" w:rsidR="004B081E" w:rsidRPr="00B90551" w:rsidRDefault="004B081E" w:rsidP="004B081E">
      <w:pPr>
        <w:pStyle w:val="NormalHanging12a"/>
        <w:rPr>
          <w:bCs/>
          <w:iCs/>
        </w:rPr>
      </w:pPr>
      <w:r w:rsidRPr="00B90551">
        <w:t>–</w:t>
      </w:r>
      <w:r w:rsidRPr="00B90551">
        <w:tab/>
        <w:t>Tendo em conta o Programa Justiça 2021</w:t>
      </w:r>
      <w:r w:rsidRPr="00B90551">
        <w:noBreakHyphen/>
        <w:t>2027 da Comissão, que concede financiamento para apoiar a cooperação judiciária em matéria civil e penal, como a formação de juízes e outros profissionais da justiça, e o acesso efetivo dos cidadãos e das empresas à justiça,</w:t>
      </w:r>
    </w:p>
    <w:p w14:paraId="0C5B03AA" w14:textId="77777777" w:rsidR="004B081E" w:rsidRPr="00B90551" w:rsidRDefault="004B081E" w:rsidP="004B081E">
      <w:pPr>
        <w:pStyle w:val="NormalHanging12a"/>
        <w:rPr>
          <w:bCs/>
          <w:iCs/>
        </w:rPr>
      </w:pPr>
      <w:r w:rsidRPr="00B90551">
        <w:t>–</w:t>
      </w:r>
      <w:r w:rsidRPr="00B90551">
        <w:tab/>
        <w:t>Tendo em conta a Convenção do Conselho da Europa para a Prevenção e o Combate à Violência Contra as Mulheres e a Violência Doméstica (Convenção de Istambul),</w:t>
      </w:r>
    </w:p>
    <w:p w14:paraId="1AA85B77" w14:textId="77777777" w:rsidR="004B081E" w:rsidRPr="00B90551" w:rsidRDefault="004B081E" w:rsidP="004B081E">
      <w:pPr>
        <w:pStyle w:val="NormalHanging12a"/>
        <w:rPr>
          <w:bCs/>
          <w:iCs/>
        </w:rPr>
      </w:pPr>
      <w:r w:rsidRPr="00B90551">
        <w:t>–</w:t>
      </w:r>
      <w:r w:rsidRPr="00B90551">
        <w:tab/>
        <w:t>Tendo em conta o artigo 81.º, n.º 2, do Tratado sobre o Funcionamento da União Europeia,</w:t>
      </w:r>
    </w:p>
    <w:p w14:paraId="47C99B61" w14:textId="77777777" w:rsidR="004B081E" w:rsidRPr="00B90551" w:rsidRDefault="004B081E" w:rsidP="004B081E">
      <w:pPr>
        <w:pStyle w:val="NormalHanging12a"/>
        <w:rPr>
          <w:bCs/>
          <w:iCs/>
        </w:rPr>
      </w:pPr>
      <w:r w:rsidRPr="00B90551">
        <w:lastRenderedPageBreak/>
        <w:t>–</w:t>
      </w:r>
      <w:r w:rsidRPr="00B90551">
        <w:tab/>
        <w:t>Tendo em conta o artigo 121.º do seu Regimento,</w:t>
      </w:r>
    </w:p>
    <w:p w14:paraId="1C5AA617" w14:textId="77777777" w:rsidR="004B081E" w:rsidRPr="00B90551" w:rsidRDefault="004B081E" w:rsidP="004B081E">
      <w:pPr>
        <w:pStyle w:val="NormalHanging12a"/>
        <w:rPr>
          <w:bCs/>
          <w:iCs/>
        </w:rPr>
      </w:pPr>
      <w:r w:rsidRPr="00B90551">
        <w:t>–</w:t>
      </w:r>
      <w:r w:rsidRPr="00B90551">
        <w:tab/>
        <w:t>Tendo em conta o relatório da Comissão dos Direitos das Mulheres e da Igualdade dos Géneros (A10</w:t>
      </w:r>
      <w:r w:rsidRPr="00B90551">
        <w:noBreakHyphen/>
        <w:t>0010/2026),</w:t>
      </w:r>
    </w:p>
    <w:p w14:paraId="5CA28FA1" w14:textId="21F21D31" w:rsidR="004B081E" w:rsidRPr="00B90551" w:rsidRDefault="004B081E" w:rsidP="004B081E">
      <w:pPr>
        <w:pStyle w:val="NormalHanging12a"/>
        <w:rPr>
          <w:bCs/>
          <w:iCs/>
        </w:rPr>
      </w:pPr>
      <w:r w:rsidRPr="00B90551">
        <w:t>A.</w:t>
      </w:r>
      <w:r w:rsidRPr="00B90551">
        <w:tab/>
        <w:t>Considerando que a igualdade entre mulheres e homens é um princípio fundamental consagrado no</w:t>
      </w:r>
      <w:r w:rsidRPr="00B90551">
        <w:rPr>
          <w:b/>
          <w:i/>
        </w:rPr>
        <w:t xml:space="preserve"> </w:t>
      </w:r>
      <w:r w:rsidRPr="00B90551">
        <w:t>artigo 2.º do Tratado da União Europeia e no artigo 23.º da Carta dos Direitos Fundamentais da União Europeia</w:t>
      </w:r>
      <w:r w:rsidR="006E1F93" w:rsidRPr="00B90551">
        <w:t>; considerando que</w:t>
      </w:r>
      <w:r w:rsidRPr="00B90551">
        <w:t xml:space="preserve"> este princípio se aplica a todos os domínios da vida e a todas as políticas, incluindo o acesso à justiça</w:t>
      </w:r>
      <w:r w:rsidR="006E1F93" w:rsidRPr="00B90551">
        <w:t>; considerando que</w:t>
      </w:r>
      <w:r w:rsidRPr="00B90551">
        <w:t xml:space="preserve"> a integração da perspetiva de género, a orçamentação sensível ao género e uma abordagem interseccional devem ser aplicadas e integradas em todas as políticas pertinentes da UE, uma vez que são essenciais para alcançar a igualdade de género</w:t>
      </w:r>
      <w:r w:rsidR="006E1F93" w:rsidRPr="00B90551">
        <w:t>; considerando que</w:t>
      </w:r>
      <w:r w:rsidRPr="00B90551">
        <w:t xml:space="preserve"> as políticas internas e externas devem permanecer consistentes e coerentes, a fim de assegurar uma promoção eficaz e credível dos direitos humanos e fundamentais, da democracia e da igualdade de género em todo o mundo;</w:t>
      </w:r>
    </w:p>
    <w:p w14:paraId="636CF412" w14:textId="70695040" w:rsidR="004B081E" w:rsidRPr="00B90551" w:rsidRDefault="004B081E" w:rsidP="004B081E">
      <w:pPr>
        <w:pStyle w:val="NormalHanging12a"/>
        <w:rPr>
          <w:bCs/>
          <w:iCs/>
        </w:rPr>
      </w:pPr>
      <w:r w:rsidRPr="00B90551">
        <w:t>B.</w:t>
      </w:r>
      <w:r w:rsidRPr="00B90551">
        <w:tab/>
        <w:t>Considerando que a igualdade de género, a democracia, os direitos fundamentais e o Estado de direito estão indissociavelmente ligados</w:t>
      </w:r>
      <w:r w:rsidR="006E1F93" w:rsidRPr="00B90551">
        <w:t>; considerando que</w:t>
      </w:r>
      <w:r w:rsidRPr="00B90551">
        <w:t xml:space="preserve"> o retrocesso crescente nos direitos das mulheres e na igualdade de género é impulsionado pelo aumento de movimentos </w:t>
      </w:r>
      <w:proofErr w:type="spellStart"/>
      <w:r w:rsidRPr="00B90551">
        <w:t>antigénero</w:t>
      </w:r>
      <w:proofErr w:type="spellEnd"/>
      <w:r w:rsidRPr="00B90551">
        <w:t xml:space="preserve"> e antidemocráticos</w:t>
      </w:r>
      <w:r w:rsidR="006E1F93" w:rsidRPr="00B90551">
        <w:t>; considerando que</w:t>
      </w:r>
      <w:r w:rsidRPr="00B90551">
        <w:t xml:space="preserve"> os recentes cortes na ajuda ao desenvolvimento por parte dos EUA afetam de maneira desproporcionada as mulheres e as raparigas em todo o mundo, o que acentua as vulnerabilidades e prejudica as comunidades</w:t>
      </w:r>
      <w:r w:rsidR="006E1F93" w:rsidRPr="00B90551">
        <w:t>; considerando que</w:t>
      </w:r>
      <w:r w:rsidRPr="00B90551">
        <w:t xml:space="preserve"> a Assembleia Geral das Nações Unidas alertou para uma resistência ativa à igualdade de género e para reações negativas aos direitos das mulheres a nível transnacional</w:t>
      </w:r>
      <w:r w:rsidR="006E1F93" w:rsidRPr="00B90551">
        <w:t>; considerando que</w:t>
      </w:r>
      <w:r w:rsidRPr="00B90551">
        <w:t xml:space="preserve"> existe uma necessidade urgente de reafirmar a igualdade efetiva e os direitos humanos das mulheres e das raparigas</w:t>
      </w:r>
      <w:r w:rsidRPr="00B90551">
        <w:rPr>
          <w:bCs/>
          <w:iCs/>
          <w:vertAlign w:val="superscript"/>
        </w:rPr>
        <w:footnoteReference w:id="5"/>
      </w:r>
      <w:r w:rsidRPr="00B90551">
        <w:t>;</w:t>
      </w:r>
    </w:p>
    <w:p w14:paraId="65DC358C" w14:textId="13388E34" w:rsidR="004B081E" w:rsidRPr="00B90551" w:rsidRDefault="004B081E" w:rsidP="004B081E">
      <w:pPr>
        <w:pStyle w:val="NormalHanging12a"/>
      </w:pPr>
      <w:r w:rsidRPr="00B90551">
        <w:t>C.</w:t>
      </w:r>
      <w:r w:rsidRPr="00B90551">
        <w:tab/>
        <w:t>Considerando que os direitos das mulheres e das raparigas, bem como a igualdade de género, são direitos humanos fundamentais e condições prévias essenciais para o desenvolvimento humano, a justiça social, a democracia, o Estado de direito, a melhoria do nível de vida, a redução da pobreza, a luta contra a crise climática e a construção de uma base necessária para um mundo pacífico, justo, próspero e sustentável</w:t>
      </w:r>
      <w:r w:rsidR="006E1F93" w:rsidRPr="00B90551">
        <w:t>; considerando que</w:t>
      </w:r>
      <w:r w:rsidRPr="00B90551">
        <w:t>, de um modo geral, a consecução dos direitos das mulheres e das raparigas em todo o mundo melhora a competitividade, promovendo o crescimento inclusivo, reduzindo as desigualdades e assegurando a plena utilização das competências e do potencial das mulheres em todos os setores da sociedade;</w:t>
      </w:r>
    </w:p>
    <w:p w14:paraId="4BFF21FC" w14:textId="7BB42A8B" w:rsidR="004B081E" w:rsidRPr="00B90551" w:rsidRDefault="004B081E" w:rsidP="004B081E">
      <w:pPr>
        <w:pStyle w:val="NormalHanging12a"/>
        <w:rPr>
          <w:bCs/>
          <w:iCs/>
        </w:rPr>
      </w:pPr>
      <w:r w:rsidRPr="00B90551">
        <w:t>D.</w:t>
      </w:r>
      <w:r w:rsidRPr="00B90551">
        <w:tab/>
        <w:t>Considerando que a pobreza e a discriminação são exacerbadas por fatores cruzados, como o racismo, a deficiência, o estatuto migratório, a orientação sexual, a identidade de género e as características sexuais, tal como salientado no artigo 21.º da Carta dos Direitos Fundamentais da União Europeia</w:t>
      </w:r>
      <w:r w:rsidR="006E1F93" w:rsidRPr="00B90551">
        <w:t>; considerando que</w:t>
      </w:r>
      <w:r w:rsidRPr="00B90551">
        <w:t xml:space="preserve"> a pobreza menstrual continua a ser um obstáculo significativo à igualdade de género, já que restringe a educação, a saúde e a participação económica de milhões de mulheres e raparigas em todo o mundo, o que limita o seu acesso à justiça e compromete a sua representação e participação em processos de tomada de decisão a todos os níveis;</w:t>
      </w:r>
    </w:p>
    <w:p w14:paraId="15C7B07E" w14:textId="1ECA5C77" w:rsidR="004B081E" w:rsidRPr="00B90551" w:rsidRDefault="004B081E" w:rsidP="004B081E">
      <w:pPr>
        <w:pStyle w:val="NormalHanging12a"/>
      </w:pPr>
      <w:r w:rsidRPr="00B90551">
        <w:t>E.</w:t>
      </w:r>
      <w:r w:rsidRPr="00B90551">
        <w:tab/>
        <w:t>Considerando que o acesso à justiça é amplamente reconhecido como um direito humano fundamental ao abrigo do direito internacional, um conceito central no domínio mais vasto da justiça e uma pedra angular do Estado de direito e da democracia</w:t>
      </w:r>
      <w:r w:rsidR="006E1F93" w:rsidRPr="00B90551">
        <w:t xml:space="preserve">; </w:t>
      </w:r>
      <w:r w:rsidR="006E1F93" w:rsidRPr="00B90551">
        <w:lastRenderedPageBreak/>
        <w:t>considerando que</w:t>
      </w:r>
      <w:r w:rsidRPr="00B90551">
        <w:t xml:space="preserve"> a UE reconhece o acesso à justiça como um direito fundamental ao abrigo do artigo 47.º da Carta dos Direitos Fundamentais da União Europeia</w:t>
      </w:r>
      <w:r w:rsidR="006E1F93" w:rsidRPr="00B90551">
        <w:t>; considerando que</w:t>
      </w:r>
      <w:r w:rsidRPr="00B90551">
        <w:t xml:space="preserve"> o acesso efetivo à justiça exige dados fiáveis, procedimentos transparentes, a elaboração de políticas com base em dados concretos e instituições imparciais que garantam que as mulheres e as raparigas possam exercer os seus direitos sem discriminação</w:t>
      </w:r>
      <w:r w:rsidR="006E1F93" w:rsidRPr="00B90551">
        <w:t>; considerando que</w:t>
      </w:r>
      <w:r w:rsidRPr="00B90551">
        <w:t xml:space="preserve"> o acesso à justiça é um direito humano fundamental baseado em leis justas, na aplicação efetiva, no apoio a preços acessíveis, em instituições responsivas às questões de género e em mecanismos de responsabilização</w:t>
      </w:r>
      <w:r w:rsidR="006E1F93" w:rsidRPr="00B90551">
        <w:t>; considerando que</w:t>
      </w:r>
      <w:r w:rsidRPr="00B90551">
        <w:t xml:space="preserve"> as leis discriminatórias, os estereótipos de género, os obstáculos financeiros e os preconceitos institucionais continuam a prejudicar muitas mulheres e raparigas, especialmente as que enfrentam discriminação interseccional</w:t>
      </w:r>
      <w:r w:rsidR="006E1F93" w:rsidRPr="00B90551">
        <w:t>; considerando que</w:t>
      </w:r>
      <w:r w:rsidRPr="00B90551">
        <w:t xml:space="preserve"> as mulheres e raparigas em situação de vulnerabilidade, incluindo as mulheres e raparigas com deficiência, as que vivem em zonas rurais ou remotas e as mulheres idosas, enfrentam frequentemente obstáculos adicionais para aceder à justiça e ao apoio jurídico</w:t>
      </w:r>
      <w:r w:rsidR="006E1F93" w:rsidRPr="00B90551">
        <w:t>; considerando que</w:t>
      </w:r>
      <w:r w:rsidRPr="00B90551">
        <w:t xml:space="preserve"> a digitalização e a inteligência artificial moldam cada vez mais o acesso à justiça, o que requer medidas contra a discriminação algorítmica, a exclusão digital e os danos em linha</w:t>
      </w:r>
      <w:r w:rsidR="006E1F93" w:rsidRPr="00B90551">
        <w:t>; considerando que</w:t>
      </w:r>
      <w:r w:rsidRPr="00B90551">
        <w:t xml:space="preserve"> o apoio judiciário é essencial para um acesso equitativo à justiça, ao passo que os intercâmbios de boas práticas contribuem para reforçar a qualidade e a coerência dos sistemas de apoio judiciário;</w:t>
      </w:r>
    </w:p>
    <w:p w14:paraId="28CA937D" w14:textId="544A16F3" w:rsidR="004B081E" w:rsidRPr="00B90551" w:rsidRDefault="004B081E" w:rsidP="004B081E">
      <w:pPr>
        <w:pStyle w:val="NormalHanging12a"/>
      </w:pPr>
      <w:r w:rsidRPr="00B90551">
        <w:t>F.</w:t>
      </w:r>
      <w:r w:rsidRPr="00B90551">
        <w:tab/>
        <w:t>Considerando que o acesso universal e equitativo das mulheres e das raparigas à justiça continua a ser uma questão complexa e crítica em todas as regiões do mundo, e é especialmente difícil em algumas regiões, em particular naquelas em que as instituições democráticas e o Estado de direito são fracos</w:t>
      </w:r>
      <w:r w:rsidR="006E1F93" w:rsidRPr="00B90551">
        <w:t>; considerando que</w:t>
      </w:r>
      <w:r w:rsidRPr="00B90551">
        <w:t xml:space="preserve"> a dissuasão económica, o acesso limitado ao apoio judiciário, os custos elevados, os procedimentos jurídicos complexos, as barreiras digitais e linguísticas, a desconfiança em relação aos sistemas judiciais, os estereótipos de género prevalecentes, os preconceitos raciais, a misoginia e a discriminação sistémica continuam a impedir as mulheres e as raparigas de acederem eficazmente à justiça;</w:t>
      </w:r>
    </w:p>
    <w:p w14:paraId="7E88E159" w14:textId="297D0B12" w:rsidR="004B081E" w:rsidRPr="00B90551" w:rsidRDefault="004B081E" w:rsidP="004B081E">
      <w:pPr>
        <w:pStyle w:val="NormalHanging12a"/>
      </w:pPr>
      <w:r w:rsidRPr="00B90551">
        <w:t>G.</w:t>
      </w:r>
      <w:r w:rsidRPr="00B90551">
        <w:tab/>
        <w:t>Considerando que as mulheres continuam a estar seriamente sub</w:t>
      </w:r>
      <w:r w:rsidRPr="00B90551">
        <w:noBreakHyphen/>
        <w:t>representadas em todo o mundo ao mais alto nível das autoridades judiciais e das autoridades competentes para o exercício da ação penal, em particular em cargos de liderança, como presidentes de tribunais, juízes presidentes e chefes de departamento do Ministério Público</w:t>
      </w:r>
      <w:r w:rsidR="006E1F93" w:rsidRPr="00B90551">
        <w:t>; considerando que</w:t>
      </w:r>
      <w:r w:rsidRPr="00B90551">
        <w:t xml:space="preserve"> a consecução de uma representação equilibrada de género nestes órgãos de decisão tem de ser uma prioridade</w:t>
      </w:r>
      <w:r w:rsidR="006E1F93" w:rsidRPr="00B90551">
        <w:t>; considerando que</w:t>
      </w:r>
      <w:r w:rsidRPr="00B90551">
        <w:t xml:space="preserve"> deve ser prosseguida uma abordagem sensível à dimensão de género, mesmo quando a presença de mulheres tenha sido assegurada</w:t>
      </w:r>
      <w:r w:rsidR="006E1F93" w:rsidRPr="00B90551">
        <w:t>; considerando que</w:t>
      </w:r>
      <w:r w:rsidRPr="00B90551">
        <w:t xml:space="preserve"> a integração de uma perspetiva de género na tomada de decisões judiciais é essencial para garantir a igualdade de acesso à justiça para as mulheres e as raparigas, e exige a avaliação dos factos e a aplicação da lei sem preconceitos de género e estereótipos nocivos, tanto na própria decisão como no processo pelo qual é tomada</w:t>
      </w:r>
      <w:r w:rsidR="006E1F93" w:rsidRPr="00B90551">
        <w:t>; considerando que</w:t>
      </w:r>
      <w:r w:rsidRPr="00B90551">
        <w:t>, em 2024, o Comité das Nações Unidas para a Eliminação da Discriminação contra as Mulheres (CEDAW) emitiu a Recomendação Geral n.º 40 sobre a representação equitativa e inclusiva das mulheres nos sistemas de tomada de decisão, tanto em termos de igualdade de acesso como de igualdade de poder nestes sistemas;</w:t>
      </w:r>
    </w:p>
    <w:p w14:paraId="643A0359" w14:textId="57B07B97" w:rsidR="004B081E" w:rsidRPr="00B90551" w:rsidRDefault="004B081E" w:rsidP="004B081E">
      <w:pPr>
        <w:pStyle w:val="NormalHanging12a"/>
      </w:pPr>
      <w:r w:rsidRPr="00B90551">
        <w:t>H.</w:t>
      </w:r>
      <w:r w:rsidRPr="00B90551">
        <w:tab/>
        <w:t>Considerando que as Nações Unidas apoiam ativamente uma maior participação das mulheres no setor da justiça através de iniciativas e campanhas específicas</w:t>
      </w:r>
      <w:r w:rsidR="006E1F93" w:rsidRPr="00B90551">
        <w:t>; considerando que</w:t>
      </w:r>
      <w:r w:rsidRPr="00B90551">
        <w:t xml:space="preserve"> uma maior representação das mulheres nas instituições judiciais está associada a abordagens da justiça mais centradas nas vítimas e é essencial para garantir </w:t>
      </w:r>
      <w:r w:rsidRPr="00B90551">
        <w:lastRenderedPageBreak/>
        <w:t>que as vítimas se sintam apoiadas e ouvidas quando se apresentam e procuram aceder à justiça</w:t>
      </w:r>
      <w:r w:rsidR="006E1F93" w:rsidRPr="00B90551">
        <w:t>; considerando que</w:t>
      </w:r>
      <w:r w:rsidRPr="00B90551">
        <w:t xml:space="preserve"> são necessárias regras claras e disposições legislativas sólidas, formação sobre a sua aplicação e iniciativas de sensibilização em matéria de género e justiça, tanto para os profissionais do setor da justiça como para a sociedade civil;</w:t>
      </w:r>
    </w:p>
    <w:p w14:paraId="209F5C74" w14:textId="4E18674D" w:rsidR="004B081E" w:rsidRPr="00B90551" w:rsidRDefault="004B081E" w:rsidP="004B081E">
      <w:pPr>
        <w:pStyle w:val="NormalHanging12a"/>
      </w:pPr>
      <w:r w:rsidRPr="00B90551">
        <w:t>I.</w:t>
      </w:r>
      <w:r w:rsidRPr="00B90551">
        <w:tab/>
        <w:t>Considerando que a violência contra as mulheres, a violência de género e a violência doméstica constituem violações dos direitos fundamentais</w:t>
      </w:r>
      <w:r w:rsidR="006E1F93" w:rsidRPr="00B90551">
        <w:t>; considerando que</w:t>
      </w:r>
      <w:r w:rsidRPr="00B90551">
        <w:t xml:space="preserve"> os sistemas jurídicos devem responder plenamente às necessidades específicas das vítimas, proporcionando proteção adequada, vias de recurso eficazes, serviços de apoio acessíveis e formação apropriada às autoridades competentes que entram em contacto com as vítimas de violência de género, a fim de evitar a vitimização secundária</w:t>
      </w:r>
      <w:r w:rsidR="006E1F93" w:rsidRPr="00B90551">
        <w:t>; considerando que</w:t>
      </w:r>
      <w:r w:rsidRPr="00B90551">
        <w:t xml:space="preserve"> muitas mulheres e raparigas continuam a enfrentar obstáculos consideráveis à denúncia de abusos e à obtenção de assistência jurídica</w:t>
      </w:r>
      <w:r w:rsidR="006E1F93" w:rsidRPr="00B90551">
        <w:t>; considerando que</w:t>
      </w:r>
      <w:r w:rsidRPr="00B90551">
        <w:t xml:space="preserve"> todas as formas de violência — incluindo os abusos psicológicos, emocionais e mentais, bem como o controlo coercivo e financeiro — devem ser formalmente reconhecidas</w:t>
      </w:r>
      <w:r w:rsidR="006E1F93" w:rsidRPr="00B90551">
        <w:t>; considerando que</w:t>
      </w:r>
      <w:r w:rsidRPr="00B90551">
        <w:t xml:space="preserve"> a persistência de estereótipos de género, da misoginia e do sexismo no seio das instituições, juntamente com obstáculos estruturais e processuais, continuam a prejudicar as mulheres vítimas de violência quando tentam aceder à justiça</w:t>
      </w:r>
      <w:r w:rsidR="006E1F93" w:rsidRPr="00B90551">
        <w:t>; considerando que</w:t>
      </w:r>
      <w:r w:rsidRPr="00B90551">
        <w:t xml:space="preserve"> a especialização judicial em matéria de violência de género se revelou eficaz, uma vez que concentra conhecimentos especializados, melhora a gestão dos processos e promove um ambiente mais sensível à dimensão de género e mais favorável às vítimas</w:t>
      </w:r>
      <w:r w:rsidRPr="00B90551">
        <w:rPr>
          <w:vertAlign w:val="superscript"/>
        </w:rPr>
        <w:footnoteReference w:id="6"/>
      </w:r>
      <w:r w:rsidRPr="00B90551">
        <w:t>;</w:t>
      </w:r>
    </w:p>
    <w:p w14:paraId="1CAA8FEE" w14:textId="193FC30D" w:rsidR="004B081E" w:rsidRPr="00B90551" w:rsidRDefault="004B081E" w:rsidP="004B081E">
      <w:pPr>
        <w:pStyle w:val="NormalHanging12a"/>
        <w:rPr>
          <w:bCs/>
          <w:iCs/>
          <w:szCs w:val="24"/>
        </w:rPr>
      </w:pPr>
      <w:r w:rsidRPr="00B90551">
        <w:t>J.</w:t>
      </w:r>
      <w:r w:rsidRPr="00B90551">
        <w:tab/>
        <w:t>Considerando que o assédio no local de trabalho e em contextos políticos, judiciais, académicos ou em linha, constitui um obstáculo que impede as mulheres de acederem à justiça e de entrarem ou permanecerem em cargos públicos e de decisão</w:t>
      </w:r>
      <w:r w:rsidR="006E1F93" w:rsidRPr="00B90551">
        <w:t>; considerando que</w:t>
      </w:r>
      <w:r w:rsidRPr="00B90551">
        <w:t xml:space="preserve"> a violência generalizada em linha, o discurso de ódio e os crimes de ódio cada vez mais dirigidos às mulheres e às raparigas têm graves consequências no seu dia a dia, dado que limitam a participação na vida pública e comprometem a representação equitativa;</w:t>
      </w:r>
    </w:p>
    <w:p w14:paraId="5660635E" w14:textId="26BCA9DC" w:rsidR="004B081E" w:rsidRPr="00B90551" w:rsidRDefault="004B081E" w:rsidP="004B081E">
      <w:pPr>
        <w:pStyle w:val="NormalHanging12a"/>
        <w:rPr>
          <w:bCs/>
          <w:iCs/>
        </w:rPr>
      </w:pPr>
      <w:r w:rsidRPr="00B90551">
        <w:t>K.</w:t>
      </w:r>
      <w:r w:rsidRPr="00B90551">
        <w:tab/>
        <w:t>Considerando que os conflitos armados, as deslocações forçadas, as consequências das alterações climáticas e as emergências humanitárias agravam as desigualdades e enfraquecem os sistemas de proteção, expondo as mulheres e as raparigas a um risco acrescido de violência de género, incluindo casamentos forçados, violência sexual durante as deslocações, tráfico de seres humanos, violência de género em centros de acolhimento ou de asilo e violência sexual e tortura utilizadas como táticas de guerra</w:t>
      </w:r>
      <w:r w:rsidR="006E1F93" w:rsidRPr="00B90551">
        <w:t>; considerando que</w:t>
      </w:r>
      <w:r w:rsidRPr="00B90551">
        <w:t xml:space="preserve"> a violência sexual relacionada com conflitos continua a ser uma das violações dos direitos humanos mais generalizadas, utilizada para aterrorizar as populações civis, reprimir a resistência e destruir comunidades, e constitui um crime de guerra, um crime contra a humanidade ou atos que contribuem para o genocídio ao abrigo do direito internacional</w:t>
      </w:r>
      <w:r w:rsidR="006E1F93" w:rsidRPr="00B90551">
        <w:t>; considerando que</w:t>
      </w:r>
      <w:r w:rsidRPr="00B90551">
        <w:t xml:space="preserve"> a Agenda das Nações Unidas para as Mulheres, a Paz e a Segurança é fundamental para dar resposta aos atuais desafios mundiais em matéria de paz e segurança</w:t>
      </w:r>
      <w:r w:rsidR="006E1F93" w:rsidRPr="00B90551">
        <w:t>; considerando que</w:t>
      </w:r>
      <w:r w:rsidRPr="00B90551">
        <w:t xml:space="preserve"> os conflitos armados em curso, assim como as ameaças emergentes e cada vez mais complexas em matéria de segurança, afetam desproporcionadamente as mulheres e as raparigas e conduziram a uma deterioração do seu estatuto, com consequências prejudiciais para o pleno gozo dos </w:t>
      </w:r>
      <w:r w:rsidRPr="00B90551">
        <w:lastRenderedPageBreak/>
        <w:t>seus direitos humanos a nível mundial;</w:t>
      </w:r>
    </w:p>
    <w:p w14:paraId="4AD0F90B" w14:textId="77777777" w:rsidR="004B081E" w:rsidRPr="00B90551" w:rsidRDefault="004B081E" w:rsidP="004B081E">
      <w:pPr>
        <w:pStyle w:val="NormalHanging12a"/>
        <w:rPr>
          <w:bCs/>
          <w:iCs/>
          <w:szCs w:val="24"/>
        </w:rPr>
      </w:pPr>
      <w:r w:rsidRPr="00B90551">
        <w:t>L.</w:t>
      </w:r>
      <w:r w:rsidRPr="00B90551">
        <w:tab/>
        <w:t>Considerando que a Convenção de Istambul é um dos instrumentos jurídicos internacionais mais avançados que estabelece obrigações vinculativas para prevenir e combater a violência de género;</w:t>
      </w:r>
    </w:p>
    <w:p w14:paraId="4DEF0A6A" w14:textId="347690D0" w:rsidR="004B081E" w:rsidRPr="00B90551" w:rsidRDefault="004B081E" w:rsidP="004B081E">
      <w:pPr>
        <w:pStyle w:val="NormalHanging12a"/>
        <w:rPr>
          <w:bCs/>
          <w:iCs/>
        </w:rPr>
      </w:pPr>
      <w:r w:rsidRPr="00B90551">
        <w:t>M.</w:t>
      </w:r>
      <w:r w:rsidRPr="00B90551">
        <w:tab/>
        <w:t>Considerando que as violações dos direitos em matéria de saúde e direitos sexuais e reprodutivos (SDSR), incluindo a recusa de prestação de serviços relacionados com o aborto seguros e legais, e todas as formas de violência obstétrica e ginecológica, constituem formas de violência de género e violam os direitos humanos fundamentais</w:t>
      </w:r>
      <w:r w:rsidR="006E1F93" w:rsidRPr="00B90551">
        <w:t>; considerando que</w:t>
      </w:r>
      <w:r w:rsidRPr="00B90551">
        <w:t>, devido a normas sociais arraigadas, a violência de género é legitimada, o acesso aos serviços de saúde, incluindo aos cuidados de saúde sexual e reprodutiva, é limitado, o trabalho de prestação de cuidados não remunerado é realizado principalmente por mulheres e as oportunidades de liderança das mulheres são escassas</w:t>
      </w:r>
      <w:r w:rsidR="006E1F93" w:rsidRPr="00B90551">
        <w:t>; considerando que</w:t>
      </w:r>
      <w:r w:rsidRPr="00B90551">
        <w:t xml:space="preserve"> o acesso a cuidados de saúde sexual e reprodutiva, incluindo o aborto seguro e legal, é um direito humano fundamental que deve ser respeitado à escala mundial</w:t>
      </w:r>
      <w:r w:rsidR="006E1F93" w:rsidRPr="00B90551">
        <w:t>; considerando que</w:t>
      </w:r>
      <w:r w:rsidRPr="00B90551">
        <w:t xml:space="preserve"> milhões de mulheres ainda não dispõem desse acesso, o que as expõe a danos físicos e a </w:t>
      </w:r>
      <w:r w:rsidRPr="00B90551">
        <w:rPr>
          <w:i/>
          <w:iCs/>
        </w:rPr>
        <w:t>stress</w:t>
      </w:r>
      <w:r w:rsidRPr="00B90551">
        <w:t xml:space="preserve"> económico e psicológico</w:t>
      </w:r>
      <w:r w:rsidR="006E1F93" w:rsidRPr="00B90551">
        <w:t>; considerando que</w:t>
      </w:r>
      <w:r w:rsidRPr="00B90551">
        <w:t xml:space="preserve"> as ameaças e os ataques contra as organizações da sociedade civil e os defensores dos direitos humanos, em particular os que apoiam a SDSR, estão a aumentar a um ritmo alarmante;</w:t>
      </w:r>
    </w:p>
    <w:p w14:paraId="666F622B" w14:textId="439E5600" w:rsidR="004B081E" w:rsidRPr="00B90551" w:rsidRDefault="004B081E" w:rsidP="004B081E">
      <w:pPr>
        <w:pStyle w:val="NormalHanging12a"/>
        <w:rPr>
          <w:bCs/>
          <w:iCs/>
        </w:rPr>
      </w:pPr>
      <w:r w:rsidRPr="00B90551">
        <w:t>N.</w:t>
      </w:r>
      <w:r w:rsidRPr="00B90551">
        <w:tab/>
        <w:t>Considerando que a violência sexual continua a ser uma das violações mais comuns dos direitos humanos e é frequentemente utilizada como tática de guerra para aterrorizar as populações civis e destruir comunidades</w:t>
      </w:r>
      <w:r w:rsidR="006E1F93" w:rsidRPr="00B90551">
        <w:t>; considerando que</w:t>
      </w:r>
      <w:r w:rsidRPr="00B90551">
        <w:t xml:space="preserve"> são necessárias medidas urgentes para pôr termo à impunidade, a este respeito, e garantir justiça para as vítimas de violação;</w:t>
      </w:r>
    </w:p>
    <w:p w14:paraId="5A15E768" w14:textId="2D44E03C" w:rsidR="004B081E" w:rsidRPr="00B90551" w:rsidRDefault="004B081E" w:rsidP="004B081E">
      <w:pPr>
        <w:pStyle w:val="NormalHanging12a"/>
      </w:pPr>
      <w:r w:rsidRPr="00B90551">
        <w:t>O.</w:t>
      </w:r>
      <w:r w:rsidRPr="00B90551">
        <w:tab/>
        <w:t>Considerando que a estereotipia de género na justiça e as normas de género prevalecentes, juntamente com uma informação insuficiente, podem dificultar o acesso efetivo à justiça por parte das mulheres e raparigas vítimas e sobreviventes de violência</w:t>
      </w:r>
      <w:r w:rsidR="006E1F93" w:rsidRPr="00B90551">
        <w:t>; considerando que</w:t>
      </w:r>
      <w:r w:rsidRPr="00B90551">
        <w:t xml:space="preserve"> a violência de género e os obstáculos ao acesso das mulheres à justiça podem afetar a sua plena participação na vida pública</w:t>
      </w:r>
      <w:r w:rsidR="006E1F93" w:rsidRPr="00B90551">
        <w:t>; considerando que</w:t>
      </w:r>
      <w:r w:rsidRPr="00B90551">
        <w:t xml:space="preserve"> esta situação compromete a confiança das mulheres e das raparigas no sistema judicial e contribui para uma baixa taxa de denúncias, especialmente em casos de violência de género</w:t>
      </w:r>
      <w:r w:rsidR="006E1F93" w:rsidRPr="00B90551">
        <w:t>; considerando que</w:t>
      </w:r>
      <w:r w:rsidRPr="00B90551">
        <w:t xml:space="preserve"> muitas sobreviventes continuam a ser vítimas de culpabilização, estigma e vitimização secundária, o que as dissuade ainda mais de recorrer à justiça, também por medo de retaliação;</w:t>
      </w:r>
    </w:p>
    <w:p w14:paraId="155B6E2E" w14:textId="33DCC09D" w:rsidR="004B081E" w:rsidRPr="00B90551" w:rsidRDefault="004B081E" w:rsidP="004B081E">
      <w:pPr>
        <w:pStyle w:val="NormalHanging12a"/>
        <w:rPr>
          <w:bCs/>
          <w:iCs/>
        </w:rPr>
      </w:pPr>
      <w:r w:rsidRPr="00B90551">
        <w:t>P.</w:t>
      </w:r>
      <w:r w:rsidRPr="00B90551">
        <w:tab/>
        <w:t>Considerando que os estereótipos de género, a misoginia e o sexismo no sistema judicial continuam a reforçar as desigualdades de género, o que perpetua atitudes tendenciosas, práticas discriminatórias e dinâmicas de poder desiguais</w:t>
      </w:r>
      <w:r w:rsidR="006E1F93" w:rsidRPr="00B90551">
        <w:t>; considerando que</w:t>
      </w:r>
      <w:r w:rsidRPr="00B90551">
        <w:t xml:space="preserve"> estes obstáculos sistémicos comprometem a confiança das mulheres no recurso à justiça, limitam a sua representação justa e contribuem para a persistência da injustiça e da marginalização nos processos judiciais</w:t>
      </w:r>
      <w:r w:rsidR="006E1F93" w:rsidRPr="00B90551">
        <w:t>; considerando que</w:t>
      </w:r>
      <w:r w:rsidRPr="00B90551">
        <w:t xml:space="preserve"> a presença de preconceitos e estereótipos de género no sistema judicial foi plenamente exposta e denunciada pelo movimento «</w:t>
      </w:r>
      <w:proofErr w:type="spellStart"/>
      <w:r w:rsidRPr="00B90551">
        <w:t>MeToo</w:t>
      </w:r>
      <w:proofErr w:type="spellEnd"/>
      <w:r w:rsidRPr="00B90551">
        <w:t>», que mobilizou mulheres e raparigas em todos os continentes, demonstrando que, apesar dos diversos contextos sociais, económicos e jurídicos, os desafios enfrentados pelas mulheres e raparigas nos sistemas judiciais são muito semelhantes e, por conseguinte, exigem uma ação concertada;</w:t>
      </w:r>
    </w:p>
    <w:p w14:paraId="6F9E95AD" w14:textId="77777777" w:rsidR="004B081E" w:rsidRPr="00B90551" w:rsidRDefault="004B081E" w:rsidP="004B081E">
      <w:pPr>
        <w:pStyle w:val="NormalHanging12a"/>
      </w:pPr>
      <w:r w:rsidRPr="00B90551">
        <w:t>1.</w:t>
      </w:r>
      <w:r w:rsidRPr="00B90551">
        <w:tab/>
        <w:t>Recomenda ao Conselho que:</w:t>
      </w:r>
    </w:p>
    <w:p w14:paraId="31E10C2E" w14:textId="77777777" w:rsidR="004B081E" w:rsidRPr="00B90551" w:rsidRDefault="004B081E" w:rsidP="00933406">
      <w:pPr>
        <w:pStyle w:val="NormalHanging12a"/>
        <w:ind w:left="1134"/>
      </w:pPr>
      <w:r w:rsidRPr="00B90551">
        <w:lastRenderedPageBreak/>
        <w:t>a)</w:t>
      </w:r>
      <w:r w:rsidRPr="00B90551">
        <w:tab/>
        <w:t>Reafirme o forte empenho da UE na igualdade de género e garanta a plena aplicação dos direitos das mulheres e das raparigas em todos os aspetos da ação externa da UE, incluindo o desenvolvimento, o comércio e a política externa, através de uma abordagem devidamente financiada, inclusiva e interseccional que ponha em causa os estereótipos de género e se baseie no princípio da não discriminação, a fim de fazer progredir rapidamente a igualdade de género;</w:t>
      </w:r>
    </w:p>
    <w:p w14:paraId="219CFDC8" w14:textId="77777777" w:rsidR="004B081E" w:rsidRPr="00B90551" w:rsidRDefault="004B081E" w:rsidP="00933406">
      <w:pPr>
        <w:pStyle w:val="NormalHanging12a"/>
        <w:ind w:left="1134"/>
      </w:pPr>
      <w:r w:rsidRPr="00B90551">
        <w:t>b)</w:t>
      </w:r>
      <w:r w:rsidRPr="00B90551">
        <w:tab/>
        <w:t>Vele pela plena participação do Parlamento e da sua Comissão dos Direitos da Mulher e da Igualdade dos Géneros no processo de tomada de decisão sobre a posição da UE na 70.ª sessão da Comissão das Nações Unidas sobre o Estatuto da Mulher; assegure que o Parlamento disponha de informações adequadas e de acesso ao documento de posição da UE antes das negociações; continue a melhorar a cooperação interinstitucional, nomeadamente durante as negociações, para que as prioridades do Parlamento sejam devidamente integradas; ressalte que a participação e o papel de liderança das mulheres na tomada de decisões, incluindo na política externa e na manutenção da paz, continuam a ser insuficientes; reconheça que vários estudos demonstraram que os acordos de paz alcançados com a participação ativa das mulheres  têm mais hipóteses de serem sustentáveis e eficazes</w:t>
      </w:r>
      <w:r w:rsidRPr="00B90551">
        <w:rPr>
          <w:vertAlign w:val="superscript"/>
        </w:rPr>
        <w:footnoteReference w:id="7"/>
      </w:r>
      <w:r w:rsidRPr="00B90551">
        <w:t>; refira que as recentes avaliações a nível mundial sublinham que, apesar dos atuais compromissos, os progressos realizados na promoção da participação e liderança plenas, equitativas e significativas das mulheres nos processos de paz e segurança continuam a ser limitados;</w:t>
      </w:r>
    </w:p>
    <w:p w14:paraId="1EC0968F" w14:textId="77777777" w:rsidR="004B081E" w:rsidRPr="00B90551" w:rsidRDefault="004B081E" w:rsidP="00933406">
      <w:pPr>
        <w:pStyle w:val="NormalHanging12a"/>
        <w:ind w:left="1134"/>
        <w:rPr>
          <w:bCs/>
          <w:iCs/>
        </w:rPr>
      </w:pPr>
      <w:r w:rsidRPr="00B90551">
        <w:t>c)</w:t>
      </w:r>
      <w:r w:rsidRPr="00B90551">
        <w:tab/>
        <w:t xml:space="preserve">Reitere o empenho da UE na igualdade de género enquanto prioridade horizontal; apoie e defenda os valores da diversidade, da igualdade e da inclusão; destaque a necessidade de desenvolver um instrumento abrangente para acompanhar e combater o retrocesso democrático e o retrocesso nos direitos das mulheres, que estão intrinsecamente ligados; assuma a liderança na luta mundial contra o retrocesso em matéria de igualdade de género e condene veementemente os ataques de movimentos </w:t>
      </w:r>
      <w:proofErr w:type="spellStart"/>
      <w:r w:rsidRPr="00B90551">
        <w:t>antigénero</w:t>
      </w:r>
      <w:proofErr w:type="spellEnd"/>
      <w:r w:rsidRPr="00B90551">
        <w:t xml:space="preserve"> e </w:t>
      </w:r>
      <w:proofErr w:type="spellStart"/>
      <w:r w:rsidRPr="00B90551">
        <w:t>antidireitos</w:t>
      </w:r>
      <w:proofErr w:type="spellEnd"/>
      <w:r w:rsidRPr="00B90551">
        <w:t>, que espalham mentiras, comprometem a democracia e visam os direitos das mulheres e das pessoas LGBTIQ+;</w:t>
      </w:r>
    </w:p>
    <w:p w14:paraId="46BB9A7E" w14:textId="6A64B2B5" w:rsidR="004B081E" w:rsidRPr="00B90551" w:rsidRDefault="004E23FE" w:rsidP="00933406">
      <w:pPr>
        <w:pStyle w:val="NormalHanging12a"/>
        <w:ind w:left="1134"/>
        <w:rPr>
          <w:bCs/>
          <w:iCs/>
        </w:rPr>
      </w:pPr>
      <w:r w:rsidRPr="00B90551">
        <w:t>d</w:t>
      </w:r>
      <w:r w:rsidR="004B081E" w:rsidRPr="00B90551">
        <w:t>)</w:t>
      </w:r>
      <w:r w:rsidR="004B081E" w:rsidRPr="00B90551">
        <w:tab/>
        <w:t xml:space="preserve">Assegure que a UE e os instrumentos europeus e internacionais sejam complementares e ambiciosos, com disposições sólidas e substantivas para empoderar as mulheres e as raparigas, e garantir o acesso à justiça; saliente que o direito a apoio judiciário e a assistência jurídica é essencial para garantir o acesso universal e equitativo à justiça para todos e a participação efetiva nos processos pertinentes; sublinhe, além disso, que as pessoas com deficiência, especialmente as mulheres e raparigas com deficiência, enfrentam obstáculos práticos e estruturais no acesso à justiça e à participação pública; ressalte a necessidade de medidas específicas para garantir a sua plena inclusão e o acesso universal a uma proteção eficaz; assegure que a UE demonstre uma liderança forte e adote uma posição unificada em matéria de sistemas judiciais inclusivos e imparciais; preconize quadros jurídicos abrangentes que protejam os direitos das mulheres e garantam a participação plena e equitativa das mulheres, das raparigas e das pessoas em toda a sua diversidade, tanto ao abrigo do direito nacional como do </w:t>
      </w:r>
      <w:r w:rsidR="004B081E" w:rsidRPr="00B90551">
        <w:lastRenderedPageBreak/>
        <w:t>direito internacional; inste a que se garanta e promova o direito das vítimas a uma indemnização atempada paga pelo autor da infração no âmbito do processo penal, e a que se proceda ao intercâmbio de boas práticas para prevenir a vitimização secundária, nomeadamente através de mecanismos de sub</w:t>
      </w:r>
      <w:r w:rsidR="004B081E" w:rsidRPr="00B90551">
        <w:noBreakHyphen/>
        <w:t>rogação do Estado;</w:t>
      </w:r>
    </w:p>
    <w:p w14:paraId="2622A91E" w14:textId="1ADB990F" w:rsidR="004B081E" w:rsidRPr="00B90551" w:rsidRDefault="004E23FE" w:rsidP="00933406">
      <w:pPr>
        <w:pStyle w:val="NormalHanging12a"/>
        <w:ind w:left="1134"/>
      </w:pPr>
      <w:r w:rsidRPr="00B90551">
        <w:t>e</w:t>
      </w:r>
      <w:r w:rsidR="004B081E" w:rsidRPr="00B90551">
        <w:t>)</w:t>
      </w:r>
      <w:r w:rsidR="004B081E" w:rsidRPr="00B90551">
        <w:tab/>
        <w:t xml:space="preserve">Tome medidas para aplicar plenamente os compromissos existentes em matéria de igualdade de género e de empoderamento das mulheres, assegurando a proteção da igualdade de direitos humanos e liberdades fundamentais das mulheres sem discriminação, a fim de promover a sua participação na vida pública; </w:t>
      </w:r>
    </w:p>
    <w:p w14:paraId="6B78F935" w14:textId="53F22F54" w:rsidR="00B804D9" w:rsidRPr="00B90551" w:rsidRDefault="007A7422" w:rsidP="00933406">
      <w:pPr>
        <w:pStyle w:val="NormalHanging12a"/>
        <w:ind w:left="1134"/>
      </w:pPr>
      <w:r w:rsidRPr="00B90551">
        <w:t>f</w:t>
      </w:r>
      <w:r w:rsidR="00B804D9" w:rsidRPr="00B90551">
        <w:t>)</w:t>
      </w:r>
      <w:r w:rsidR="00B804D9" w:rsidRPr="00B90551">
        <w:tab/>
        <w:t>Saliente a importância de apoiar políticas públicas que promovem e apoiam a maternidade;</w:t>
      </w:r>
    </w:p>
    <w:p w14:paraId="1ABEB978" w14:textId="758B98DB" w:rsidR="004B081E" w:rsidRPr="00B90551" w:rsidRDefault="004B081E" w:rsidP="00933406">
      <w:pPr>
        <w:pStyle w:val="NormalHanging12a"/>
        <w:ind w:left="1134"/>
        <w:rPr>
          <w:bCs/>
          <w:iCs/>
        </w:rPr>
      </w:pPr>
      <w:r w:rsidRPr="00B90551">
        <w:t>g)</w:t>
      </w:r>
      <w:r w:rsidRPr="00B90551">
        <w:tab/>
        <w:t>Realce a importância de garantir às mulheres e às raparigas um acesso efetivo à justiça a todos os níveis, incluindo canais de denúncia claros e um rápido tratamento de medidas de proteção e apoio; elimine os obstáculos, em especial para os grupos desfavorecidos e vulneráveis de mulheres, que enfrentam frequentemente barreiras ao acesso à justiça, devido ao efeito multiplicador dos recursos limitados e subfinanciados do sistema judicial, bem como a fatores socioeconómicos e socioculturais, e à discriminação interseccional; assegure serviços de apoio e proteção adequados e centrados nas vítimas em casos de violência de género, e evite qualquer forma de vitimização secundária quando são apresentadas denúncias à polícia ou durante os processos judiciais; frise que a desigualdade económica continua a ser um obstáculo significativo ao acesso à justiça;</w:t>
      </w:r>
    </w:p>
    <w:p w14:paraId="21DDF4B5" w14:textId="7367DF47" w:rsidR="004B081E" w:rsidRPr="00B90551" w:rsidRDefault="004B081E" w:rsidP="00933406">
      <w:pPr>
        <w:pStyle w:val="NormalHanging12a"/>
        <w:ind w:left="1134"/>
        <w:rPr>
          <w:bCs/>
          <w:iCs/>
        </w:rPr>
      </w:pPr>
      <w:r w:rsidRPr="00B90551">
        <w:t>h)</w:t>
      </w:r>
      <w:r w:rsidRPr="00B90551">
        <w:tab/>
        <w:t xml:space="preserve">Realce a necessidade de reconhecer o </w:t>
      </w:r>
      <w:r w:rsidRPr="00B90551">
        <w:rPr>
          <w:i/>
          <w:iCs/>
        </w:rPr>
        <w:t>apartheid</w:t>
      </w:r>
      <w:r w:rsidRPr="00B90551">
        <w:t xml:space="preserve"> de género como um crime contra a humanidade ao abrigo do Estatuto de Roma e defenda o seu reconhecimento internacional, por forma a assegurar o acesso à justiça, a responsabilização e a possibilidade de ação penal por parte de tribunais internacionais; apoie a definição de «</w:t>
      </w:r>
      <w:r w:rsidRPr="00B90551">
        <w:rPr>
          <w:i/>
          <w:iCs/>
        </w:rPr>
        <w:t>apartheid</w:t>
      </w:r>
      <w:r w:rsidRPr="00B90551">
        <w:t xml:space="preserve"> de género» do grupo de trabalho das Nações Unidas sobre a discriminação contra as mulheres e as raparigas como atos que ocorrem dentro de um sistema institucionalizado de discriminação e dominação baseadas no género;</w:t>
      </w:r>
    </w:p>
    <w:p w14:paraId="5B017B80" w14:textId="08B8BA40" w:rsidR="004B081E" w:rsidRPr="00B90551" w:rsidRDefault="004B081E" w:rsidP="00933406">
      <w:pPr>
        <w:pStyle w:val="NormalHanging12a"/>
        <w:ind w:left="1134"/>
        <w:rPr>
          <w:rFonts w:eastAsiaTheme="minorHAnsi"/>
          <w:bCs/>
          <w:iCs/>
          <w:szCs w:val="24"/>
        </w:rPr>
      </w:pPr>
      <w:r w:rsidRPr="00B90551">
        <w:t>i)</w:t>
      </w:r>
      <w:r w:rsidRPr="00B90551">
        <w:tab/>
        <w:t>Assegure o intercâmbio de boas práticas, designadamente através de formação judiciária, no que diz respeito aos efeitos psicológicos, mentais, físicos, coercivos e financeiros da violência de género; se comprometa e incentivar a integração de uma perspetiva de género na tomada de decisões judiciais; encoraje a possibilidade de disponibilizar advogadas às vítimas, mediante pedido; promova uma formação sensível à dimensão de género e centrada nas vítimas para os funcionários que entrem em contacto com elas, em consonância com as suas funções, incluindo autoridades da polícia, procuradores e juízes, por forma a prevenir a vitimização secundária, combater os estereótipos e preconceitos de género, e assegurar um tratamento respeitoso, sensível ao trauma e não discriminatório das vítimas;</w:t>
      </w:r>
    </w:p>
    <w:p w14:paraId="62EBBCBB" w14:textId="31CDD90E" w:rsidR="004B081E" w:rsidRPr="00B90551" w:rsidRDefault="004B081E" w:rsidP="00933406">
      <w:pPr>
        <w:pStyle w:val="NormalHanging12a"/>
        <w:ind w:left="1134"/>
        <w:rPr>
          <w:bCs/>
          <w:iCs/>
        </w:rPr>
      </w:pPr>
      <w:r w:rsidRPr="00B90551">
        <w:t>j)</w:t>
      </w:r>
      <w:r w:rsidRPr="00B90551">
        <w:tab/>
        <w:t xml:space="preserve">Saliente a importância de assegurar às mulheres e raparigas informações acessíveis, abrangentes e coerentes sobre os seus direitos, apoio e proteção, em todas as fases do processo judicial, especialmente em casos de violência contra as mulheres ou de violência doméstica, nomeadamente através de iniciativas de sensibilização; destaque a necessidade de apoiar programas de capacitação jurídica de base que ajudem as mulheres e as raparigas a compreender e exercer os </w:t>
      </w:r>
      <w:r w:rsidRPr="00B90551">
        <w:lastRenderedPageBreak/>
        <w:t>seus direitos; incentive a criação de serviços de apoio gerais e especializados para as vítimas de crimes, e assegure a sua coordenação eficaz e métodos de encaminhamento; saliente o papel fundamental que estes serviços desempenham no momento de informar as vítimas sobre os seus direitos e na facilitação do seu acesso à justiça; assegure que as informações prestadas às vítimas sejam de fácil acesso e disponibilizadas numa linguagem clara; promova a existência e a utilização de linhas de apoio às vítimas, e assegure a sua disponibilidade através de vários canais, incluindo por telefone e através das tecnologias da informação e da comunicação; reconheça que o acesso limitado às tecnologias da informação e da comunicação em muitos países em todo o mundo dificulta a plena realização do potencial das mulheres e das raparigas;</w:t>
      </w:r>
    </w:p>
    <w:p w14:paraId="08B44CF8" w14:textId="410CC394" w:rsidR="004B081E" w:rsidRPr="00B90551" w:rsidRDefault="004B081E" w:rsidP="00933406">
      <w:pPr>
        <w:pStyle w:val="NormalHanging12a"/>
        <w:ind w:left="1134"/>
        <w:rPr>
          <w:rFonts w:eastAsiaTheme="minorHAnsi"/>
          <w:bCs/>
          <w:iCs/>
          <w:szCs w:val="24"/>
        </w:rPr>
      </w:pPr>
      <w:r w:rsidRPr="00B90551">
        <w:t>k)</w:t>
      </w:r>
      <w:r w:rsidRPr="00B90551">
        <w:tab/>
        <w:t>Se comprometa a garantir o acesso das vítimas a apoio judiciário desde o início do processo civil ou penal e a promover esta abordagem a nível mundial, juntamente com parceiros internacionais; recomende a integração da perspetiva de género em todas as políticas, leis, procedimentos, programas e práticas, a fim de eliminar os obstáculos específicos com que se deparam as mulheres e as raparigas, designadamente conhecimentos limitados sobre os seus direitos, atitudes discriminatórias e estereótipos de género nos sistemas judiciais, assim como a disponibilidade insuficiente de serviços especializados, em particular nas zonas rurais e remotas; promova a prática de avaliar o direito das mulheres e das raparigas a apoio judiciário exclusivamente com base nos seus próprios recursos económicos, independentemente dos rendimentos dos maridos, parceiros ou famílias, o que é especialmente relevante para os casos de violência de género; saliente a importância de dispor de dados repartidos por género sobre o acesso à justiça, os resultados dos processos, a utilização do apoio judiciário e os obstáculos existentes, a fim de apoiar a elaboração de políticas baseadas em dados concretos;</w:t>
      </w:r>
    </w:p>
    <w:p w14:paraId="07F98350" w14:textId="640E0A13" w:rsidR="004B081E" w:rsidRPr="00B90551" w:rsidRDefault="004B081E" w:rsidP="00933406">
      <w:pPr>
        <w:pStyle w:val="NormalHanging12a"/>
        <w:ind w:left="1134"/>
        <w:rPr>
          <w:bCs/>
          <w:iCs/>
        </w:rPr>
      </w:pPr>
      <w:r w:rsidRPr="00B90551">
        <w:t>l)</w:t>
      </w:r>
      <w:r w:rsidRPr="00B90551">
        <w:tab/>
      </w:r>
      <w:r w:rsidRPr="00B90551">
        <w:tab/>
        <w:t>Promova a liderança das mulheres, a igualdade de participação e uma maior representação das mulheres no sistema judicial e nos seus órgãos diretivos, e tome medidas ativas para promover um amplo acesso das mulheres pertencentes a minorias e grupos marginalizados a profissões jurídicas, com vista a eliminar os obstáculos estruturais no sistema judicial e a promover um sistema judiciário equitativo e representativo, assegurando assim a igualdade de oportunidades;</w:t>
      </w:r>
    </w:p>
    <w:p w14:paraId="0A2F56E7" w14:textId="09A559B1" w:rsidR="004B081E" w:rsidRPr="00B90551" w:rsidRDefault="004B081E" w:rsidP="00933406">
      <w:pPr>
        <w:pStyle w:val="NormalHanging12a"/>
        <w:ind w:left="1134"/>
        <w:rPr>
          <w:bCs/>
          <w:iCs/>
        </w:rPr>
      </w:pPr>
      <w:r w:rsidRPr="00B90551">
        <w:t>m)</w:t>
      </w:r>
      <w:r w:rsidRPr="00B90551">
        <w:tab/>
        <w:t>Fomente e defenda ações e medidas concretas para assegurar a participação e a liderança das mulheres na tomada de decisões na vida pública, nomeadamente nos domínios da política externa, da defesa, da segurança e da prevenção, assim como da gestão e resolução de conflitos e crises; sublinhe a necessidade de uma metodologia comum de acompanhamento para a recolha de dados sobre a participação das mulheres nestes setores;</w:t>
      </w:r>
    </w:p>
    <w:p w14:paraId="5525904B" w14:textId="276E8629" w:rsidR="004B081E" w:rsidRPr="00B90551" w:rsidRDefault="004B081E" w:rsidP="00933406">
      <w:pPr>
        <w:pStyle w:val="NormalHanging12a"/>
        <w:ind w:left="1134"/>
        <w:rPr>
          <w:bCs/>
          <w:iCs/>
        </w:rPr>
      </w:pPr>
      <w:r w:rsidRPr="00B90551">
        <w:t>n)</w:t>
      </w:r>
      <w:r w:rsidRPr="00B90551">
        <w:tab/>
        <w:t>Apoie e promova ativamente a Recomendação Geral n.º 40 do CEDAW de 2024 relativa à representação equitativa e inclusiva das mulheres nos sistemas de tomada de decisão, que consagra a paridade 50/50 entre mulheres e homens em toda a sua diversidade, tanto em termos de igualdade de acesso como de igualdade de poder nos sistemas de tomada de decisão;</w:t>
      </w:r>
    </w:p>
    <w:p w14:paraId="1D1D65D0" w14:textId="4AE300B1" w:rsidR="004B081E" w:rsidRPr="00B90551" w:rsidRDefault="004B081E" w:rsidP="00933406">
      <w:pPr>
        <w:pStyle w:val="NormalHanging12a"/>
        <w:ind w:left="1134"/>
        <w:rPr>
          <w:bCs/>
          <w:iCs/>
        </w:rPr>
      </w:pPr>
      <w:r w:rsidRPr="00B90551">
        <w:t>o)</w:t>
      </w:r>
      <w:r w:rsidRPr="00B90551">
        <w:tab/>
        <w:t>Incentive uma participação significativa das mulheres a todos os níveis do processo decisório, nas políticas externa, de segurança</w:t>
      </w:r>
      <w:r w:rsidR="00D35E4D" w:rsidRPr="00B90551">
        <w:t xml:space="preserve"> e de defesa</w:t>
      </w:r>
      <w:r w:rsidRPr="00B90551">
        <w:t>, bem como na resolução de conflitos, tanto na UE como a nível mundial;</w:t>
      </w:r>
    </w:p>
    <w:p w14:paraId="0BD7AADE" w14:textId="019E762C" w:rsidR="004B081E" w:rsidRPr="00B90551" w:rsidRDefault="004B081E" w:rsidP="00933406">
      <w:pPr>
        <w:pStyle w:val="NormalHanging12a"/>
        <w:ind w:left="1134"/>
        <w:rPr>
          <w:bCs/>
          <w:iCs/>
        </w:rPr>
      </w:pPr>
      <w:r w:rsidRPr="00B90551">
        <w:lastRenderedPageBreak/>
        <w:t>p)</w:t>
      </w:r>
      <w:r w:rsidRPr="00B90551">
        <w:tab/>
        <w:t>Tome medidas para aplicar urgente e plenamente os compromissos existentes em matéria de igualdade de género e empoderamento das mulheres, assegurando a proteção da igualdade de direitos humanos e liberdades fundamentais das mulheres sem discriminação, também graças a políticas e instituições públicas sólidas que garantam a igualdade de oportunidades, a fim de promover a sua plena e efetiva participação na vida pública e facilitar, assim, o seu envolvimento nos processos de tomada de decisão; condene o discurso de ódio em linha dirigido contra as mulheres e respetivo impacto na sua participação na vida pública, e apoie programas de literacia mediática e de segurança digital para mulheres e raparigas;</w:t>
      </w:r>
    </w:p>
    <w:p w14:paraId="6BC2B301" w14:textId="372830BB" w:rsidR="004B081E" w:rsidRPr="00B90551" w:rsidRDefault="004B081E" w:rsidP="00933406">
      <w:pPr>
        <w:pStyle w:val="NormalHanging12a"/>
        <w:ind w:left="1134"/>
        <w:rPr>
          <w:rFonts w:eastAsiaTheme="minorHAnsi"/>
          <w:bCs/>
          <w:iCs/>
          <w:szCs w:val="24"/>
        </w:rPr>
      </w:pPr>
      <w:r w:rsidRPr="00B90551">
        <w:t>q)</w:t>
      </w:r>
      <w:r w:rsidRPr="00B90551">
        <w:tab/>
        <w:t>Saliente que a capacitação das mulheres e das organizações de defesa dos direitos das mulheres, bem como o apoio à participação das mulheres na tomada de decisões relacionadas com a política externa e com conflitos promovem melhores resultados para as comunidades, o acesso à justiça e uma paz mais sustentável; condene claramente os recentes cortes no financiamento de organizações de mulheres, de defesa dos direitos das mulheres e da sociedade civil, cujo objetivo é combater a violência de género e capacitar as mulheres para que acedam à justiça; garanta, além disso, financiamento sustentável e proteção jurídica às organizações feministas e LGBTIQ+, especialmente dos grupos de base que são alvo de ataques devido à redução do espaço cívico e a leis restritivas contra organizações não governamentais;</w:t>
      </w:r>
    </w:p>
    <w:p w14:paraId="275A1B96" w14:textId="1BE23900" w:rsidR="004B081E" w:rsidRPr="00B90551" w:rsidRDefault="004B081E" w:rsidP="00933406">
      <w:pPr>
        <w:pStyle w:val="NormalHanging12a"/>
        <w:ind w:left="1134"/>
      </w:pPr>
      <w:r w:rsidRPr="00B90551">
        <w:t>r)</w:t>
      </w:r>
      <w:r w:rsidRPr="00B90551">
        <w:tab/>
        <w:t>Defenda o mandato da CEM das Nações Unidas à luz dos esforços envidados pelos Estados Unidos e por países que partilham as mesmas ideias no sentido de enfraquecer as prioridades acordadas em matéria de igualdade de género, e manifeste preocupação com essa pressão política que, aliada a cortes no financiamento de programas de igualdade de género, pode comprometer a eficácia e a credibilidade da CEM; aumente o financiamento da ajuda ao desenvolvimento para compensar o défice decorrente do desmantelamento da Agência dos Estados Unidos para o Desenvolvimento Internacional; reafirme o seu pleno apoio ao trabalho da ONU Mulheres, que é um interveniente central no sistema das Nações Unidas para promover os direitos das mulheres em toda a sua diversidade e reunir todas as partes interessadas pertinentes, a fim de gerar mudanças políticas e coordenar ações; exorte todos os Estados membros da ONU a, juntamente com a UE, garantirem o financiamento adequado da ONU Mulheres; se comprometa a financiar adequadamente a igualdade de género e os direitos das mulheres, incluindo a saúde e a SDSR;</w:t>
      </w:r>
    </w:p>
    <w:p w14:paraId="46E10476" w14:textId="21B7E846" w:rsidR="004B081E" w:rsidRPr="00B90551" w:rsidRDefault="004B081E" w:rsidP="00933406">
      <w:pPr>
        <w:pStyle w:val="NormalHanging12a"/>
        <w:ind w:left="1134"/>
      </w:pPr>
      <w:r w:rsidRPr="00B90551">
        <w:t>s)</w:t>
      </w:r>
      <w:r w:rsidRPr="00B90551">
        <w:tab/>
        <w:t xml:space="preserve">Aplique a integração da perspetiva de género e a orçamentação sensível ao género em todos os domínios de intervenção da UE, incluindo a ação externa; saliente a necessidade de os Estados atribuírem financiamento adequado, suficiente e previsível para serviços de apoio e assistência jurídica sensíveis às questões de género, especialmente para sobreviventes de violência de género, e acesso suficiente a indemnizações, uma vez que os obstáculos atuais afetam desproporcionadamente o acesso das mulheres à justiça; realce a importância de eliminar os obstáculos práticos, regionais e os que estejam relacionados com a acessibilidade que dificultam o acesso das mulheres e dos grupos vulneráveis à justiça, em especial nas regiões rurais, remotas e economicamente desfavorecidas; sublinhe os desafios específicos com que se deparam as mulheres com deficiência, as mulheres idosas e as famílias monoparentais, incluindo os obstáculos à acessibilidade física e a falta de serviços de apoio personalizados; reconheça que o </w:t>
      </w:r>
      <w:r w:rsidRPr="00B90551">
        <w:lastRenderedPageBreak/>
        <w:t>apoio judiciário é muitas vezes cronicamente subfinanciado ou subvalorizado, criando mais um obstáculo para as mulheres em situações de crise que procuram aceder à justiça, o que afeta desproporcionadamente as mulheres em posições socioeconómicas mais baixas e as mais vulneráveis em termos de acesso à justiça quando os seus direitos são violados;</w:t>
      </w:r>
    </w:p>
    <w:p w14:paraId="4174FAD5" w14:textId="2756814D" w:rsidR="004B081E" w:rsidRPr="00B90551" w:rsidRDefault="004B081E" w:rsidP="00933406">
      <w:pPr>
        <w:pStyle w:val="NormalHanging12a"/>
        <w:ind w:left="1134"/>
        <w:rPr>
          <w:rFonts w:eastAsiaTheme="minorHAnsi"/>
          <w:szCs w:val="24"/>
        </w:rPr>
      </w:pPr>
      <w:r w:rsidRPr="00B90551">
        <w:t>t)</w:t>
      </w:r>
      <w:r w:rsidRPr="00B90551">
        <w:tab/>
        <w:t xml:space="preserve">Reafirme o compromisso da UE de combater e pôr termo à impunidade da violência de género, designadamente a violência sexual; defenda a eliminação da impunidade de todas as formas de violência de género, incluindo a violência doméstica, a violência sexual, o tráfico de seres humanos e práticas nocivas; acelere a execução dos compromissos internacionais para continuar a prevenir e a combater todas as formas de violência contra as mulheres e as raparigas, tanto na esfera pública como privada, nomeadamente a violação, a mutilação genital feminina, o casamento forçado, as chamadas práticas de conversão, a partilha não consensual de material íntimo ou manipulado, as falsificações profundas e os conteúdos gerados por IA, a </w:t>
      </w:r>
      <w:proofErr w:type="spellStart"/>
      <w:r w:rsidRPr="00B90551">
        <w:t>ciberperseguição</w:t>
      </w:r>
      <w:proofErr w:type="spellEnd"/>
      <w:r w:rsidRPr="00B90551">
        <w:t xml:space="preserve">, o </w:t>
      </w:r>
      <w:proofErr w:type="spellStart"/>
      <w:r w:rsidRPr="00B90551">
        <w:t>ciberassédio</w:t>
      </w:r>
      <w:proofErr w:type="spellEnd"/>
      <w:r w:rsidRPr="00B90551">
        <w:t xml:space="preserve">, o </w:t>
      </w:r>
      <w:proofErr w:type="spellStart"/>
      <w:r w:rsidRPr="00B90551">
        <w:t>ciberexibicionismo</w:t>
      </w:r>
      <w:proofErr w:type="spellEnd"/>
      <w:r w:rsidRPr="00B90551">
        <w:t>, o incitamento à violência ou ao ódio em linha, o discurso de ódio e os crimes de ódio; saliente a importância de dar resposta à ameaça colocada pela tecnologia manipulada pela IA e defenda, a nível da UE e internacional, uma ação mais forte contra a violência em linha, já que ambas afetam desproporcionadamente as mulheres e dificultam a sua plena participação na vida pública; inste as plataformas em linha e os motores de pesquisa em linha de muito grande dimensão a permitirem o escrutínio público das suas avaliações anuais dos riscos e das medidas de atenuação relacionadas com a violência de género, a fim de que seja possível melhorar a investigação e as soluções;</w:t>
      </w:r>
    </w:p>
    <w:p w14:paraId="3FC7A0A9" w14:textId="35938619" w:rsidR="004B081E" w:rsidRPr="00B90551" w:rsidRDefault="004B081E" w:rsidP="00933406">
      <w:pPr>
        <w:pStyle w:val="NormalHanging12a"/>
        <w:ind w:left="1134"/>
        <w:rPr>
          <w:bCs/>
          <w:iCs/>
        </w:rPr>
      </w:pPr>
      <w:r w:rsidRPr="00B90551">
        <w:t>u)</w:t>
      </w:r>
      <w:r w:rsidRPr="00B90551">
        <w:tab/>
        <w:t>Saliente que a falta ou a recusa de acesso à SDSR, incluindo o aborto seguro e legal, constitui uma forma de violência de género e uma violação dos direitos humanos e fundamentais; solicite esforços para assegurar um acesso amplo e equitativo à SDSR a nível mundial e reafirme que o acesso ao aborto seguro e legal é uma componente fundamental da SDSR das mulheres, que é essencial para a sua autonomia física; exija o acesso seguro de todas as pessoas ao aborto, à contraceção e aos cuidados maternos, em especial à contraceção de emergência, aos testes de rastreio de infeções sexualmente transmissíveis e à profilaxia pós</w:t>
      </w:r>
      <w:r w:rsidRPr="00B90551">
        <w:noBreakHyphen/>
        <w:t>exposição; assegure o acesso a serviços de saúde mental sensíveis à dimensão de género para as mulheres jovens e as pessoas LGBTIQ+, reconhecendo que a saúde mental é fundamental para a participação e a igualdade;</w:t>
      </w:r>
    </w:p>
    <w:p w14:paraId="686B40B8" w14:textId="77777777" w:rsidR="004B081E" w:rsidRPr="00B90551" w:rsidRDefault="004B081E" w:rsidP="00933406">
      <w:pPr>
        <w:pStyle w:val="NormalHanging12a"/>
        <w:ind w:left="1134"/>
        <w:rPr>
          <w:bCs/>
          <w:iCs/>
        </w:rPr>
      </w:pPr>
      <w:r w:rsidRPr="00B90551">
        <w:t>v)</w:t>
      </w:r>
      <w:r w:rsidRPr="00B90551">
        <w:tab/>
        <w:t>Garanta que as políticas externas da UE promovam ativamente o acesso à SDSR no âmbito da consecução dos ODS;</w:t>
      </w:r>
    </w:p>
    <w:p w14:paraId="759EBE10" w14:textId="778C4831" w:rsidR="004B081E" w:rsidRPr="00B90551" w:rsidRDefault="004B081E" w:rsidP="00933406">
      <w:pPr>
        <w:pStyle w:val="NormalHanging12a"/>
        <w:ind w:left="1134"/>
        <w:rPr>
          <w:rFonts w:eastAsiaTheme="minorHAnsi"/>
          <w:bCs/>
          <w:iCs/>
          <w:szCs w:val="24"/>
        </w:rPr>
      </w:pPr>
      <w:r w:rsidRPr="00B90551">
        <w:t>w)</w:t>
      </w:r>
      <w:r w:rsidRPr="00B90551">
        <w:tab/>
        <w:t xml:space="preserve">Reitere que a violação continua a ser um dos atropelos aos direitos humanos mais generalizados a nível mundial; sublinhe a importância de adotar legislação em matéria de violação baseada no conceito de consentimento como elemento essencial de uma abordagem abrangente para combater a violência sexual contra as mulheres e as raparigas; defenda uma definição de violação baseada no conceito de consentimento como norma universal em todo o mundo, com o objetivo de reforçar a proteção jurídica e assegurar que a violência sexual seja definida pela ausência de consentimento, e não apenas pelo recurso à violência, à coerção ou à ameaça; promova o conhecimento de que o silêncio e a ausência de resistência das vítimas não constituem consentimento; sublinhe que nem o consentimento dado anteriormente nem uma relação existente implicam um </w:t>
      </w:r>
      <w:r w:rsidRPr="00B90551">
        <w:lastRenderedPageBreak/>
        <w:t>consentimento contínuo ou futuro para quaisquer atos sexuais; exorte, a este respeito, todos os países a introduzirem uma definição de violação baseada na ausência de consentimento e a garantirem o acesso das sobreviventes à justiça;</w:t>
      </w:r>
    </w:p>
    <w:p w14:paraId="65EE693E" w14:textId="3FF0956F" w:rsidR="004B081E" w:rsidRPr="00B90551" w:rsidRDefault="004B081E" w:rsidP="00933406">
      <w:pPr>
        <w:pStyle w:val="NormalHanging12a"/>
        <w:ind w:left="1134"/>
        <w:rPr>
          <w:bCs/>
          <w:iCs/>
        </w:rPr>
      </w:pPr>
      <w:r w:rsidRPr="00B90551">
        <w:t>x)</w:t>
      </w:r>
      <w:r w:rsidRPr="00B90551">
        <w:tab/>
        <w:t>Condene com a maior veemência o recurso à violação e a outras formas de violência sexual como tática de guerra, e recorde que tais atos constitu</w:t>
      </w:r>
      <w:r w:rsidR="004E23FE" w:rsidRPr="00B90551">
        <w:t>em</w:t>
      </w:r>
      <w:r w:rsidRPr="00B90551">
        <w:t xml:space="preserve"> crimes de guerra ou crimes contra a humanidade ao abrigo do direito internacional; trabalhe ativamente para assegurar a instauração de ações penais e a responsabilização por estes tipos de crimes a nível internacional, também através da aplicação do regime global de sanções da UE em matéria de direitos humanos; reforce o apoio quer aos esforços internacionais para documentar estes crimes nos conflitos em curso, quer às medidas de prevenção; solicite, além disso, um apoio ativo a todas as iniciativas destinadas a garantir a responsabilização dos autores dos crimes e o acesso à justiça para sobreviventes da violação como tática de guerra, reconhecendo que, em conformidade com a Resolução 1820 (2008) do Conselho de Segurança das Nações Unidas, a violação e outras formas de violência sexual constitu</w:t>
      </w:r>
      <w:r w:rsidR="004E23FE" w:rsidRPr="00B90551">
        <w:t>em</w:t>
      </w:r>
      <w:r w:rsidRPr="00B90551">
        <w:t xml:space="preserve"> crimes de guerra, crimes contra a humanidade ou atos que contribuem para o genocídio; promova uma estreita cooperação entre a Eurojust e o Tribunal Penal Internacional (TPI) em matéria de documentação de violações, abusos e outras formas de violência sexual durante a guerra na Ucrânia, e inste a UE, a Eurojust e o TPI a intensificarem iniciativas de documentação coordenadas, centradas nas vítimas e sensíveis ao trauma, bem como a criarem quadros de cooperação a nível mundial para outras zonas de conflito, por forma a assegurar que as vítimas sejam identificadas, protegidas e possam aceder à justiça;</w:t>
      </w:r>
    </w:p>
    <w:p w14:paraId="06484C10" w14:textId="1C158064" w:rsidR="004B081E" w:rsidRPr="00B90551" w:rsidRDefault="004B081E" w:rsidP="00933406">
      <w:pPr>
        <w:pStyle w:val="NormalHanging12a"/>
        <w:ind w:left="1134"/>
        <w:rPr>
          <w:bCs/>
          <w:iCs/>
        </w:rPr>
      </w:pPr>
      <w:r w:rsidRPr="00B90551">
        <w:t>y)</w:t>
      </w:r>
      <w:r w:rsidRPr="00B90551">
        <w:tab/>
        <w:t>Saliente a importância do pleno reconhecimento das mulheres transgénero como mulheres, observando que a sua inclusão é essencial para a eficácia de quaisquer políticas de igualdade de género e de luta contra a violência; solicite o reconhecimento e a igualdade de acesso das mulheres transgénero aos serviços de proteção e apoio;</w:t>
      </w:r>
    </w:p>
    <w:p w14:paraId="1E9AC1CE" w14:textId="7FEB3186" w:rsidR="004B081E" w:rsidRPr="00B90551" w:rsidRDefault="004B081E" w:rsidP="00933406">
      <w:pPr>
        <w:pStyle w:val="NormalHanging12a"/>
        <w:ind w:left="1134"/>
        <w:rPr>
          <w:bCs/>
          <w:iCs/>
        </w:rPr>
      </w:pPr>
      <w:r w:rsidRPr="00B90551">
        <w:t>z)</w:t>
      </w:r>
      <w:r w:rsidRPr="00B90551">
        <w:tab/>
        <w:t>Exorte todos os países que ainda não ratificaram a Convenção de Istambul a fazê</w:t>
      </w:r>
      <w:r w:rsidRPr="00B90551">
        <w:noBreakHyphen/>
        <w:t>lo e promova a adoção à escala mundial das suas normas abrangentes para combater a violência contra as mulheres e a violência doméstica;</w:t>
      </w:r>
    </w:p>
    <w:p w14:paraId="3209B3F5" w14:textId="73429333" w:rsidR="004B081E" w:rsidRPr="00B90551" w:rsidRDefault="004B081E" w:rsidP="00933406">
      <w:pPr>
        <w:pStyle w:val="NormalHanging12a"/>
        <w:ind w:left="1134"/>
        <w:rPr>
          <w:rFonts w:eastAsiaTheme="minorHAnsi"/>
          <w:bCs/>
          <w:iCs/>
          <w:szCs w:val="24"/>
        </w:rPr>
      </w:pPr>
      <w:proofErr w:type="spellStart"/>
      <w:r w:rsidRPr="00B90551">
        <w:t>a</w:t>
      </w:r>
      <w:r w:rsidRPr="00B90551">
        <w:noBreakHyphen/>
        <w:t>A</w:t>
      </w:r>
      <w:proofErr w:type="spellEnd"/>
      <w:r w:rsidRPr="00B90551">
        <w:t>)</w:t>
      </w:r>
      <w:r w:rsidRPr="00B90551">
        <w:tab/>
      </w:r>
      <w:r w:rsidR="001246EE" w:rsidRPr="00B90551">
        <w:t>E</w:t>
      </w:r>
      <w:r w:rsidRPr="00B90551">
        <w:t>xorte os governos e os organismos internacionais a darem resposta aos riscos específicos enfrentados pelas mulheres e as raparigas  contra a violência nos centros de acolhimento e a melhoria dos procedimentos de avaliação da idade;</w:t>
      </w:r>
    </w:p>
    <w:p w14:paraId="394999B8" w14:textId="00CDAF2E" w:rsidR="004B081E" w:rsidRPr="00B90551" w:rsidRDefault="004B081E" w:rsidP="00933406">
      <w:pPr>
        <w:pStyle w:val="NormalHanging12a"/>
        <w:ind w:left="1134"/>
        <w:rPr>
          <w:bCs/>
          <w:iCs/>
        </w:rPr>
      </w:pPr>
      <w:proofErr w:type="spellStart"/>
      <w:r w:rsidRPr="00B90551">
        <w:t>a</w:t>
      </w:r>
      <w:r w:rsidRPr="00B90551">
        <w:noBreakHyphen/>
        <w:t>B</w:t>
      </w:r>
      <w:proofErr w:type="spellEnd"/>
      <w:r w:rsidRPr="00B90551">
        <w:t>)</w:t>
      </w:r>
      <w:r w:rsidRPr="00B90551">
        <w:tab/>
        <w:t>Defenda o direito das raparigas a uma educação inclusiva, equitativa e de qualidade, enquanto motor fundamental da capacitação e da consecução da igualdade de género, dotando</w:t>
      </w:r>
      <w:r w:rsidRPr="00B90551">
        <w:noBreakHyphen/>
        <w:t xml:space="preserve">as de conhecimentos, competências, oportunidades e capacidades que são essenciais para toda a vida, graças às quais poderão reivindicar os seus direitos, aceder à justiça, participar plenamente na vida pública e combater a violência de género; assinale a importância de promover o empoderamento das mulheres através de educação, formação e aprendizagem ao longo da vida inclusivas, equitativas e de qualidade, que são cruciais para combater os estereótipos, as atitudes e os preconceitos associados ao género em todas as suas dimensões, bem como para combater as desigualdades persistentes; recorde a importância de prevenir a violência de género através de campanhas apropriadas e de outras ações, nomeadamente mediante o reforço da literacia mediática digital, assim como através de uma educação adequada e direcionada </w:t>
      </w:r>
      <w:r w:rsidRPr="00B90551">
        <w:lastRenderedPageBreak/>
        <w:t xml:space="preserve">sobre relações e sexualidade abrangentes e adaptadas à idade, a fim de aumentar os conhecimentos sobre a integridade física; saliente a necessidade de uma compreensão mais aprofundada dos movimentos </w:t>
      </w:r>
      <w:proofErr w:type="spellStart"/>
      <w:r w:rsidRPr="00B90551">
        <w:t>antidireitos</w:t>
      </w:r>
      <w:proofErr w:type="spellEnd"/>
      <w:r w:rsidRPr="00B90551">
        <w:t xml:space="preserve"> e </w:t>
      </w:r>
      <w:proofErr w:type="spellStart"/>
      <w:r w:rsidRPr="00B90551">
        <w:t>antigénero</w:t>
      </w:r>
      <w:proofErr w:type="spellEnd"/>
      <w:r w:rsidRPr="00B90551">
        <w:t>, incluindo a desinformação em matéria de igualdade de género, o fenómeno «</w:t>
      </w:r>
      <w:proofErr w:type="spellStart"/>
      <w:r w:rsidRPr="00B90551">
        <w:t>incel</w:t>
      </w:r>
      <w:proofErr w:type="spellEnd"/>
      <w:r w:rsidRPr="00B90551">
        <w:t xml:space="preserve">» e a misoginia, e, em particular, a sua presença em linha, conhecida como </w:t>
      </w:r>
      <w:proofErr w:type="spellStart"/>
      <w:r w:rsidRPr="00B90551">
        <w:t>manosfera</w:t>
      </w:r>
      <w:proofErr w:type="spellEnd"/>
      <w:r w:rsidRPr="00B90551">
        <w:t>; defenda políticas mais ativas para combater estes fenómenos e as suas narrativas;</w:t>
      </w:r>
    </w:p>
    <w:p w14:paraId="579AE7E8" w14:textId="6DC62F3B" w:rsidR="004B081E" w:rsidRPr="00B90551" w:rsidRDefault="004B081E" w:rsidP="00933406">
      <w:pPr>
        <w:pStyle w:val="NormalHanging12a"/>
        <w:ind w:left="1134"/>
      </w:pPr>
      <w:r w:rsidRPr="00B90551">
        <w:t>a</w:t>
      </w:r>
      <w:r w:rsidRPr="00B90551">
        <w:noBreakHyphen/>
        <w:t>C)</w:t>
      </w:r>
      <w:r w:rsidRPr="00B90551">
        <w:tab/>
        <w:t>Sublinhe que a guerra e os conflitos têm um impacto desproporcionado e devastador nas mulheres, e defenda a paz e negociações inclusivas em todo o mundo como vias essenciais para pôr termo aos conflitos e à violência que as mulheres e as raparigas enfrentam nestes contextos; reconheça o notável trabalho realizado pelas mulheres que prestam serviço nas missões de manutenção da paz das Nações Unidas em zonas de conflito; frise que os direitos das mulheres e a igualdade de género são essenciais para o Estado de direito e para democracias resilientes e inclusivas; saliente, com preocupação, que milhões de mulheres e raparigas, em particular em contextos de conflito e deslocação, continuam a ser vítimas de discriminação, violência e de negação da sua dignidade e capacidade de decidir sobre o seu destino;</w:t>
      </w:r>
    </w:p>
    <w:p w14:paraId="6CBF94BB" w14:textId="3FF94732" w:rsidR="004B081E" w:rsidRPr="00B90551" w:rsidRDefault="004B081E" w:rsidP="00933406">
      <w:pPr>
        <w:pStyle w:val="NormalHanging12a"/>
        <w:ind w:left="1134"/>
        <w:rPr>
          <w:bCs/>
          <w:iCs/>
        </w:rPr>
      </w:pPr>
      <w:r w:rsidRPr="00B90551">
        <w:t>a</w:t>
      </w:r>
      <w:r w:rsidRPr="00B90551">
        <w:noBreakHyphen/>
        <w:t>D)</w:t>
      </w:r>
      <w:r w:rsidRPr="00B90551">
        <w:tab/>
        <w:t>Comprometa a UE a adotar uma política externa, de desenvolvimento e de segurança que seja inclusiva e interseccional, dando prioridade às mulheres e aos defensores dos direitos humanos das pessoas LGBTIQ+;</w:t>
      </w:r>
    </w:p>
    <w:p w14:paraId="0CB9C7E4" w14:textId="592D2A92" w:rsidR="004B081E" w:rsidRPr="00B90551" w:rsidRDefault="004B081E" w:rsidP="00933406">
      <w:pPr>
        <w:pStyle w:val="NormalHanging12a"/>
        <w:ind w:left="1134"/>
        <w:rPr>
          <w:bCs/>
          <w:iCs/>
        </w:rPr>
      </w:pPr>
      <w:r w:rsidRPr="00B90551">
        <w:t>a</w:t>
      </w:r>
      <w:r w:rsidRPr="00B90551">
        <w:noBreakHyphen/>
        <w:t>E)</w:t>
      </w:r>
      <w:r w:rsidRPr="00B90551">
        <w:tab/>
        <w:t>Destaque que o feminicídio, definido como o assassinato de mulheres e raparigas relacionado com o género, constitui uma das formas mais extremas de violência de género e representa uma grave violação dos direitos fundamentais universais; condene veementemente a ausência de uma definição harmonizada deste crime e as incoerências persistentes na recolha de dados e na comunicação de informações sobre este crime, o que dificulta seriamente a prevenção eficaz e a elaboração de políticas baseadas em dados concretos; solicite o reconhecimento mundial deste crime e um esforço conjunto para eliminar o feminicídio;</w:t>
      </w:r>
    </w:p>
    <w:p w14:paraId="4E363657" w14:textId="689D8785" w:rsidR="001D7D04" w:rsidRPr="00B90551" w:rsidRDefault="004B081E" w:rsidP="001D7D04">
      <w:pPr>
        <w:pStyle w:val="NormalHanging12a"/>
      </w:pPr>
      <w:r w:rsidRPr="00B90551">
        <w:t>2.</w:t>
      </w:r>
      <w:r w:rsidRPr="00B90551">
        <w:tab/>
        <w:t>Encarrega a sua Presidente de transmitir a presente recomendação ao Conselho, à Comissão e à Vice</w:t>
      </w:r>
      <w:r w:rsidRPr="00B90551">
        <w:noBreakHyphen/>
        <w:t>Presidente da Comissão/Alta Representante da União para os Negócios Estrangeiros e a Política de Segurança, bem como, para informação, à Representante Especial da União Europeia para os Direitos Humanos.</w:t>
      </w:r>
    </w:p>
    <w:p w14:paraId="0A17AB1A" w14:textId="435E0A39" w:rsidR="00E365E1" w:rsidRPr="00B90551" w:rsidRDefault="00E365E1" w:rsidP="0001336B"/>
    <w:sectPr w:rsidR="00E365E1" w:rsidRPr="00B90551" w:rsidSect="001D7D0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7C4A5" w14:textId="77777777" w:rsidR="0001336B" w:rsidRPr="001D7D04" w:rsidRDefault="0001336B">
      <w:r w:rsidRPr="001D7D04">
        <w:separator/>
      </w:r>
    </w:p>
  </w:endnote>
  <w:endnote w:type="continuationSeparator" w:id="0">
    <w:p w14:paraId="55DD09F2" w14:textId="77777777" w:rsidR="0001336B" w:rsidRPr="001D7D04" w:rsidRDefault="0001336B">
      <w:r w:rsidRPr="001D7D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AE875" w14:textId="77777777" w:rsidR="0001336B" w:rsidRPr="001D7D04" w:rsidRDefault="0001336B">
      <w:r w:rsidRPr="001D7D04">
        <w:separator/>
      </w:r>
    </w:p>
  </w:footnote>
  <w:footnote w:type="continuationSeparator" w:id="0">
    <w:p w14:paraId="652CB1E1" w14:textId="77777777" w:rsidR="0001336B" w:rsidRPr="001D7D04" w:rsidRDefault="0001336B">
      <w:r w:rsidRPr="001D7D04">
        <w:continuationSeparator/>
      </w:r>
    </w:p>
  </w:footnote>
  <w:footnote w:id="1">
    <w:p w14:paraId="05E78A18" w14:textId="5C5100A1" w:rsidR="004B081E" w:rsidRPr="00636CF9" w:rsidRDefault="004B081E" w:rsidP="001D7D04">
      <w:pPr>
        <w:pStyle w:val="FootnoteText"/>
        <w:ind w:left="567" w:hanging="567"/>
        <w:rPr>
          <w:sz w:val="24"/>
          <w:lang w:val="fi-FI"/>
        </w:rPr>
      </w:pPr>
      <w:r w:rsidRPr="00636CF9">
        <w:rPr>
          <w:rStyle w:val="FootnoteReference"/>
          <w:sz w:val="24"/>
          <w:lang w:val="pt-PT"/>
        </w:rPr>
        <w:footnoteRef/>
      </w:r>
      <w:r w:rsidR="001D7D04" w:rsidRPr="00636CF9">
        <w:rPr>
          <w:sz w:val="24"/>
          <w:lang w:val="fi-FI"/>
        </w:rPr>
        <w:t xml:space="preserve"> </w:t>
      </w:r>
      <w:r w:rsidR="001D7D04" w:rsidRPr="00636CF9">
        <w:rPr>
          <w:sz w:val="24"/>
          <w:lang w:val="fi-FI"/>
        </w:rPr>
        <w:tab/>
      </w:r>
      <w:r w:rsidRPr="00636CF9">
        <w:rPr>
          <w:sz w:val="24"/>
          <w:lang w:val="fi-FI"/>
        </w:rPr>
        <w:t>JO C, C/2025/1279, 13.3.2025, ELI: </w:t>
      </w:r>
      <w:r w:rsidR="00B90551">
        <w:fldChar w:fldCharType="begin"/>
      </w:r>
      <w:r w:rsidR="00B90551" w:rsidRPr="00B90551">
        <w:rPr>
          <w:lang w:val="fi-FI"/>
        </w:rPr>
        <w:instrText>HYPERLINK "http://data.europa.eu/eli/C/2025/1279/oj" \t "_blank" \o "Permite aceder ao documento através do seu identificador ELI."</w:instrText>
      </w:r>
      <w:r w:rsidR="00B90551">
        <w:fldChar w:fldCharType="separate"/>
      </w:r>
      <w:r w:rsidRPr="00636CF9">
        <w:rPr>
          <w:rStyle w:val="Hyperlink"/>
          <w:sz w:val="24"/>
          <w:lang w:val="fi-FI"/>
        </w:rPr>
        <w:t>http://data.europa.eu/eli/C/2025/1279/oj</w:t>
      </w:r>
      <w:r w:rsidR="00B90551">
        <w:rPr>
          <w:rStyle w:val="Hyperlink"/>
          <w:sz w:val="24"/>
          <w:lang w:val="fi-FI"/>
        </w:rPr>
        <w:fldChar w:fldCharType="end"/>
      </w:r>
      <w:r w:rsidRPr="00636CF9">
        <w:rPr>
          <w:sz w:val="24"/>
          <w:lang w:val="fi-FI"/>
        </w:rPr>
        <w:t>.</w:t>
      </w:r>
    </w:p>
  </w:footnote>
  <w:footnote w:id="2">
    <w:p w14:paraId="1EA97D68" w14:textId="41F1A400" w:rsidR="004B081E" w:rsidRPr="00636CF9" w:rsidRDefault="004B081E" w:rsidP="001D7D04">
      <w:pPr>
        <w:pStyle w:val="FootnoteText"/>
        <w:ind w:left="567" w:hanging="567"/>
        <w:rPr>
          <w:sz w:val="24"/>
          <w:lang w:val="pt-PT"/>
        </w:rPr>
      </w:pPr>
      <w:r w:rsidRPr="00636CF9">
        <w:rPr>
          <w:rStyle w:val="FootnoteReference"/>
          <w:sz w:val="24"/>
          <w:lang w:val="pt-PT"/>
        </w:rPr>
        <w:footnoteRef/>
      </w:r>
      <w:r w:rsidR="001D7D04" w:rsidRPr="00636CF9">
        <w:rPr>
          <w:sz w:val="24"/>
          <w:lang w:val="pt-PT"/>
        </w:rPr>
        <w:t xml:space="preserve"> </w:t>
      </w:r>
      <w:r w:rsidR="001D7D04" w:rsidRPr="00636CF9">
        <w:rPr>
          <w:sz w:val="24"/>
          <w:lang w:val="pt-PT"/>
        </w:rPr>
        <w:tab/>
      </w:r>
      <w:r w:rsidRPr="00636CF9">
        <w:rPr>
          <w:sz w:val="24"/>
          <w:lang w:val="pt-PT"/>
        </w:rPr>
        <w:t>Textos Aprovados, P10_TA(2025)0278.</w:t>
      </w:r>
    </w:p>
  </w:footnote>
  <w:footnote w:id="3">
    <w:p w14:paraId="673CCB95" w14:textId="5FBC0433" w:rsidR="004B081E" w:rsidRPr="00636CF9" w:rsidRDefault="004B081E" w:rsidP="001D7D04">
      <w:pPr>
        <w:pStyle w:val="FootnoteText"/>
        <w:ind w:left="567" w:hanging="567"/>
        <w:rPr>
          <w:sz w:val="24"/>
          <w:lang w:val="pt-PT"/>
        </w:rPr>
      </w:pPr>
      <w:r w:rsidRPr="00636CF9">
        <w:rPr>
          <w:rStyle w:val="FootnoteReference"/>
          <w:sz w:val="24"/>
          <w:lang w:val="pt-PT"/>
        </w:rPr>
        <w:footnoteRef/>
      </w:r>
      <w:r w:rsidR="001D7D04" w:rsidRPr="00636CF9">
        <w:rPr>
          <w:sz w:val="24"/>
          <w:lang w:val="pt-PT"/>
        </w:rPr>
        <w:t xml:space="preserve"> </w:t>
      </w:r>
      <w:r w:rsidR="001D7D04" w:rsidRPr="00636CF9">
        <w:rPr>
          <w:sz w:val="24"/>
          <w:lang w:val="pt-PT"/>
        </w:rPr>
        <w:tab/>
      </w:r>
      <w:r w:rsidRPr="00636CF9">
        <w:rPr>
          <w:sz w:val="24"/>
          <w:lang w:val="pt-PT"/>
        </w:rPr>
        <w:t xml:space="preserve">JO L 315 de 14.11.2012, p. 57, ELI: </w:t>
      </w:r>
      <w:r w:rsidR="00B90551">
        <w:fldChar w:fldCharType="begin"/>
      </w:r>
      <w:r w:rsidR="00B90551" w:rsidRPr="00B90551">
        <w:rPr>
          <w:lang w:val="pt-PT"/>
        </w:rPr>
        <w:instrText>HYPERLINK "http://data.europa.eu/eli/dir/2012/29/oj"</w:instrText>
      </w:r>
      <w:r w:rsidR="00B90551">
        <w:fldChar w:fldCharType="separate"/>
      </w:r>
      <w:r w:rsidRPr="00636CF9">
        <w:rPr>
          <w:rStyle w:val="Hyperlink"/>
          <w:sz w:val="24"/>
          <w:lang w:val="pt-PT"/>
        </w:rPr>
        <w:t>http://data.europa.eu/eli/dir/2012/29/oj</w:t>
      </w:r>
      <w:r w:rsidR="00B90551">
        <w:rPr>
          <w:rStyle w:val="Hyperlink"/>
          <w:sz w:val="24"/>
          <w:lang w:val="pt-PT"/>
        </w:rPr>
        <w:fldChar w:fldCharType="end"/>
      </w:r>
      <w:r w:rsidRPr="00636CF9">
        <w:rPr>
          <w:sz w:val="24"/>
          <w:lang w:val="pt-PT"/>
        </w:rPr>
        <w:t>.</w:t>
      </w:r>
    </w:p>
  </w:footnote>
  <w:footnote w:id="4">
    <w:p w14:paraId="225AF3F0" w14:textId="72D0C670" w:rsidR="004B081E" w:rsidRPr="00636CF9" w:rsidRDefault="004B081E" w:rsidP="001D7D04">
      <w:pPr>
        <w:pStyle w:val="FootnoteText"/>
        <w:ind w:left="567" w:hanging="567"/>
        <w:rPr>
          <w:sz w:val="24"/>
          <w:lang w:val="fi-FI"/>
        </w:rPr>
      </w:pPr>
      <w:r w:rsidRPr="00636CF9">
        <w:rPr>
          <w:rStyle w:val="FootnoteReference"/>
          <w:sz w:val="24"/>
          <w:lang w:val="pt-PT"/>
        </w:rPr>
        <w:footnoteRef/>
      </w:r>
      <w:r w:rsidR="001D7D04" w:rsidRPr="00636CF9">
        <w:rPr>
          <w:sz w:val="24"/>
          <w:lang w:val="fi-FI"/>
        </w:rPr>
        <w:t xml:space="preserve"> </w:t>
      </w:r>
      <w:r w:rsidR="001D7D04" w:rsidRPr="00636CF9">
        <w:rPr>
          <w:sz w:val="24"/>
          <w:lang w:val="fi-FI"/>
        </w:rPr>
        <w:tab/>
      </w:r>
      <w:r w:rsidRPr="00636CF9">
        <w:rPr>
          <w:sz w:val="24"/>
          <w:lang w:val="fi-FI"/>
        </w:rPr>
        <w:t>JO L, 2024/1385, 24.5.2024, ELI: </w:t>
      </w:r>
      <w:r w:rsidR="00B90551">
        <w:fldChar w:fldCharType="begin"/>
      </w:r>
      <w:r w:rsidR="00B90551" w:rsidRPr="00B90551">
        <w:rPr>
          <w:lang w:val="fi-FI"/>
        </w:rPr>
        <w:instrText>HYPERLINK "http://data.europa.eu/eli/dir/2024/1385/oj" \t "_blank" \o "Permite aceder ao documento através do seu identificador ELI."</w:instrText>
      </w:r>
      <w:r w:rsidR="00B90551">
        <w:fldChar w:fldCharType="separate"/>
      </w:r>
      <w:r w:rsidRPr="00636CF9">
        <w:rPr>
          <w:rStyle w:val="Hyperlink"/>
          <w:sz w:val="24"/>
          <w:lang w:val="fi-FI"/>
        </w:rPr>
        <w:t>http://data.europa.eu/eli/dir/2024/1385/oj</w:t>
      </w:r>
      <w:r w:rsidR="00B90551">
        <w:rPr>
          <w:rStyle w:val="Hyperlink"/>
          <w:sz w:val="24"/>
          <w:lang w:val="fi-FI"/>
        </w:rPr>
        <w:fldChar w:fldCharType="end"/>
      </w:r>
      <w:r w:rsidRPr="00636CF9">
        <w:rPr>
          <w:sz w:val="24"/>
          <w:lang w:val="fi-FI"/>
        </w:rPr>
        <w:t>.</w:t>
      </w:r>
    </w:p>
  </w:footnote>
  <w:footnote w:id="5">
    <w:p w14:paraId="164D0BBE" w14:textId="5E2CA08E" w:rsidR="004B081E" w:rsidRPr="00636CF9" w:rsidRDefault="004B081E" w:rsidP="001D7D04">
      <w:pPr>
        <w:pStyle w:val="FootnoteText"/>
        <w:ind w:left="567" w:hanging="567"/>
        <w:rPr>
          <w:sz w:val="24"/>
          <w:lang w:val="fi-FI"/>
        </w:rPr>
      </w:pPr>
      <w:r w:rsidRPr="00636CF9">
        <w:rPr>
          <w:rStyle w:val="FootnoteReference"/>
          <w:sz w:val="24"/>
          <w:lang w:val="pt-PT"/>
        </w:rPr>
        <w:footnoteRef/>
      </w:r>
      <w:r w:rsidR="001D7D04" w:rsidRPr="00636CF9">
        <w:rPr>
          <w:sz w:val="24"/>
          <w:lang w:val="fi-FI"/>
        </w:rPr>
        <w:t xml:space="preserve"> </w:t>
      </w:r>
      <w:r w:rsidR="001D7D04" w:rsidRPr="00636CF9">
        <w:rPr>
          <w:sz w:val="24"/>
          <w:lang w:val="fi-FI"/>
        </w:rPr>
        <w:tab/>
      </w:r>
      <w:r w:rsidR="00B90551">
        <w:fldChar w:fldCharType="begin"/>
      </w:r>
      <w:r w:rsidR="00B90551" w:rsidRPr="00B90551">
        <w:rPr>
          <w:lang w:val="fi-FI"/>
        </w:rPr>
        <w:instrText>HYPERLINK "https://documents.un.org/doc/undoc/gen/g24/073/47/pdf/g2407347.pdf"</w:instrText>
      </w:r>
      <w:r w:rsidR="00B90551">
        <w:fldChar w:fldCharType="separate"/>
      </w:r>
      <w:r w:rsidRPr="00636CF9">
        <w:rPr>
          <w:rStyle w:val="Hyperlink"/>
          <w:sz w:val="24"/>
          <w:lang w:val="fi-FI"/>
        </w:rPr>
        <w:t>https://documents.un.org/doc/undoc/gen/g24/073/47/pdf/g2407347.pdf</w:t>
      </w:r>
      <w:r w:rsidR="00B90551">
        <w:rPr>
          <w:rStyle w:val="Hyperlink"/>
          <w:sz w:val="24"/>
          <w:lang w:val="fi-FI"/>
        </w:rPr>
        <w:fldChar w:fldCharType="end"/>
      </w:r>
      <w:r w:rsidRPr="00636CF9">
        <w:rPr>
          <w:sz w:val="24"/>
          <w:lang w:val="fi-FI"/>
        </w:rPr>
        <w:t>.</w:t>
      </w:r>
    </w:p>
  </w:footnote>
  <w:footnote w:id="6">
    <w:p w14:paraId="24C82B6D" w14:textId="400FC7B0" w:rsidR="004B081E" w:rsidRPr="00636CF9" w:rsidRDefault="004B081E" w:rsidP="001D7D04">
      <w:pPr>
        <w:pStyle w:val="FootnoteText"/>
        <w:ind w:left="567" w:hanging="567"/>
        <w:rPr>
          <w:sz w:val="24"/>
          <w:lang w:val="pt-PT"/>
        </w:rPr>
      </w:pPr>
      <w:r w:rsidRPr="00636CF9">
        <w:rPr>
          <w:rStyle w:val="FootnoteReference"/>
          <w:sz w:val="24"/>
          <w:lang w:val="pt-PT"/>
        </w:rPr>
        <w:footnoteRef/>
      </w:r>
      <w:r w:rsidR="001D7D04" w:rsidRPr="00636CF9">
        <w:rPr>
          <w:sz w:val="24"/>
          <w:lang w:val="pt-PT"/>
        </w:rPr>
        <w:t xml:space="preserve"> </w:t>
      </w:r>
      <w:r w:rsidR="001D7D04" w:rsidRPr="00636CF9">
        <w:rPr>
          <w:sz w:val="24"/>
          <w:lang w:val="pt-PT"/>
        </w:rPr>
        <w:tab/>
      </w:r>
      <w:r w:rsidRPr="00636CF9">
        <w:rPr>
          <w:sz w:val="24"/>
          <w:lang w:val="pt-PT"/>
        </w:rPr>
        <w:t>ONU Mulheres, «</w:t>
      </w:r>
      <w:proofErr w:type="spellStart"/>
      <w:r w:rsidRPr="00636CF9">
        <w:rPr>
          <w:sz w:val="24"/>
          <w:lang w:val="pt-PT"/>
        </w:rPr>
        <w:t>Handbook</w:t>
      </w:r>
      <w:proofErr w:type="spellEnd"/>
      <w:r w:rsidRPr="00636CF9">
        <w:rPr>
          <w:sz w:val="24"/>
          <w:lang w:val="pt-PT"/>
        </w:rPr>
        <w:t xml:space="preserve"> for </w:t>
      </w:r>
      <w:proofErr w:type="spellStart"/>
      <w:r w:rsidRPr="00636CF9">
        <w:rPr>
          <w:sz w:val="24"/>
          <w:lang w:val="pt-PT"/>
        </w:rPr>
        <w:t>National</w:t>
      </w:r>
      <w:proofErr w:type="spellEnd"/>
      <w:r w:rsidRPr="00636CF9">
        <w:rPr>
          <w:sz w:val="24"/>
          <w:lang w:val="pt-PT"/>
        </w:rPr>
        <w:t xml:space="preserve"> </w:t>
      </w:r>
      <w:proofErr w:type="spellStart"/>
      <w:r w:rsidRPr="00636CF9">
        <w:rPr>
          <w:sz w:val="24"/>
          <w:lang w:val="pt-PT"/>
        </w:rPr>
        <w:t>Action</w:t>
      </w:r>
      <w:proofErr w:type="spellEnd"/>
      <w:r w:rsidRPr="00636CF9">
        <w:rPr>
          <w:sz w:val="24"/>
          <w:lang w:val="pt-PT"/>
        </w:rPr>
        <w:t xml:space="preserve"> </w:t>
      </w:r>
      <w:proofErr w:type="spellStart"/>
      <w:r w:rsidRPr="00636CF9">
        <w:rPr>
          <w:sz w:val="24"/>
          <w:lang w:val="pt-PT"/>
        </w:rPr>
        <w:t>Plans</w:t>
      </w:r>
      <w:proofErr w:type="spellEnd"/>
      <w:r w:rsidRPr="00636CF9">
        <w:rPr>
          <w:sz w:val="24"/>
          <w:lang w:val="pt-PT"/>
        </w:rPr>
        <w:t xml:space="preserve"> </w:t>
      </w:r>
      <w:proofErr w:type="spellStart"/>
      <w:r w:rsidRPr="00636CF9">
        <w:rPr>
          <w:sz w:val="24"/>
          <w:lang w:val="pt-PT"/>
        </w:rPr>
        <w:t>on</w:t>
      </w:r>
      <w:proofErr w:type="spellEnd"/>
      <w:r w:rsidRPr="00636CF9">
        <w:rPr>
          <w:sz w:val="24"/>
          <w:lang w:val="pt-PT"/>
        </w:rPr>
        <w:t xml:space="preserve"> </w:t>
      </w:r>
      <w:proofErr w:type="spellStart"/>
      <w:r w:rsidRPr="00636CF9">
        <w:rPr>
          <w:sz w:val="24"/>
          <w:lang w:val="pt-PT"/>
        </w:rPr>
        <w:t>Violence</w:t>
      </w:r>
      <w:proofErr w:type="spellEnd"/>
      <w:r w:rsidRPr="00636CF9">
        <w:rPr>
          <w:sz w:val="24"/>
          <w:lang w:val="pt-PT"/>
        </w:rPr>
        <w:t xml:space="preserve"> </w:t>
      </w:r>
      <w:proofErr w:type="spellStart"/>
      <w:r w:rsidRPr="00636CF9">
        <w:rPr>
          <w:sz w:val="24"/>
          <w:lang w:val="pt-PT"/>
        </w:rPr>
        <w:t>against</w:t>
      </w:r>
      <w:proofErr w:type="spellEnd"/>
      <w:r w:rsidRPr="00636CF9">
        <w:rPr>
          <w:sz w:val="24"/>
          <w:lang w:val="pt-PT"/>
        </w:rPr>
        <w:t xml:space="preserve"> </w:t>
      </w:r>
      <w:proofErr w:type="spellStart"/>
      <w:r w:rsidRPr="00636CF9">
        <w:rPr>
          <w:sz w:val="24"/>
          <w:lang w:val="pt-PT"/>
        </w:rPr>
        <w:t>Women</w:t>
      </w:r>
      <w:proofErr w:type="spellEnd"/>
      <w:r w:rsidRPr="00636CF9">
        <w:rPr>
          <w:sz w:val="24"/>
          <w:lang w:val="pt-PT"/>
        </w:rPr>
        <w:t>» [Manual para os planos de ação nacionais em matéria de violência contra as mulheres], 2012.</w:t>
      </w:r>
    </w:p>
  </w:footnote>
  <w:footnote w:id="7">
    <w:p w14:paraId="2E36BF4D" w14:textId="33433997" w:rsidR="004B081E" w:rsidRPr="001D7D04" w:rsidRDefault="004B081E" w:rsidP="001D7D04">
      <w:pPr>
        <w:pStyle w:val="FootnoteText"/>
        <w:ind w:left="567" w:hanging="567"/>
        <w:rPr>
          <w:sz w:val="24"/>
          <w:lang w:val="pt-PT"/>
        </w:rPr>
      </w:pPr>
      <w:r w:rsidRPr="00636CF9">
        <w:rPr>
          <w:rStyle w:val="FootnoteReference"/>
          <w:sz w:val="24"/>
          <w:lang w:val="pt-PT"/>
        </w:rPr>
        <w:footnoteRef/>
      </w:r>
      <w:r w:rsidR="001D7D04" w:rsidRPr="00636CF9">
        <w:rPr>
          <w:sz w:val="24"/>
          <w:lang w:val="pt-PT"/>
        </w:rPr>
        <w:t xml:space="preserve"> </w:t>
      </w:r>
      <w:r w:rsidR="001D7D04" w:rsidRPr="00636CF9">
        <w:rPr>
          <w:sz w:val="24"/>
          <w:lang w:val="pt-PT"/>
        </w:rPr>
        <w:tab/>
      </w:r>
      <w:r w:rsidRPr="00636CF9">
        <w:rPr>
          <w:sz w:val="24"/>
          <w:lang w:val="pt-PT"/>
        </w:rPr>
        <w:t>Estudo: «</w:t>
      </w:r>
      <w:proofErr w:type="spellStart"/>
      <w:r w:rsidRPr="00636CF9">
        <w:rPr>
          <w:sz w:val="24"/>
          <w:lang w:val="pt-PT"/>
        </w:rPr>
        <w:t>Women’s</w:t>
      </w:r>
      <w:proofErr w:type="spellEnd"/>
      <w:r w:rsidRPr="00636CF9">
        <w:rPr>
          <w:sz w:val="24"/>
          <w:lang w:val="pt-PT"/>
        </w:rPr>
        <w:t xml:space="preserve"> role in </w:t>
      </w:r>
      <w:proofErr w:type="spellStart"/>
      <w:r w:rsidRPr="00636CF9">
        <w:rPr>
          <w:sz w:val="24"/>
          <w:lang w:val="pt-PT"/>
        </w:rPr>
        <w:t>peace</w:t>
      </w:r>
      <w:proofErr w:type="spellEnd"/>
      <w:r w:rsidRPr="00636CF9">
        <w:rPr>
          <w:sz w:val="24"/>
          <w:lang w:val="pt-PT"/>
        </w:rPr>
        <w:t xml:space="preserve"> processes» [O papel das mulheres nos processos de paz], Parlamento Europeu, Direção</w:t>
      </w:r>
      <w:r w:rsidRPr="00636CF9">
        <w:rPr>
          <w:sz w:val="24"/>
          <w:lang w:val="pt-PT"/>
        </w:rPr>
        <w:noBreakHyphen/>
        <w:t>Geral das Políticas Internas da União, Departamento Temático dos Direitos dos Cidadãos e dos Assuntos Constitucionais, maio de 2019.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01561085">
    <w:abstractNumId w:val="9"/>
  </w:num>
  <w:num w:numId="2" w16cid:durableId="584846721">
    <w:abstractNumId w:val="9"/>
  </w:num>
  <w:num w:numId="3" w16cid:durableId="404306887">
    <w:abstractNumId w:val="7"/>
  </w:num>
  <w:num w:numId="4" w16cid:durableId="1722900618">
    <w:abstractNumId w:val="7"/>
  </w:num>
  <w:num w:numId="5" w16cid:durableId="2098822308">
    <w:abstractNumId w:val="6"/>
  </w:num>
  <w:num w:numId="6" w16cid:durableId="336275399">
    <w:abstractNumId w:val="6"/>
  </w:num>
  <w:num w:numId="7" w16cid:durableId="1456371472">
    <w:abstractNumId w:val="5"/>
  </w:num>
  <w:num w:numId="8" w16cid:durableId="1300724655">
    <w:abstractNumId w:val="5"/>
  </w:num>
  <w:num w:numId="9" w16cid:durableId="506595986">
    <w:abstractNumId w:val="4"/>
  </w:num>
  <w:num w:numId="10" w16cid:durableId="372654920">
    <w:abstractNumId w:val="4"/>
  </w:num>
  <w:num w:numId="11" w16cid:durableId="4790596">
    <w:abstractNumId w:val="8"/>
  </w:num>
  <w:num w:numId="12" w16cid:durableId="750010035">
    <w:abstractNumId w:val="8"/>
  </w:num>
  <w:num w:numId="13" w16cid:durableId="1621834389">
    <w:abstractNumId w:val="3"/>
  </w:num>
  <w:num w:numId="14" w16cid:durableId="1755858149">
    <w:abstractNumId w:val="3"/>
  </w:num>
  <w:num w:numId="15" w16cid:durableId="2125074870">
    <w:abstractNumId w:val="2"/>
  </w:num>
  <w:num w:numId="16" w16cid:durableId="1543975356">
    <w:abstractNumId w:val="2"/>
  </w:num>
  <w:num w:numId="17" w16cid:durableId="1022974827">
    <w:abstractNumId w:val="1"/>
  </w:num>
  <w:num w:numId="18" w16cid:durableId="2021543494">
    <w:abstractNumId w:val="1"/>
  </w:num>
  <w:num w:numId="19" w16cid:durableId="2062747235">
    <w:abstractNumId w:val="0"/>
  </w:num>
  <w:num w:numId="20" w16cid:durableId="319818923">
    <w:abstractNumId w:val="0"/>
  </w:num>
  <w:num w:numId="21" w16cid:durableId="1429814479">
    <w:abstractNumId w:val="9"/>
  </w:num>
  <w:num w:numId="22" w16cid:durableId="890581437">
    <w:abstractNumId w:val="7"/>
  </w:num>
  <w:num w:numId="23" w16cid:durableId="2133397189">
    <w:abstractNumId w:val="6"/>
  </w:num>
  <w:num w:numId="24" w16cid:durableId="2099208790">
    <w:abstractNumId w:val="5"/>
  </w:num>
  <w:num w:numId="25" w16cid:durableId="2099865786">
    <w:abstractNumId w:val="4"/>
  </w:num>
  <w:num w:numId="26" w16cid:durableId="1222401734">
    <w:abstractNumId w:val="8"/>
  </w:num>
  <w:num w:numId="27" w16cid:durableId="1161968755">
    <w:abstractNumId w:val="3"/>
  </w:num>
  <w:num w:numId="28" w16cid:durableId="336690087">
    <w:abstractNumId w:val="2"/>
  </w:num>
  <w:num w:numId="29" w16cid:durableId="786778876">
    <w:abstractNumId w:val="1"/>
  </w:num>
  <w:num w:numId="30" w16cid:durableId="647513506">
    <w:abstractNumId w:val="0"/>
  </w:num>
  <w:num w:numId="31" w16cid:durableId="1459762436">
    <w:abstractNumId w:val="9"/>
  </w:num>
  <w:num w:numId="32" w16cid:durableId="1561792044">
    <w:abstractNumId w:val="7"/>
  </w:num>
  <w:num w:numId="33" w16cid:durableId="701900830">
    <w:abstractNumId w:val="6"/>
  </w:num>
  <w:num w:numId="34" w16cid:durableId="384764632">
    <w:abstractNumId w:val="5"/>
  </w:num>
  <w:num w:numId="35" w16cid:durableId="487749441">
    <w:abstractNumId w:val="4"/>
  </w:num>
  <w:num w:numId="36" w16cid:durableId="843937436">
    <w:abstractNumId w:val="8"/>
  </w:num>
  <w:num w:numId="37" w16cid:durableId="1582830890">
    <w:abstractNumId w:val="3"/>
  </w:num>
  <w:num w:numId="38" w16cid:durableId="355275839">
    <w:abstractNumId w:val="2"/>
  </w:num>
  <w:num w:numId="39" w16cid:durableId="943996382">
    <w:abstractNumId w:val="1"/>
  </w:num>
  <w:num w:numId="40" w16cid:durableId="495918413">
    <w:abstractNumId w:val="0"/>
  </w:num>
  <w:num w:numId="41" w16cid:durableId="962808216">
    <w:abstractNumId w:val="10"/>
  </w:num>
  <w:num w:numId="42" w16cid:durableId="972367002">
    <w:abstractNumId w:val="10"/>
  </w:num>
  <w:num w:numId="43" w16cid:durableId="1440907110">
    <w:abstractNumId w:val="10"/>
  </w:num>
  <w:num w:numId="44" w16cid:durableId="5817231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0/2026"/>
    <w:docVar w:name="dvlangue" w:val="PT"/>
    <w:docVar w:name="dvnumam" w:val="0"/>
    <w:docVar w:name="dvpe" w:val="776.895"/>
    <w:docVar w:name="dvrapporteur" w:val="Relatora: "/>
    <w:docVar w:name="dvtitre" w:val="Recomendação do Parlamento Europeu ao Conselho sobre a recomendação do Parlamento Europeu ao Conselho referente às prioridades da UE para a 70.ª sessão da Comissão das Nações Unidas sobre o Estatuto da Mulher(2025/2240(INI))"/>
  </w:docVars>
  <w:rsids>
    <w:rsidRoot w:val="0001336B"/>
    <w:rsid w:val="00002272"/>
    <w:rsid w:val="0001336B"/>
    <w:rsid w:val="00064002"/>
    <w:rsid w:val="000677B9"/>
    <w:rsid w:val="000831BA"/>
    <w:rsid w:val="000A42CC"/>
    <w:rsid w:val="000E7DD9"/>
    <w:rsid w:val="0010095E"/>
    <w:rsid w:val="001246EE"/>
    <w:rsid w:val="00125B37"/>
    <w:rsid w:val="00140D95"/>
    <w:rsid w:val="00162396"/>
    <w:rsid w:val="00187494"/>
    <w:rsid w:val="001D7D04"/>
    <w:rsid w:val="001F32AE"/>
    <w:rsid w:val="002767FF"/>
    <w:rsid w:val="002B18FE"/>
    <w:rsid w:val="002B5493"/>
    <w:rsid w:val="0032265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081E"/>
    <w:rsid w:val="004C0004"/>
    <w:rsid w:val="004C5D52"/>
    <w:rsid w:val="004E23FE"/>
    <w:rsid w:val="0050519A"/>
    <w:rsid w:val="005072A1"/>
    <w:rsid w:val="00514517"/>
    <w:rsid w:val="00545827"/>
    <w:rsid w:val="00560270"/>
    <w:rsid w:val="005C2568"/>
    <w:rsid w:val="005F1B17"/>
    <w:rsid w:val="006037C0"/>
    <w:rsid w:val="00636CF9"/>
    <w:rsid w:val="006529C2"/>
    <w:rsid w:val="006631B6"/>
    <w:rsid w:val="00680577"/>
    <w:rsid w:val="006E1F93"/>
    <w:rsid w:val="006F74FA"/>
    <w:rsid w:val="00731ADD"/>
    <w:rsid w:val="00734777"/>
    <w:rsid w:val="00747932"/>
    <w:rsid w:val="00751A4A"/>
    <w:rsid w:val="00756632"/>
    <w:rsid w:val="00762C74"/>
    <w:rsid w:val="00786EC0"/>
    <w:rsid w:val="007A7422"/>
    <w:rsid w:val="007D1690"/>
    <w:rsid w:val="007E22AD"/>
    <w:rsid w:val="00817416"/>
    <w:rsid w:val="008220F2"/>
    <w:rsid w:val="00842779"/>
    <w:rsid w:val="00865F67"/>
    <w:rsid w:val="00881A7B"/>
    <w:rsid w:val="008840E5"/>
    <w:rsid w:val="00887B3E"/>
    <w:rsid w:val="008C2AC6"/>
    <w:rsid w:val="008E77AD"/>
    <w:rsid w:val="00901F16"/>
    <w:rsid w:val="00930C23"/>
    <w:rsid w:val="0093193B"/>
    <w:rsid w:val="00933406"/>
    <w:rsid w:val="00934B0E"/>
    <w:rsid w:val="009509D8"/>
    <w:rsid w:val="00950B64"/>
    <w:rsid w:val="00962022"/>
    <w:rsid w:val="00981893"/>
    <w:rsid w:val="00A1687D"/>
    <w:rsid w:val="00A40BB0"/>
    <w:rsid w:val="00A42570"/>
    <w:rsid w:val="00A43E52"/>
    <w:rsid w:val="00A4678D"/>
    <w:rsid w:val="00A778C7"/>
    <w:rsid w:val="00A8301D"/>
    <w:rsid w:val="00AB441E"/>
    <w:rsid w:val="00AB6293"/>
    <w:rsid w:val="00AE0928"/>
    <w:rsid w:val="00AF3B82"/>
    <w:rsid w:val="00B12E95"/>
    <w:rsid w:val="00B22876"/>
    <w:rsid w:val="00B558F0"/>
    <w:rsid w:val="00B804D9"/>
    <w:rsid w:val="00B90551"/>
    <w:rsid w:val="00BD48FE"/>
    <w:rsid w:val="00BD7BD8"/>
    <w:rsid w:val="00BE6ADC"/>
    <w:rsid w:val="00C05BFE"/>
    <w:rsid w:val="00C23CD4"/>
    <w:rsid w:val="00C61C0C"/>
    <w:rsid w:val="00C66D99"/>
    <w:rsid w:val="00C941CB"/>
    <w:rsid w:val="00CC2357"/>
    <w:rsid w:val="00CF071A"/>
    <w:rsid w:val="00D058B8"/>
    <w:rsid w:val="00D35E4D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210F320"/>
  <w15:chartTrackingRefBased/>
  <w15:docId w15:val="{0229193E-4967-413C-818A-B9AD2C7BF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B081E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4B081E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4B081E"/>
    <w:rPr>
      <w:sz w:val="24"/>
      <w:lang w:val="pt-PT"/>
    </w:rPr>
  </w:style>
  <w:style w:type="character" w:styleId="Hyperlink">
    <w:name w:val="Hyperlink"/>
    <w:basedOn w:val="DefaultParagraphFont"/>
    <w:rsid w:val="004B081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22657"/>
    <w:rPr>
      <w:sz w:val="24"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6E1F9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A42570"/>
    <w:rPr>
      <w:sz w:val="16"/>
      <w:szCs w:val="16"/>
    </w:rPr>
  </w:style>
  <w:style w:type="paragraph" w:styleId="CommentText">
    <w:name w:val="annotation text"/>
    <w:basedOn w:val="Normal"/>
    <w:link w:val="CommentTextChar"/>
    <w:rsid w:val="00A4257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42570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A425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42570"/>
    <w:rPr>
      <w:b/>
      <w:bCs/>
      <w:lang w:val="pt-PT"/>
    </w:rPr>
  </w:style>
  <w:style w:type="paragraph" w:styleId="Header">
    <w:name w:val="header"/>
    <w:basedOn w:val="Normal"/>
    <w:link w:val="HeaderChar"/>
    <w:rsid w:val="00636C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36CF9"/>
    <w:rPr>
      <w:sz w:val="24"/>
      <w:lang w:val="pt-PT"/>
    </w:rPr>
  </w:style>
  <w:style w:type="paragraph" w:styleId="Footer">
    <w:name w:val="footer"/>
    <w:basedOn w:val="Normal"/>
    <w:link w:val="FooterChar"/>
    <w:rsid w:val="00636CF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36CF9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7518</Words>
  <Characters>35111</Characters>
  <Application>Microsoft Office Word</Application>
  <DocSecurity>0</DocSecurity>
  <Lines>1032</Lines>
  <Paragraphs>430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2026-02-12T15:57:00Z</dcterms:created>
  <dcterms:modified xsi:type="dcterms:W3CDTF">2026-02-12T15:57:00Z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A10-0010/2026</vt:lpwstr>
  </property>
  <property fmtid="{D5CDD505-2E9C-101B-9397-08002B2CF9AE}" pid="4" name="&lt;Type&gt;">
    <vt:lpwstr>RR</vt:lpwstr>
  </property>
</Properties>
</file>