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46B3" w14:paraId="1766D65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C7C52A" w14:textId="77777777" w:rsidR="00751A4A" w:rsidRPr="009246B3" w:rsidRDefault="00DC5230" w:rsidP="0010095E">
            <w:pPr>
              <w:pStyle w:val="EPName"/>
            </w:pPr>
            <w:r w:rsidRPr="009246B3">
              <w:t xml:space="preserve">Parlamento </w:t>
            </w:r>
            <w:proofErr w:type="gramStart"/>
            <w:r w:rsidRPr="009246B3">
              <w:t>Europeu</w:t>
            </w:r>
            <w:proofErr w:type="gramEnd"/>
          </w:p>
          <w:p w14:paraId="37E3A936" w14:textId="77777777" w:rsidR="00751A4A" w:rsidRPr="009246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46B3">
              <w:t>2024</w:t>
            </w:r>
            <w:r w:rsidR="00817416" w:rsidRPr="009246B3">
              <w:t>-202</w:t>
            </w:r>
            <w:r w:rsidRPr="009246B3">
              <w:t>9</w:t>
            </w:r>
          </w:p>
        </w:tc>
        <w:tc>
          <w:tcPr>
            <w:tcW w:w="2268" w:type="dxa"/>
            <w:shd w:val="clear" w:color="auto" w:fill="auto"/>
          </w:tcPr>
          <w:p w14:paraId="33DF4500" w14:textId="77777777" w:rsidR="00751A4A" w:rsidRPr="009246B3" w:rsidRDefault="00187494" w:rsidP="0010095E">
            <w:pPr>
              <w:pStyle w:val="EPLogo"/>
            </w:pPr>
            <w:r w:rsidRPr="009246B3">
              <w:rPr>
                <w:noProof/>
                <w:lang w:eastAsia="ja-JP"/>
              </w:rPr>
              <w:drawing>
                <wp:inline distT="0" distB="0" distL="0" distR="0" wp14:anchorId="488C5650" wp14:editId="4AD822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386F36" w14:textId="77777777" w:rsidR="00D058B8" w:rsidRPr="009246B3" w:rsidRDefault="00D058B8" w:rsidP="004C5D52">
      <w:pPr>
        <w:pStyle w:val="LineTop"/>
      </w:pPr>
    </w:p>
    <w:p w14:paraId="130F54A5" w14:textId="77777777" w:rsidR="00680577" w:rsidRPr="009246B3" w:rsidRDefault="00DC5230" w:rsidP="00680577">
      <w:pPr>
        <w:pStyle w:val="EPBodyTA1"/>
      </w:pPr>
      <w:r w:rsidRPr="009246B3">
        <w:t>TEXTOS APROVADOS</w:t>
      </w:r>
    </w:p>
    <w:p w14:paraId="4E2EF23E" w14:textId="77777777" w:rsidR="00D058B8" w:rsidRPr="009246B3" w:rsidRDefault="00D058B8" w:rsidP="00D058B8">
      <w:pPr>
        <w:pStyle w:val="LineBottom"/>
      </w:pPr>
    </w:p>
    <w:p w14:paraId="7A10061E" w14:textId="5A4B4398" w:rsidR="00DC5230" w:rsidRPr="009246B3" w:rsidRDefault="00DC5230" w:rsidP="00DC5230">
      <w:pPr>
        <w:pStyle w:val="ATHeading1"/>
      </w:pPr>
      <w:bookmarkStart w:id="0" w:name="TANumber"/>
      <w:r w:rsidRPr="009246B3">
        <w:t>P10_</w:t>
      </w:r>
      <w:proofErr w:type="gramStart"/>
      <w:r w:rsidRPr="009246B3">
        <w:t>TA(</w:t>
      </w:r>
      <w:proofErr w:type="gramEnd"/>
      <w:r w:rsidRPr="009246B3">
        <w:t>2026)</w:t>
      </w:r>
      <w:bookmarkEnd w:id="0"/>
      <w:r w:rsidR="00120A42" w:rsidRPr="009246B3">
        <w:t>0052</w:t>
      </w:r>
    </w:p>
    <w:p w14:paraId="53C7A5AF" w14:textId="77777777" w:rsidR="00DC5230" w:rsidRPr="009246B3" w:rsidRDefault="00DC5230" w:rsidP="00DC5230">
      <w:pPr>
        <w:pStyle w:val="ATHeading2"/>
      </w:pPr>
      <w:bookmarkStart w:id="1" w:name="title"/>
      <w:r w:rsidRPr="009246B3">
        <w:t>Dia Mundial de Luta contra o Cancro</w:t>
      </w:r>
      <w:bookmarkEnd w:id="1"/>
    </w:p>
    <w:p w14:paraId="2D2BFCEC" w14:textId="77777777" w:rsidR="00DC5230" w:rsidRPr="009246B3" w:rsidRDefault="00DC5230" w:rsidP="00DC5230">
      <w:pPr>
        <w:rPr>
          <w:i/>
          <w:vanish/>
        </w:rPr>
      </w:pPr>
      <w:r w:rsidRPr="009246B3">
        <w:rPr>
          <w:i/>
        </w:rPr>
        <w:fldChar w:fldCharType="begin"/>
      </w:r>
      <w:r w:rsidRPr="009246B3">
        <w:rPr>
          <w:i/>
        </w:rPr>
        <w:instrText xml:space="preserve"> TC"(</w:instrText>
      </w:r>
      <w:bookmarkStart w:id="2" w:name="DocNumber"/>
      <w:r w:rsidRPr="009246B3">
        <w:rPr>
          <w:i/>
        </w:rPr>
        <w:instrText>B10-0112, 0113, 0142, 0126, 0135 e 0141/2026</w:instrText>
      </w:r>
      <w:bookmarkEnd w:id="2"/>
      <w:r w:rsidRPr="009246B3">
        <w:rPr>
          <w:i/>
        </w:rPr>
        <w:instrText xml:space="preserve">)"\l3 \n&gt; \* MERGEFORMAT </w:instrText>
      </w:r>
      <w:r w:rsidRPr="009246B3">
        <w:rPr>
          <w:i/>
        </w:rPr>
        <w:fldChar w:fldCharType="end"/>
      </w:r>
    </w:p>
    <w:p w14:paraId="0B92B51E" w14:textId="77777777" w:rsidR="00DC5230" w:rsidRPr="009246B3" w:rsidRDefault="00DC5230" w:rsidP="00DC5230">
      <w:pPr>
        <w:rPr>
          <w:vanish/>
        </w:rPr>
      </w:pPr>
      <w:bookmarkStart w:id="3" w:name="PE"/>
      <w:r w:rsidRPr="009246B3">
        <w:rPr>
          <w:vanish/>
        </w:rPr>
        <w:t>PE782.075</w:t>
      </w:r>
      <w:bookmarkEnd w:id="3"/>
    </w:p>
    <w:p w14:paraId="6D0ACD64" w14:textId="351E95FB" w:rsidR="00DC5230" w:rsidRPr="009246B3" w:rsidRDefault="00DC5230" w:rsidP="00DC5230">
      <w:pPr>
        <w:pStyle w:val="ATHeading3"/>
      </w:pPr>
      <w:bookmarkStart w:id="4" w:name="Sujet"/>
      <w:r w:rsidRPr="009246B3">
        <w:t xml:space="preserve">Resolução do Parlamento Europeu, de </w:t>
      </w:r>
      <w:r w:rsidR="00120A42" w:rsidRPr="009246B3">
        <w:t xml:space="preserve">12 </w:t>
      </w:r>
      <w:r w:rsidRPr="009246B3">
        <w:t xml:space="preserve">de </w:t>
      </w:r>
      <w:r w:rsidR="00120A42" w:rsidRPr="009246B3">
        <w:t xml:space="preserve">fevereiro </w:t>
      </w:r>
      <w:r w:rsidRPr="009246B3">
        <w:t>de 2026, sobre o Dia Mundial de Luta contra o Cancro</w:t>
      </w:r>
      <w:bookmarkEnd w:id="4"/>
      <w:r w:rsidRPr="009246B3">
        <w:t xml:space="preserve"> </w:t>
      </w:r>
      <w:bookmarkStart w:id="5" w:name="References"/>
      <w:r w:rsidRPr="009246B3">
        <w:t>(2026/2586(RSP))</w:t>
      </w:r>
      <w:bookmarkEnd w:id="5"/>
    </w:p>
    <w:p w14:paraId="7492509E" w14:textId="77777777" w:rsidR="00D24E40" w:rsidRPr="009246B3" w:rsidRDefault="00D24E40" w:rsidP="00D24E40">
      <w:pPr>
        <w:pStyle w:val="EPComma"/>
      </w:pPr>
      <w:bookmarkStart w:id="6" w:name="TextBodyBegin"/>
      <w:bookmarkEnd w:id="6"/>
      <w:r w:rsidRPr="009246B3">
        <w:rPr>
          <w:i/>
        </w:rPr>
        <w:t>O Parlamento Europeu</w:t>
      </w:r>
      <w:r w:rsidRPr="009246B3">
        <w:t>,</w:t>
      </w:r>
    </w:p>
    <w:p w14:paraId="2C2BA40D" w14:textId="77777777" w:rsidR="00D24E40" w:rsidRPr="009246B3" w:rsidRDefault="00D24E40" w:rsidP="00D24E40">
      <w:pPr>
        <w:pStyle w:val="NormalHanging12a"/>
      </w:pPr>
      <w:r w:rsidRPr="009246B3">
        <w:t>–</w:t>
      </w:r>
      <w:r w:rsidRPr="009246B3">
        <w:tab/>
        <w:t>Tendo em conta o Dia Mundial de Luta contra o Cancro, assinalado anualmente em 4 de fevereiro,</w:t>
      </w:r>
    </w:p>
    <w:p w14:paraId="21415ADF" w14:textId="77777777" w:rsidR="00D24E40" w:rsidRPr="009246B3" w:rsidRDefault="00D24E40" w:rsidP="00D24E40">
      <w:pPr>
        <w:pStyle w:val="NormalHanging12a"/>
      </w:pPr>
      <w:r w:rsidRPr="009246B3">
        <w:t>–</w:t>
      </w:r>
      <w:r w:rsidRPr="009246B3">
        <w:tab/>
        <w:t>Tendo em conta o artigo 168.º do Tratado sobre o Funcionamento da União Europeia,</w:t>
      </w:r>
    </w:p>
    <w:p w14:paraId="6347CFD0" w14:textId="10B94D1F" w:rsidR="00D24E40" w:rsidRPr="009246B3" w:rsidRDefault="00D24E40" w:rsidP="00D24E40">
      <w:pPr>
        <w:pStyle w:val="NormalHanging12a"/>
      </w:pPr>
      <w:r w:rsidRPr="009246B3">
        <w:t>–</w:t>
      </w:r>
      <w:r w:rsidRPr="009246B3">
        <w:tab/>
        <w:t xml:space="preserve">Tendo em conta a sua Resolução, de 16 de fevereiro de 2022, intitulada «Reforçar a Europa na luta contra o cancro </w:t>
      </w:r>
      <w:r w:rsidR="00120A42" w:rsidRPr="009246B3">
        <w:t xml:space="preserve">– </w:t>
      </w:r>
      <w:r w:rsidRPr="009246B3">
        <w:t>rumo a uma estratégia abrangente e coordenada»</w:t>
      </w:r>
      <w:r w:rsidRPr="009246B3">
        <w:rPr>
          <w:rStyle w:val="FootnoteReference"/>
        </w:rPr>
        <w:footnoteReference w:id="1"/>
      </w:r>
      <w:r w:rsidRPr="009246B3">
        <w:t>,</w:t>
      </w:r>
    </w:p>
    <w:p w14:paraId="54FC3E3F" w14:textId="77777777" w:rsidR="00D24E40" w:rsidRPr="009246B3" w:rsidRDefault="00D24E40" w:rsidP="00D24E40">
      <w:pPr>
        <w:pStyle w:val="NormalHanging12a"/>
      </w:pPr>
      <w:r w:rsidRPr="009246B3">
        <w:t>–</w:t>
      </w:r>
      <w:r w:rsidRPr="009246B3">
        <w:tab/>
        <w:t>Tendo em conta o Plano Europeu de Luta contra o Cancro,</w:t>
      </w:r>
    </w:p>
    <w:p w14:paraId="6BECCF00" w14:textId="77777777" w:rsidR="00D24E40" w:rsidRPr="009246B3" w:rsidRDefault="00D24E40" w:rsidP="00D24E40">
      <w:pPr>
        <w:pStyle w:val="NormalHanging12a"/>
      </w:pPr>
      <w:r w:rsidRPr="009246B3">
        <w:t>–</w:t>
      </w:r>
      <w:r w:rsidRPr="009246B3">
        <w:tab/>
        <w:t>Tendo em conta as conclusões pertinentes do Conselho e as recomendações da Organização Mundial da Saúde (OMS) sobre a prevenção e o controlo do cancro,</w:t>
      </w:r>
    </w:p>
    <w:p w14:paraId="76CE2437" w14:textId="77777777" w:rsidR="00D24E40" w:rsidRPr="009246B3" w:rsidRDefault="00D24E40" w:rsidP="00D24E40">
      <w:pPr>
        <w:pStyle w:val="NormalHanging12a"/>
      </w:pPr>
      <w:r w:rsidRPr="009246B3">
        <w:t>–</w:t>
      </w:r>
      <w:r w:rsidRPr="009246B3">
        <w:tab/>
        <w:t>Tendo em conta os Objetivos de Desenvolvimento Sustentável das Nações Unidas, designadamente o Objetivo 3 relativo à saúde de qualidade e ao bem</w:t>
      </w:r>
      <w:r w:rsidRPr="009246B3">
        <w:noBreakHyphen/>
        <w:t>estar,</w:t>
      </w:r>
    </w:p>
    <w:p w14:paraId="5D503D80" w14:textId="77777777" w:rsidR="00D24E40" w:rsidRPr="009246B3" w:rsidRDefault="00D24E40" w:rsidP="00D24E40">
      <w:pPr>
        <w:pStyle w:val="NormalHanging12a"/>
      </w:pPr>
      <w:r w:rsidRPr="009246B3">
        <w:t>–</w:t>
      </w:r>
      <w:r w:rsidRPr="009246B3">
        <w:tab/>
        <w:t xml:space="preserve">Tendo em conta as Conclusões do Conselho, </w:t>
      </w:r>
      <w:bookmarkStart w:id="7" w:name="_Hlk221692983"/>
      <w:r w:rsidRPr="009246B3">
        <w:t>de 10 de junho de 2008, sobre a redução da incidência do cancro</w:t>
      </w:r>
      <w:bookmarkEnd w:id="7"/>
      <w:r w:rsidRPr="009246B3">
        <w:t>,</w:t>
      </w:r>
    </w:p>
    <w:p w14:paraId="6A544A83" w14:textId="77777777" w:rsidR="00D24E40" w:rsidRPr="009246B3" w:rsidRDefault="00D24E40" w:rsidP="00D24E40">
      <w:pPr>
        <w:pStyle w:val="NormalHanging12a"/>
      </w:pPr>
      <w:r w:rsidRPr="009246B3">
        <w:t>–</w:t>
      </w:r>
      <w:r w:rsidRPr="009246B3">
        <w:tab/>
        <w:t>Tendo em conta a Carta dos Direitos Fundamentais da União Europeia, nomeadamente o artigo 35.º relativo à proteção da saúde,</w:t>
      </w:r>
    </w:p>
    <w:p w14:paraId="3EBB7CD3" w14:textId="77777777" w:rsidR="00D24E40" w:rsidRPr="009246B3" w:rsidRDefault="00D24E40" w:rsidP="00D24E40">
      <w:pPr>
        <w:pStyle w:val="NormalHanging12a"/>
      </w:pPr>
      <w:r w:rsidRPr="009246B3">
        <w:t>–</w:t>
      </w:r>
      <w:r w:rsidRPr="009246B3">
        <w:tab/>
        <w:t>Tendo em conta a Recomendação do Conselho, de 9 de dezembro de 2022, sobre o reforço da prevenção através da deteção precoce: uma nova abordagem da UE para o rastreio do cancro, que substitui a Recomendação 2003/878/CE do Conselho</w:t>
      </w:r>
      <w:r w:rsidRPr="009246B3">
        <w:rPr>
          <w:rStyle w:val="FootnoteReference"/>
        </w:rPr>
        <w:footnoteReference w:id="2"/>
      </w:r>
      <w:r w:rsidRPr="009246B3">
        <w:t>,</w:t>
      </w:r>
    </w:p>
    <w:p w14:paraId="39B08072" w14:textId="77777777" w:rsidR="00D24E40" w:rsidRPr="009246B3" w:rsidRDefault="00D24E40" w:rsidP="00D24E40">
      <w:pPr>
        <w:pStyle w:val="NormalHanging12a"/>
      </w:pPr>
      <w:r w:rsidRPr="009246B3">
        <w:t>–</w:t>
      </w:r>
      <w:r w:rsidRPr="009246B3">
        <w:tab/>
        <w:t>Tendo em conta o artigo 167.º, n.º 2, e o artigo 136.º, n.º 4, do seu Regimento,</w:t>
      </w:r>
    </w:p>
    <w:p w14:paraId="433C6E6E" w14:textId="77777777" w:rsidR="00D24E40" w:rsidRPr="009246B3" w:rsidRDefault="00D24E40" w:rsidP="00D24E40">
      <w:pPr>
        <w:pStyle w:val="NormalHanging12a"/>
      </w:pPr>
      <w:r w:rsidRPr="009246B3">
        <w:t>A.</w:t>
      </w:r>
      <w:r w:rsidRPr="009246B3">
        <w:tab/>
        <w:t xml:space="preserve">Considerando que, segundo o Sistema Europeu de Informação sobre o Cancro, todos os anos na UE, são diagnosticadas com cancro 2,7 milhões de pessoas e outras 1,3 milhões </w:t>
      </w:r>
      <w:r w:rsidRPr="009246B3">
        <w:lastRenderedPageBreak/>
        <w:t>de pessoas morrem devido a esta doença;</w:t>
      </w:r>
    </w:p>
    <w:p w14:paraId="006543B6" w14:textId="07602E8C" w:rsidR="00D24E40" w:rsidRPr="009246B3" w:rsidRDefault="00D24E40" w:rsidP="00D24E40">
      <w:pPr>
        <w:pStyle w:val="NormalHanging12a"/>
      </w:pPr>
      <w:r w:rsidRPr="009246B3">
        <w:t>B.</w:t>
      </w:r>
      <w:r w:rsidRPr="009246B3">
        <w:tab/>
        <w:t>Considerando que as despesas de saúde relacionadas com o cancro na UE duplicaram desde 1995 (passando de 54 mil milhões de EUR para 120 mil milhões de EUR em 2023), e representaram 6,9 % do total das despesas de saúde em 2023</w:t>
      </w:r>
      <w:r w:rsidR="00120A42" w:rsidRPr="009246B3">
        <w:t>; considerando que</w:t>
      </w:r>
      <w:r w:rsidRPr="009246B3">
        <w:t>, até 2050, se espera que o aumento do número de casos de cancro, associado ao envelhecimento da população, dê origem a um aumento de 59 % das despesas per capita relacionadas com o cancro, em termos reais, na UE27</w:t>
      </w:r>
      <w:r w:rsidRPr="009246B3">
        <w:rPr>
          <w:vertAlign w:val="superscript"/>
        </w:rPr>
        <w:footnoteReference w:id="3"/>
      </w:r>
      <w:r w:rsidRPr="009246B3">
        <w:t>;</w:t>
      </w:r>
    </w:p>
    <w:p w14:paraId="47E3571D" w14:textId="0FE667DC" w:rsidR="00D24E40" w:rsidRPr="009246B3" w:rsidRDefault="00D24E40" w:rsidP="00D24E40">
      <w:pPr>
        <w:pStyle w:val="NormalHanging12a"/>
      </w:pPr>
      <w:r w:rsidRPr="009246B3">
        <w:t>C.</w:t>
      </w:r>
      <w:r w:rsidRPr="009246B3">
        <w:tab/>
        <w:t>Considerando que, de acordo com o Centro Internacional de Investigação do Cancro (CIIC) da OMS, pelo menos 40 % de todos os casos de cancro poderiam ser evitados através de medidas de prevenção primária eficazes</w:t>
      </w:r>
      <w:r w:rsidR="00120A42" w:rsidRPr="009246B3">
        <w:t>; considerando que</w:t>
      </w:r>
      <w:r w:rsidRPr="009246B3">
        <w:t xml:space="preserve"> os principais fatores de risco de cancro são o tabagismo, o consumo nocivo de álcool, uma dieta pouco saudável, a obesidade, a falta de atividade física, os </w:t>
      </w:r>
      <w:proofErr w:type="spellStart"/>
      <w:r w:rsidRPr="009246B3">
        <w:t>desreguladores</w:t>
      </w:r>
      <w:proofErr w:type="spellEnd"/>
      <w:r w:rsidRPr="009246B3">
        <w:t xml:space="preserve"> endócrinos, as exposições ambientais, incluindo às PFAS, as exposições profissionais, as concentrações de poluentes atmosféricos, a exposição à radiação ultravioleta e ao radão e as infeções (por exemplo, os vírus da hepatite B e C e determinados tipos de vírus do papiloma humano);</w:t>
      </w:r>
    </w:p>
    <w:p w14:paraId="7791BDA3" w14:textId="77777777" w:rsidR="00D24E40" w:rsidRPr="009246B3" w:rsidRDefault="00D24E40" w:rsidP="00D24E40">
      <w:pPr>
        <w:pStyle w:val="NormalHanging12a"/>
      </w:pPr>
      <w:r w:rsidRPr="009246B3">
        <w:t>D.</w:t>
      </w:r>
      <w:r w:rsidRPr="009246B3">
        <w:tab/>
        <w:t>Considerando que a OMS e o CIIC procuram sensibilizar para a relação entre o álcool e o cancro;</w:t>
      </w:r>
    </w:p>
    <w:p w14:paraId="2D251718" w14:textId="77777777" w:rsidR="00D24E40" w:rsidRPr="009246B3" w:rsidRDefault="00D24E40" w:rsidP="00D24E40">
      <w:pPr>
        <w:pStyle w:val="NormalHanging12a"/>
      </w:pPr>
      <w:r w:rsidRPr="009246B3">
        <w:t>E.</w:t>
      </w:r>
      <w:r w:rsidRPr="009246B3">
        <w:tab/>
        <w:t>Considerando que, apesar dos progressos realizados, continuam a existir desigualdades significativas entre os Estados</w:t>
      </w:r>
      <w:r w:rsidRPr="009246B3">
        <w:noBreakHyphen/>
        <w:t>Membros e no interior dos mesmos em matéria de prevenção, rastreio, diagnóstico precoce, tratamento, sobrevivência e cuidados paliativos;</w:t>
      </w:r>
    </w:p>
    <w:p w14:paraId="02F3B762" w14:textId="77777777" w:rsidR="00D24E40" w:rsidRPr="009246B3" w:rsidRDefault="00D24E40" w:rsidP="00D24E40">
      <w:pPr>
        <w:pStyle w:val="NormalHanging12a"/>
      </w:pPr>
      <w:r w:rsidRPr="009246B3">
        <w:t>F.</w:t>
      </w:r>
      <w:r w:rsidRPr="009246B3">
        <w:tab/>
        <w:t>Considerando que, de acordo com o relatório da Organização de Cooperação e de Desenvolvimento Económicos e da Comissão, intitulado «</w:t>
      </w:r>
      <w:proofErr w:type="spellStart"/>
      <w:r w:rsidRPr="009246B3">
        <w:t>Delivering</w:t>
      </w:r>
      <w:proofErr w:type="spellEnd"/>
      <w:r w:rsidRPr="009246B3">
        <w:t xml:space="preserve"> </w:t>
      </w:r>
      <w:proofErr w:type="spellStart"/>
      <w:r w:rsidRPr="009246B3">
        <w:t>high</w:t>
      </w:r>
      <w:proofErr w:type="spellEnd"/>
      <w:r w:rsidRPr="009246B3">
        <w:t xml:space="preserve"> </w:t>
      </w:r>
      <w:proofErr w:type="spellStart"/>
      <w:r w:rsidRPr="009246B3">
        <w:t>value</w:t>
      </w:r>
      <w:proofErr w:type="spellEnd"/>
      <w:r w:rsidRPr="009246B3">
        <w:t xml:space="preserve"> </w:t>
      </w:r>
      <w:proofErr w:type="spellStart"/>
      <w:r w:rsidRPr="009246B3">
        <w:t>cancer</w:t>
      </w:r>
      <w:proofErr w:type="spellEnd"/>
      <w:r w:rsidRPr="009246B3">
        <w:t xml:space="preserve"> </w:t>
      </w:r>
      <w:proofErr w:type="spellStart"/>
      <w:r w:rsidRPr="009246B3">
        <w:t>care</w:t>
      </w:r>
      <w:proofErr w:type="spellEnd"/>
      <w:r w:rsidRPr="009246B3">
        <w:t>» [Prestação de cuidados oncológicos de elevado valor], os diagnósticos de cancro entre as pessoas mais jovens (com idades compreendidas entre os 15 e os 49 anos) têm vindo a aumentar mais amplamente entre as mulheres, o que significa que um número crescente de pessoas, em particular as mulheres mais jovens, vive com um diagnóstico de cancro que requer tratamento e acompanhamento, o que exerce uma pressão constante sobre os serviços de prestação de cuidados de saúde e de assistência social;</w:t>
      </w:r>
    </w:p>
    <w:p w14:paraId="5ACEDEE6" w14:textId="152B22D7" w:rsidR="00D24E40" w:rsidRPr="009246B3" w:rsidRDefault="00D24E40" w:rsidP="00D24E40">
      <w:pPr>
        <w:pStyle w:val="NormalHanging12a"/>
      </w:pPr>
      <w:r w:rsidRPr="009246B3">
        <w:t>G.</w:t>
      </w:r>
      <w:r w:rsidRPr="009246B3">
        <w:tab/>
        <w:t>Considerando que o cancro é uma das principais causas de morte prematura entre as mulheres a nível mundial, com 2,3 milhões de mulheres a morrerem prematuramente de cancro todos os anos</w:t>
      </w:r>
      <w:r w:rsidR="00120A42" w:rsidRPr="009246B3">
        <w:t>; considerando que</w:t>
      </w:r>
      <w:r w:rsidRPr="009246B3">
        <w:t xml:space="preserve"> 1,5 milhões dessas mortes podiam ser evitadas através da prevenção primária ou da deteção precoce, e que outras 800 000 também poderiam ser evitadas se todas as mulheres tivessem acesso aos melhores cuidados oncológicos;</w:t>
      </w:r>
    </w:p>
    <w:p w14:paraId="4D4A1584" w14:textId="77777777" w:rsidR="00D24E40" w:rsidRPr="009246B3" w:rsidRDefault="00D24E40" w:rsidP="00D24E40">
      <w:pPr>
        <w:pStyle w:val="NormalHanging12a"/>
      </w:pPr>
      <w:r w:rsidRPr="009246B3">
        <w:t>H.</w:t>
      </w:r>
      <w:r w:rsidRPr="009246B3">
        <w:tab/>
        <w:t xml:space="preserve">Considerando que continuam a existir desigualdades de género sistémicas nos cuidados oncológicos, na investigação e na elaboração de políticas, que influenciam as prioridades, o financiamento e o tema da investigação, perpetuando assim as </w:t>
      </w:r>
      <w:r w:rsidRPr="009246B3">
        <w:lastRenderedPageBreak/>
        <w:t>disparidades de género nos resultados em matéria de saúde;</w:t>
      </w:r>
    </w:p>
    <w:p w14:paraId="2E285261" w14:textId="32E44342" w:rsidR="00D24E40" w:rsidRPr="009246B3" w:rsidRDefault="00D24E40" w:rsidP="00D24E40">
      <w:pPr>
        <w:pStyle w:val="NormalHanging12a"/>
      </w:pPr>
      <w:r w:rsidRPr="009246B3">
        <w:t>I.</w:t>
      </w:r>
      <w:r w:rsidRPr="009246B3">
        <w:tab/>
        <w:t>Considerando que os cancros raros representam mais de um em cada cinco diagnósticos de cancro na UE e estão associados a atrasos na deteção, a opções de tratamento limitadas, à falta de conhecimentos clínicos especializados e a grandes desigualdades transfronteiriças</w:t>
      </w:r>
      <w:r w:rsidR="00120A42" w:rsidRPr="009246B3">
        <w:t>; considerando que</w:t>
      </w:r>
      <w:r w:rsidRPr="009246B3">
        <w:t xml:space="preserve"> o tratamento dos cancros raros requer uma forte coordenação a nível da UE, um financiamento específico e um reforço das redes europeias de referência;</w:t>
      </w:r>
    </w:p>
    <w:p w14:paraId="5BED1C84" w14:textId="77777777" w:rsidR="00D24E40" w:rsidRPr="009246B3" w:rsidRDefault="00D24E40" w:rsidP="00D24E40">
      <w:pPr>
        <w:pStyle w:val="NormalHanging12a"/>
      </w:pPr>
      <w:r w:rsidRPr="009246B3">
        <w:t>J.</w:t>
      </w:r>
      <w:r w:rsidRPr="009246B3">
        <w:tab/>
        <w:t>Considerando que o Plano Europeu de Luta contra o Cancro proporciona um quadro sólido, mas que a sua execução exige um novo compromisso político, um financiamento renovado e uma maior coordenação;</w:t>
      </w:r>
    </w:p>
    <w:p w14:paraId="326BE685" w14:textId="77777777" w:rsidR="00D24E40" w:rsidRPr="009246B3" w:rsidRDefault="00D24E40" w:rsidP="00D24E40">
      <w:pPr>
        <w:pStyle w:val="NormalHanging12a"/>
      </w:pPr>
      <w:r w:rsidRPr="009246B3">
        <w:t>K.</w:t>
      </w:r>
      <w:r w:rsidRPr="009246B3">
        <w:tab/>
        <w:t>Considerando que, em 16 de fevereiro de 2022, o Parlamento aprovou uma resolução sobre o reforço da Europa na luta contra o cancro</w:t>
      </w:r>
      <w:r w:rsidRPr="009246B3">
        <w:rPr>
          <w:rStyle w:val="FootnoteReference"/>
        </w:rPr>
        <w:footnoteReference w:id="4"/>
      </w:r>
      <w:r w:rsidRPr="009246B3">
        <w:t>;</w:t>
      </w:r>
    </w:p>
    <w:p w14:paraId="70774BBD" w14:textId="77777777" w:rsidR="00D24E40" w:rsidRPr="009246B3" w:rsidRDefault="00D24E40" w:rsidP="00D24E40">
      <w:pPr>
        <w:pStyle w:val="NormalHanging12a"/>
      </w:pPr>
      <w:r w:rsidRPr="009246B3">
        <w:t>1.</w:t>
      </w:r>
      <w:r w:rsidRPr="009246B3">
        <w:tab/>
        <w:t>Assinala o Dia Mundial de Luta contra o Cancro, em 4 de fevereiro, e manifesta a sua solidariedade para com todos os doentes, sobreviventes, famílias, profissionais de saúde e investigadores que lutam contra o cancro em toda a Europa;</w:t>
      </w:r>
    </w:p>
    <w:p w14:paraId="2BA1802E" w14:textId="77777777" w:rsidR="00D24E40" w:rsidRPr="009246B3" w:rsidRDefault="00D24E40" w:rsidP="00D24E40">
      <w:pPr>
        <w:pStyle w:val="NormalHanging12a"/>
      </w:pPr>
      <w:r w:rsidRPr="009246B3">
        <w:t>2.</w:t>
      </w:r>
      <w:r w:rsidRPr="009246B3">
        <w:tab/>
        <w:t>Insta a Comissão e os Estados</w:t>
      </w:r>
      <w:r w:rsidRPr="009246B3">
        <w:noBreakHyphen/>
        <w:t>Membros a renovarem o seu compromisso político com a plena aplicação do Plano Europeu de Luta contra o Cancro durante o período de vigência do próximo quadro financeiro plurianual (QFP) 2028</w:t>
      </w:r>
      <w:r w:rsidRPr="009246B3">
        <w:noBreakHyphen/>
        <w:t>2034, e a garantirem a coerência, financiamento adequado e ações nacionais concretas, através de mecanismos de apresentação de relatórios anuais e de uma maior transparência no que diz respeito às lacunas de execução; exorta a Comissão a ter devidamente em conta as boas práticas e a experiência dos Estados</w:t>
      </w:r>
      <w:r w:rsidRPr="009246B3">
        <w:noBreakHyphen/>
        <w:t>Membros no âmbito dos seus esforços para atingir os objetivos estabelecidos no Plano Europeu de Luta contra o Cancro;</w:t>
      </w:r>
    </w:p>
    <w:p w14:paraId="6DBF3B8D" w14:textId="77777777" w:rsidR="00D24E40" w:rsidRPr="009246B3" w:rsidRDefault="00D24E40" w:rsidP="00D24E40">
      <w:pPr>
        <w:pStyle w:val="NormalHanging12a"/>
      </w:pPr>
      <w:r w:rsidRPr="009246B3">
        <w:t>3.</w:t>
      </w:r>
      <w:r w:rsidRPr="009246B3">
        <w:tab/>
        <w:t>Lamenta que o QFP 2028</w:t>
      </w:r>
      <w:r w:rsidRPr="009246B3">
        <w:noBreakHyphen/>
        <w:t>2034 não disponha de financiamento específico para a saúde; solicita a criação de um programa específico da UE no domínio da saúde, com uma dotação específica, para proteger a saúde pública e apoiar a participação dos doentes e da sociedade civil na elaboração de políticas; salienta que é necessário um financiamento específico para concretizar as iniciativas emblemáticas da UE no domínio da saúde que exigem continuidade plurianual e capacidade de execução, como o Plano Europeu de Luta contra o Cancro, cuja concretização na prática exige investimentos previsíveis;</w:t>
      </w:r>
    </w:p>
    <w:p w14:paraId="5C5C7E11" w14:textId="77777777" w:rsidR="00D24E40" w:rsidRPr="009246B3" w:rsidRDefault="00D24E40" w:rsidP="00D24E40">
      <w:pPr>
        <w:pStyle w:val="NormalHanging12a"/>
      </w:pPr>
      <w:r w:rsidRPr="009246B3">
        <w:t>4.</w:t>
      </w:r>
      <w:r w:rsidRPr="009246B3">
        <w:tab/>
        <w:t>Exorta a Comissão e o Conselho a reconhecerem os cuidados de saúde e oncológicos como objetivos de investimento social que podem ser alcançados através do investimento em planos de parcerias nacionais e regionais, incluindo o apoio a infraestruturas oncológicas de longo prazo como os programas de vacinação e de rastreio, o desenvolvimento da mão de obra e sistemas robustos de dados oncológicos;</w:t>
      </w:r>
    </w:p>
    <w:p w14:paraId="635D371A" w14:textId="77777777" w:rsidR="00D24E40" w:rsidRPr="009246B3" w:rsidRDefault="00D24E40" w:rsidP="00D24E40">
      <w:pPr>
        <w:pStyle w:val="NormalHanging12a"/>
      </w:pPr>
      <w:r w:rsidRPr="009246B3">
        <w:t>5.</w:t>
      </w:r>
      <w:r w:rsidRPr="009246B3">
        <w:tab/>
        <w:t xml:space="preserve">Salienta a importância de integrar plenamente as diferenças relacionadas com o género na investigação, na prevenção, no rastreio, no diagnóstico e no tratamento do cancro; defende o desenvolvimento e a aplicação de estratégias específicas e baseadas em dados </w:t>
      </w:r>
      <w:r w:rsidRPr="009246B3">
        <w:lastRenderedPageBreak/>
        <w:t>concretos para garantir um acesso real e equitativo à deteção precoce, ao diagnóstico atempado e ao tratamento oncológico de elevada qualidade;</w:t>
      </w:r>
    </w:p>
    <w:p w14:paraId="0A17D3FD" w14:textId="77777777" w:rsidR="00D24E40" w:rsidRPr="009246B3" w:rsidRDefault="00D24E40" w:rsidP="00D24E40">
      <w:pPr>
        <w:pStyle w:val="NormalHanging12a"/>
      </w:pPr>
      <w:r w:rsidRPr="009246B3">
        <w:t>6.</w:t>
      </w:r>
      <w:r w:rsidRPr="009246B3">
        <w:tab/>
        <w:t>Frisa que o cancro pediátrico continua a ser uma doença rara, mas com grandes repercussões e grandes desigualdades em termos de taxas de sobrevivência e de acesso ao tratamento em toda a Europa; exorta a Comissão e os Estados</w:t>
      </w:r>
      <w:r w:rsidRPr="009246B3">
        <w:noBreakHyphen/>
        <w:t>Membros a reforçarem a cooperação e o financiamento a nível da UE no domínio da investigação oncológica pediátrica, da partilha de dados e dos ensaios clínicos, a impulsionarem o desenvolvimento de medicamentos e o acesso à inovação para crianças e adolescentes com cancro, a reforçarem as redes e infraestruturas dedicadas ao cancro nas crianças e adolescentes, bem como a assegurarem o encaminhamento transfronteiriço atempado para centros especializados através das redes europeias de referência, no intuito de garantir um acesso equitativo a tratamentos e a diagnósticos inovadores e adequados à idade e de proporcionar cuidados de acompanhamento abrangentes e de longo prazo, incluindo apoio psicossocial, educativo e social às crianças, aos adolescentes e aos jovens adultos sobreviventes e às respetivas famílias;</w:t>
      </w:r>
    </w:p>
    <w:p w14:paraId="4F2C47D5" w14:textId="77777777" w:rsidR="00D24E40" w:rsidRPr="009246B3" w:rsidRDefault="00D24E40" w:rsidP="00D24E40">
      <w:pPr>
        <w:pStyle w:val="NormalHanging12a"/>
      </w:pPr>
      <w:r w:rsidRPr="009246B3">
        <w:t>7.</w:t>
      </w:r>
      <w:r w:rsidRPr="009246B3">
        <w:tab/>
        <w:t>Solicita a promoção da oncologia geriátrica como ramo que merece especial atenção e financiamento e que deve ser reforçado pela investigação científica, para que se possam determinar os melhores métodos de tratamento e de diagnóstico para doentes idosos;</w:t>
      </w:r>
    </w:p>
    <w:p w14:paraId="70CC95AF" w14:textId="77777777" w:rsidR="00D24E40" w:rsidRPr="009246B3" w:rsidRDefault="00D24E40" w:rsidP="00D24E40">
      <w:pPr>
        <w:pStyle w:val="NormalHanging12a"/>
      </w:pPr>
      <w:r w:rsidRPr="009246B3">
        <w:t>8.</w:t>
      </w:r>
      <w:r w:rsidRPr="009246B3">
        <w:tab/>
        <w:t>Salienta que os doentes continuam a enfrentar muitas dificuldades no acesso a serviços públicos de cuidados de saúde de elevada qualidade; solicita, por conseguinte, a criação de infraestruturas de elevada qualidade para a prestação de tratamentos, com base em orientações europeias e em consonância com os dados científicos mais recentes;</w:t>
      </w:r>
    </w:p>
    <w:p w14:paraId="73975C92" w14:textId="77777777" w:rsidR="00D24E40" w:rsidRPr="009246B3" w:rsidRDefault="00D24E40" w:rsidP="00D24E40">
      <w:pPr>
        <w:pStyle w:val="NormalHanging12a"/>
      </w:pPr>
      <w:r w:rsidRPr="009246B3">
        <w:t>9.</w:t>
      </w:r>
      <w:r w:rsidRPr="009246B3">
        <w:tab/>
        <w:t>Pede que se reforcem os mecanismos destinados a facilitar o acesso transfronteiriço a cuidados oncológicos especializados e a ensaios clínicos, em particular no caso de cancros raros e complexos, em plena conformidade com a Diretiva Cuidados de Saúde Transfronteiriços</w:t>
      </w:r>
      <w:r w:rsidRPr="009246B3">
        <w:rPr>
          <w:rStyle w:val="FootnoteReference"/>
        </w:rPr>
        <w:footnoteReference w:id="5"/>
      </w:r>
      <w:r w:rsidRPr="009246B3">
        <w:t>;</w:t>
      </w:r>
    </w:p>
    <w:p w14:paraId="10C752F0" w14:textId="77777777" w:rsidR="00D24E40" w:rsidRPr="009246B3" w:rsidRDefault="00D24E40" w:rsidP="00D24E40">
      <w:pPr>
        <w:pStyle w:val="NormalHanging12a"/>
      </w:pPr>
      <w:r w:rsidRPr="009246B3">
        <w:t>10.</w:t>
      </w:r>
      <w:r w:rsidRPr="009246B3">
        <w:tab/>
        <w:t>Reitera a necessidade de garantir um acesso justo, atempado e a preços acessíveis aos medicamentos e a tratamentos inovadores para o cancro em toda a União; observa, com preocupação, as disparidades persistentes entre Estados</w:t>
      </w:r>
      <w:r w:rsidRPr="009246B3">
        <w:noBreakHyphen/>
        <w:t>Membros no acesso dos doentes a esses medicamentos e terapias, apesar da autorização de introdução no mercado da UE, e constata que tal afeta particularmente os mercados de menor dimensão; insta a Comissão, em cooperação com os Estados</w:t>
      </w:r>
      <w:r w:rsidRPr="009246B3">
        <w:noBreakHyphen/>
        <w:t>Membros, a facilitar a contratação conjunta voluntária, sempre que adequada, a promover a transparência dos preços em conformidade com as competências nacionais, a apoiar uma introdução mais rápida no mercado e a resolver os atrasos injustificados entre a autorização pela Agência Europeia de Medicamentos e o acesso pelos doentes, sobretudo no que diz respeito a tratamentos oncológicos que salvam vidas;</w:t>
      </w:r>
    </w:p>
    <w:p w14:paraId="49C58B71" w14:textId="77777777" w:rsidR="00D24E40" w:rsidRPr="009246B3" w:rsidRDefault="00D24E40" w:rsidP="00D24E40">
      <w:pPr>
        <w:pStyle w:val="NormalHanging12a"/>
      </w:pPr>
      <w:r w:rsidRPr="009246B3">
        <w:t>11.</w:t>
      </w:r>
      <w:r w:rsidRPr="009246B3">
        <w:tab/>
        <w:t>Exorta a Comissão a apoiar os Estados</w:t>
      </w:r>
      <w:r w:rsidRPr="009246B3">
        <w:noBreakHyphen/>
        <w:t xml:space="preserve">Membros na concretização da Recomendação do Conselho sobre o rastreio do cancro e da Recomendação do Conselho sobre os cancros </w:t>
      </w:r>
      <w:proofErr w:type="spellStart"/>
      <w:r w:rsidRPr="009246B3">
        <w:lastRenderedPageBreak/>
        <w:t>preveníveis</w:t>
      </w:r>
      <w:proofErr w:type="spellEnd"/>
      <w:r w:rsidRPr="009246B3">
        <w:t xml:space="preserve"> por vacinação</w:t>
      </w:r>
      <w:r w:rsidRPr="009246B3">
        <w:rPr>
          <w:rStyle w:val="FootnoteReference"/>
        </w:rPr>
        <w:footnoteReference w:id="6"/>
      </w:r>
      <w:r w:rsidRPr="009246B3">
        <w:t>, tendo em vista ajudar os países a intensificarem os esforços de prevenção e de deteção precoce do cancro;</w:t>
      </w:r>
    </w:p>
    <w:p w14:paraId="3A83481E" w14:textId="77777777" w:rsidR="00D24E40" w:rsidRPr="009246B3" w:rsidRDefault="00D24E40" w:rsidP="00D24E40">
      <w:pPr>
        <w:pStyle w:val="NormalHanging12a"/>
      </w:pPr>
      <w:r w:rsidRPr="009246B3">
        <w:t>12.</w:t>
      </w:r>
      <w:r w:rsidRPr="009246B3">
        <w:tab/>
        <w:t xml:space="preserve">Exorta a Comissão a garantir uma estreita harmonização e complementaridade entre o Plano Europeu de Luta contra o Cancro e </w:t>
      </w:r>
      <w:bookmarkStart w:id="8" w:name="_Hlk221692255"/>
      <w:r w:rsidRPr="009246B3">
        <w:t>outras ações europeias futuras no domínio das doenças, incluindo as doenças cardiovasculares, por exemplo através do Plano para a Saúde Cardiovascular, e as doenças raras;</w:t>
      </w:r>
      <w:bookmarkEnd w:id="8"/>
    </w:p>
    <w:p w14:paraId="5972671C" w14:textId="77777777" w:rsidR="00D24E40" w:rsidRPr="009246B3" w:rsidRDefault="00D24E40" w:rsidP="00D24E40">
      <w:pPr>
        <w:pStyle w:val="NormalHanging12a"/>
      </w:pPr>
      <w:r w:rsidRPr="009246B3">
        <w:t>13.</w:t>
      </w:r>
      <w:r w:rsidRPr="009246B3">
        <w:tab/>
        <w:t xml:space="preserve">Salienta que a concretização dos objetivos em matéria de prevenção do cancro, nomeadamente as medidas destinadas a reduzir a exposição a fatores de risco, como os produtos do tabaco, o consumo nocivo de álcool, os contaminantes ambientais, a poluição atmosférica e a exposição a materiais e substâncias nocivos, como as substâncias cancerígenas, mutagénicas e tóxicas para a reprodução, incluindo as PFAS e os </w:t>
      </w:r>
      <w:proofErr w:type="spellStart"/>
      <w:r w:rsidRPr="009246B3">
        <w:t>desreguladores</w:t>
      </w:r>
      <w:proofErr w:type="spellEnd"/>
      <w:r w:rsidRPr="009246B3">
        <w:t xml:space="preserve"> endócrinos, bem como a promoção da abordagem «Uma Só Saúde» e de um programa sobre </w:t>
      </w:r>
      <w:proofErr w:type="spellStart"/>
      <w:r w:rsidRPr="009246B3">
        <w:t>expossomas</w:t>
      </w:r>
      <w:proofErr w:type="spellEnd"/>
      <w:r w:rsidRPr="009246B3">
        <w:t xml:space="preserve"> são complementares aos esforços de prevenção de outras doenças não transmissíveis;</w:t>
      </w:r>
    </w:p>
    <w:p w14:paraId="14EA9090" w14:textId="77777777" w:rsidR="00D24E40" w:rsidRPr="009246B3" w:rsidRDefault="00D24E40" w:rsidP="00D24E40">
      <w:pPr>
        <w:pStyle w:val="NormalHanging12a"/>
      </w:pPr>
      <w:r w:rsidRPr="009246B3">
        <w:t>14.</w:t>
      </w:r>
      <w:r w:rsidRPr="009246B3">
        <w:tab/>
        <w:t>Salienta a importância de combater a desinformação e as informações incorretas em matéria de saúde, em particular no que diz respeito à prevenção, ao rastreio, à vacinação e ao tratamento do cancro; insta a Comissão e os Estados</w:t>
      </w:r>
      <w:r w:rsidRPr="009246B3">
        <w:noBreakHyphen/>
        <w:t>Membros a reforçarem a comunicação pública baseada em dados concretos, a apoiarem a literacia no domínio da saúde e a promoverem a cooperação com os profissionais de saúde, os investigadores, as organizações de doentes e as plataformas digitais, a fim de garantir que os cidadãos tenham acesso a informações fiáveis e cientificamente fundamentadas, respeitando plenamente a liberdade de expressão;</w:t>
      </w:r>
    </w:p>
    <w:p w14:paraId="05B8B3AA" w14:textId="79F51ACE" w:rsidR="00D24E40" w:rsidRPr="009246B3" w:rsidRDefault="00D24E40" w:rsidP="00D24E40">
      <w:pPr>
        <w:pStyle w:val="NormalHanging12a"/>
      </w:pPr>
      <w:r w:rsidRPr="009246B3">
        <w:t>15.</w:t>
      </w:r>
      <w:r w:rsidRPr="009246B3">
        <w:tab/>
        <w:t>Exorta a Comissão a intensificar os esforços para proteger os sobreviventes de cancro em toda a UE contra a discriminação financeira, nomeadamente através da promoção efetiva do direito ao esquecimento, e insta os Estados</w:t>
      </w:r>
      <w:r w:rsidRPr="009246B3">
        <w:noBreakHyphen/>
        <w:t>Membros a adotarem legislação vinculativa para consagrar este direito a nível nacional; reitera que a Comissão se deve basear na Diretiva Crédito aos Consumidores</w:t>
      </w:r>
      <w:r w:rsidRPr="009246B3">
        <w:rPr>
          <w:rStyle w:val="FootnoteReference"/>
        </w:rPr>
        <w:footnoteReference w:id="7"/>
      </w:r>
      <w:r w:rsidRPr="009246B3">
        <w:t xml:space="preserve"> de 2023 para continuar a reforçar o direito dos sobreviventes de cancro a serem esquecidos; apela à criação de um quadro harmonizado que garanta o acesso dos sobreviventes de cancro a serviços financeiros, incluindo hipotecas, empréstimos e seguros; insiste em que as próximas orientações </w:t>
      </w:r>
      <w:r w:rsidR="00120A42" w:rsidRPr="009246B3">
        <w:t>de </w:t>
      </w:r>
      <w:r w:rsidRPr="009246B3">
        <w:t>2026 para as instituições financeiras sejam rapidamente seguidas de medidas legislativas para colmatar as lacunas remanescentes, assegurando que nenhum sobrevivente de cancro seja vítima de discriminação devido à sua história clínica;</w:t>
      </w:r>
    </w:p>
    <w:p w14:paraId="07AF6707" w14:textId="44370C2B" w:rsidR="00E365E1" w:rsidRPr="009246B3" w:rsidRDefault="00D24E40" w:rsidP="00120A42">
      <w:pPr>
        <w:pStyle w:val="NormalHanging12a"/>
      </w:pPr>
      <w:r w:rsidRPr="009246B3">
        <w:t>16.</w:t>
      </w:r>
      <w:r w:rsidRPr="009246B3">
        <w:tab/>
        <w:t>Encarrega a sua Presidente de transmitir a presente resolução ao Conselho, à Comissão, aos governos e parlamentos dos Estados</w:t>
      </w:r>
      <w:r w:rsidRPr="009246B3">
        <w:noBreakHyphen/>
        <w:t>Membros, bem como às organizações internacionais competentes e às partes interessadas pertinentes.</w:t>
      </w:r>
    </w:p>
    <w:sectPr w:rsidR="00E365E1" w:rsidRPr="009246B3" w:rsidSect="00122E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7AC6C" w14:textId="77777777" w:rsidR="00DC5230" w:rsidRPr="00122EFA" w:rsidRDefault="00DC5230">
      <w:r w:rsidRPr="00122EFA">
        <w:separator/>
      </w:r>
    </w:p>
  </w:endnote>
  <w:endnote w:type="continuationSeparator" w:id="0">
    <w:p w14:paraId="4A3075B7" w14:textId="77777777" w:rsidR="00DC5230" w:rsidRPr="00122EFA" w:rsidRDefault="00DC5230">
      <w:r w:rsidRPr="00122E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4D817" w14:textId="77777777" w:rsidR="00064002" w:rsidRPr="00122E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C1941" w14:textId="77777777" w:rsidR="00064002" w:rsidRPr="00122E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1FF79" w14:textId="77777777" w:rsidR="00064002" w:rsidRPr="00122E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D5F75" w14:textId="77777777" w:rsidR="00DC5230" w:rsidRPr="00122EFA" w:rsidRDefault="00DC5230">
      <w:r w:rsidRPr="00122EFA">
        <w:separator/>
      </w:r>
    </w:p>
  </w:footnote>
  <w:footnote w:type="continuationSeparator" w:id="0">
    <w:p w14:paraId="133E9614" w14:textId="77777777" w:rsidR="00DC5230" w:rsidRPr="00122EFA" w:rsidRDefault="00DC5230">
      <w:r w:rsidRPr="00122EFA">
        <w:continuationSeparator/>
      </w:r>
    </w:p>
  </w:footnote>
  <w:footnote w:id="1">
    <w:p w14:paraId="07C08DFA" w14:textId="49FC0702" w:rsidR="00D24E40" w:rsidRPr="00120A42" w:rsidRDefault="00D24E40" w:rsidP="00122EFA">
      <w:pPr>
        <w:pStyle w:val="FootnoteText"/>
        <w:ind w:left="567" w:hanging="567"/>
        <w:rPr>
          <w:sz w:val="24"/>
          <w:lang w:val="da-DK"/>
        </w:rPr>
      </w:pPr>
      <w:r w:rsidRPr="00122EFA">
        <w:rPr>
          <w:rStyle w:val="FootnoteReference"/>
          <w:sz w:val="24"/>
          <w:lang w:val="pt-PT"/>
        </w:rPr>
        <w:footnoteRef/>
      </w:r>
      <w:r w:rsidR="00122EFA" w:rsidRPr="00120A42">
        <w:rPr>
          <w:sz w:val="24"/>
          <w:lang w:val="da-DK"/>
        </w:rPr>
        <w:t xml:space="preserve"> </w:t>
      </w:r>
      <w:r w:rsidR="00122EFA" w:rsidRPr="00120A42">
        <w:rPr>
          <w:sz w:val="24"/>
          <w:lang w:val="da-DK"/>
        </w:rPr>
        <w:tab/>
      </w:r>
      <w:r w:rsidRPr="00120A42">
        <w:rPr>
          <w:sz w:val="24"/>
          <w:lang w:val="da-DK"/>
        </w:rPr>
        <w:t>JO C 342 de 6.9.2022, p. 109.</w:t>
      </w:r>
    </w:p>
  </w:footnote>
  <w:footnote w:id="2">
    <w:p w14:paraId="011375E2" w14:textId="44D04B61" w:rsidR="00D24E40" w:rsidRPr="00120A42" w:rsidRDefault="00D24E40" w:rsidP="00122EFA">
      <w:pPr>
        <w:pStyle w:val="FootnoteText"/>
        <w:ind w:left="567" w:hanging="567"/>
        <w:rPr>
          <w:sz w:val="24"/>
          <w:lang w:val="da-DK"/>
        </w:rPr>
      </w:pPr>
      <w:r w:rsidRPr="00122EFA">
        <w:rPr>
          <w:rStyle w:val="FootnoteReference"/>
          <w:sz w:val="24"/>
          <w:lang w:val="pt-PT"/>
        </w:rPr>
        <w:footnoteRef/>
      </w:r>
      <w:r w:rsidR="00122EFA" w:rsidRPr="00120A42">
        <w:rPr>
          <w:sz w:val="24"/>
          <w:lang w:val="da-DK"/>
        </w:rPr>
        <w:t xml:space="preserve"> </w:t>
      </w:r>
      <w:r w:rsidR="00122EFA" w:rsidRPr="00120A42">
        <w:rPr>
          <w:sz w:val="24"/>
          <w:lang w:val="da-DK"/>
        </w:rPr>
        <w:tab/>
      </w:r>
      <w:r w:rsidRPr="00120A42">
        <w:rPr>
          <w:sz w:val="24"/>
          <w:lang w:val="da-DK"/>
        </w:rPr>
        <w:t>JO C 473 de 13.12.2022, p. 1.</w:t>
      </w:r>
    </w:p>
  </w:footnote>
  <w:footnote w:id="3">
    <w:p w14:paraId="629E0C35" w14:textId="4AD7D155" w:rsidR="00D24E40" w:rsidRPr="00122EFA" w:rsidRDefault="00D24E40" w:rsidP="00122EFA">
      <w:pPr>
        <w:pStyle w:val="FootnoteText"/>
        <w:ind w:left="567" w:hanging="567"/>
        <w:rPr>
          <w:sz w:val="24"/>
          <w:lang w:val="pt-PT"/>
        </w:rPr>
      </w:pPr>
      <w:r w:rsidRPr="00122EFA">
        <w:rPr>
          <w:rStyle w:val="FootnoteReference"/>
          <w:sz w:val="24"/>
          <w:lang w:val="pt-PT"/>
        </w:rPr>
        <w:footnoteRef/>
      </w:r>
      <w:r w:rsidR="00122EFA" w:rsidRPr="00122EFA">
        <w:rPr>
          <w:sz w:val="24"/>
          <w:lang w:val="pt-PT"/>
        </w:rPr>
        <w:t xml:space="preserve"> </w:t>
      </w:r>
      <w:r w:rsidR="00122EFA" w:rsidRPr="00122EFA">
        <w:rPr>
          <w:sz w:val="24"/>
          <w:lang w:val="pt-PT"/>
        </w:rPr>
        <w:tab/>
      </w:r>
      <w:r w:rsidRPr="00122EFA">
        <w:rPr>
          <w:sz w:val="24"/>
          <w:lang w:val="pt-PT"/>
        </w:rPr>
        <w:t>OCDE e Comissão Europeia, «</w:t>
      </w:r>
      <w:proofErr w:type="spellStart"/>
      <w:r w:rsidRPr="00122EFA">
        <w:rPr>
          <w:sz w:val="24"/>
          <w:lang w:val="pt-PT"/>
        </w:rPr>
        <w:t>Delivering</w:t>
      </w:r>
      <w:proofErr w:type="spellEnd"/>
      <w:r w:rsidRPr="00122EFA">
        <w:rPr>
          <w:sz w:val="24"/>
          <w:lang w:val="pt-PT"/>
        </w:rPr>
        <w:t xml:space="preserve"> </w:t>
      </w:r>
      <w:proofErr w:type="spellStart"/>
      <w:r w:rsidRPr="00122EFA">
        <w:rPr>
          <w:sz w:val="24"/>
          <w:lang w:val="pt-PT"/>
        </w:rPr>
        <w:t>high</w:t>
      </w:r>
      <w:proofErr w:type="spellEnd"/>
      <w:r w:rsidRPr="00122EFA">
        <w:rPr>
          <w:sz w:val="24"/>
          <w:lang w:val="pt-PT"/>
        </w:rPr>
        <w:t xml:space="preserve"> </w:t>
      </w:r>
      <w:proofErr w:type="spellStart"/>
      <w:r w:rsidRPr="00122EFA">
        <w:rPr>
          <w:sz w:val="24"/>
          <w:lang w:val="pt-PT"/>
        </w:rPr>
        <w:t>value</w:t>
      </w:r>
      <w:proofErr w:type="spellEnd"/>
      <w:r w:rsidRPr="00122EFA">
        <w:rPr>
          <w:sz w:val="24"/>
          <w:lang w:val="pt-PT"/>
        </w:rPr>
        <w:t xml:space="preserve"> </w:t>
      </w:r>
      <w:proofErr w:type="spellStart"/>
      <w:r w:rsidRPr="00122EFA">
        <w:rPr>
          <w:sz w:val="24"/>
          <w:lang w:val="pt-PT"/>
        </w:rPr>
        <w:t>cancer</w:t>
      </w:r>
      <w:proofErr w:type="spellEnd"/>
      <w:r w:rsidRPr="00122EFA">
        <w:rPr>
          <w:sz w:val="24"/>
          <w:lang w:val="pt-PT"/>
        </w:rPr>
        <w:t xml:space="preserve"> </w:t>
      </w:r>
      <w:proofErr w:type="spellStart"/>
      <w:r w:rsidRPr="00122EFA">
        <w:rPr>
          <w:sz w:val="24"/>
          <w:lang w:val="pt-PT"/>
        </w:rPr>
        <w:t>care</w:t>
      </w:r>
      <w:proofErr w:type="spellEnd"/>
      <w:r w:rsidRPr="00122EFA">
        <w:rPr>
          <w:sz w:val="24"/>
          <w:lang w:val="pt-PT"/>
        </w:rPr>
        <w:t xml:space="preserve">: </w:t>
      </w:r>
      <w:proofErr w:type="spellStart"/>
      <w:r w:rsidRPr="00122EFA">
        <w:rPr>
          <w:sz w:val="24"/>
          <w:lang w:val="pt-PT"/>
        </w:rPr>
        <w:t>European</w:t>
      </w:r>
      <w:proofErr w:type="spellEnd"/>
      <w:r w:rsidRPr="00122EFA">
        <w:rPr>
          <w:sz w:val="24"/>
          <w:lang w:val="pt-PT"/>
        </w:rPr>
        <w:t xml:space="preserve"> </w:t>
      </w:r>
      <w:proofErr w:type="spellStart"/>
      <w:r w:rsidRPr="00122EFA">
        <w:rPr>
          <w:sz w:val="24"/>
          <w:lang w:val="pt-PT"/>
        </w:rPr>
        <w:t>cancer</w:t>
      </w:r>
      <w:proofErr w:type="spellEnd"/>
      <w:r w:rsidRPr="00122EFA">
        <w:rPr>
          <w:sz w:val="24"/>
          <w:lang w:val="pt-PT"/>
        </w:rPr>
        <w:t xml:space="preserve"> </w:t>
      </w:r>
      <w:proofErr w:type="spellStart"/>
      <w:r w:rsidRPr="00122EFA">
        <w:rPr>
          <w:sz w:val="24"/>
          <w:lang w:val="pt-PT"/>
        </w:rPr>
        <w:t>inequalities</w:t>
      </w:r>
      <w:proofErr w:type="spellEnd"/>
      <w:r w:rsidRPr="00122EFA">
        <w:rPr>
          <w:sz w:val="24"/>
          <w:lang w:val="pt-PT"/>
        </w:rPr>
        <w:t xml:space="preserve"> </w:t>
      </w:r>
      <w:proofErr w:type="spellStart"/>
      <w:r w:rsidRPr="00122EFA">
        <w:rPr>
          <w:sz w:val="24"/>
          <w:lang w:val="pt-PT"/>
        </w:rPr>
        <w:t>registry</w:t>
      </w:r>
      <w:proofErr w:type="spellEnd"/>
      <w:r w:rsidRPr="00122EFA">
        <w:rPr>
          <w:sz w:val="24"/>
          <w:lang w:val="pt-PT"/>
        </w:rPr>
        <w:t xml:space="preserve"> </w:t>
      </w:r>
      <w:proofErr w:type="spellStart"/>
      <w:r w:rsidRPr="00122EFA">
        <w:rPr>
          <w:sz w:val="24"/>
          <w:lang w:val="pt-PT"/>
        </w:rPr>
        <w:t>analytical</w:t>
      </w:r>
      <w:proofErr w:type="spellEnd"/>
      <w:r w:rsidRPr="00122EFA">
        <w:rPr>
          <w:sz w:val="24"/>
          <w:lang w:val="pt-PT"/>
        </w:rPr>
        <w:t xml:space="preserve"> </w:t>
      </w:r>
      <w:proofErr w:type="spellStart"/>
      <w:r w:rsidRPr="00122EFA">
        <w:rPr>
          <w:sz w:val="24"/>
          <w:lang w:val="pt-PT"/>
        </w:rPr>
        <w:t>report</w:t>
      </w:r>
      <w:proofErr w:type="spellEnd"/>
      <w:r w:rsidRPr="00122EFA">
        <w:rPr>
          <w:sz w:val="24"/>
          <w:lang w:val="pt-PT"/>
        </w:rPr>
        <w:t xml:space="preserve">» [Prestação de cuidados oncológicos de elevado valor: relatório analítico do Registo Europeu das Desigualdades no Domínio do Cancro], Publicações da OCDE, Paris, 2026, </w:t>
      </w:r>
      <w:hyperlink r:id="rId1" w:history="1">
        <w:r w:rsidRPr="00122EFA">
          <w:rPr>
            <w:rStyle w:val="Hyperlink"/>
            <w:sz w:val="24"/>
            <w:lang w:val="pt-PT"/>
          </w:rPr>
          <w:t>https://doi.org/10.1787/060869fe</w:t>
        </w:r>
        <w:r w:rsidRPr="00122EFA">
          <w:rPr>
            <w:rStyle w:val="Hyperlink"/>
            <w:sz w:val="24"/>
            <w:lang w:val="pt-PT"/>
          </w:rPr>
          <w:noBreakHyphen/>
          <w:t>en</w:t>
        </w:r>
      </w:hyperlink>
      <w:r w:rsidRPr="00122EFA">
        <w:rPr>
          <w:sz w:val="24"/>
          <w:lang w:val="pt-PT"/>
        </w:rPr>
        <w:t>.</w:t>
      </w:r>
    </w:p>
  </w:footnote>
  <w:footnote w:id="4">
    <w:p w14:paraId="6447346E" w14:textId="4B125D40" w:rsidR="00D24E40" w:rsidRPr="00122EFA" w:rsidRDefault="00D24E40" w:rsidP="00122EFA">
      <w:pPr>
        <w:pStyle w:val="FootnoteText"/>
        <w:ind w:left="567" w:hanging="567"/>
        <w:rPr>
          <w:sz w:val="24"/>
          <w:lang w:val="pt-PT"/>
        </w:rPr>
      </w:pPr>
      <w:r w:rsidRPr="00122EFA">
        <w:rPr>
          <w:rStyle w:val="FootnoteReference"/>
          <w:sz w:val="24"/>
          <w:lang w:val="pt-PT"/>
        </w:rPr>
        <w:footnoteRef/>
      </w:r>
      <w:r w:rsidR="00122EFA" w:rsidRPr="00122EFA">
        <w:rPr>
          <w:sz w:val="24"/>
          <w:lang w:val="pt-PT"/>
        </w:rPr>
        <w:t xml:space="preserve"> </w:t>
      </w:r>
      <w:r w:rsidR="00122EFA" w:rsidRPr="00122EFA">
        <w:rPr>
          <w:sz w:val="24"/>
          <w:lang w:val="pt-PT"/>
        </w:rPr>
        <w:tab/>
      </w:r>
      <w:r w:rsidRPr="00122EFA">
        <w:rPr>
          <w:sz w:val="24"/>
          <w:lang w:val="pt-PT"/>
        </w:rPr>
        <w:t xml:space="preserve">Resolução do Parlamento Europeu, de 16 de fevereiro de 2022, sobre reforçar a Europa na luta contra o cancro </w:t>
      </w:r>
      <w:r w:rsidR="00120A42">
        <w:rPr>
          <w:sz w:val="24"/>
          <w:lang w:val="pt-PT"/>
        </w:rPr>
        <w:t>–</w:t>
      </w:r>
      <w:r w:rsidR="00120A42" w:rsidRPr="00122EFA">
        <w:rPr>
          <w:sz w:val="24"/>
          <w:lang w:val="pt-PT"/>
        </w:rPr>
        <w:t xml:space="preserve"> </w:t>
      </w:r>
      <w:r w:rsidRPr="00122EFA">
        <w:rPr>
          <w:sz w:val="24"/>
          <w:lang w:val="pt-PT"/>
        </w:rPr>
        <w:t>rumo a uma estratégia abrangente e coordenada (JO C 342 de 6.9.2022, p. 109).</w:t>
      </w:r>
    </w:p>
  </w:footnote>
  <w:footnote w:id="5">
    <w:p w14:paraId="1AB349D6" w14:textId="697070FE" w:rsidR="00D24E40" w:rsidRPr="00122EFA" w:rsidRDefault="00D24E40" w:rsidP="00122EFA">
      <w:pPr>
        <w:pStyle w:val="FootnoteText"/>
        <w:ind w:left="567" w:hanging="567"/>
        <w:rPr>
          <w:sz w:val="24"/>
          <w:lang w:val="pt-PT"/>
        </w:rPr>
      </w:pPr>
      <w:r w:rsidRPr="00122EFA">
        <w:rPr>
          <w:rStyle w:val="FootnoteReference"/>
          <w:sz w:val="24"/>
          <w:lang w:val="pt-PT"/>
        </w:rPr>
        <w:footnoteRef/>
      </w:r>
      <w:r w:rsidR="00122EFA" w:rsidRPr="00122EFA">
        <w:rPr>
          <w:sz w:val="24"/>
          <w:lang w:val="pt-PT"/>
        </w:rPr>
        <w:t xml:space="preserve"> </w:t>
      </w:r>
      <w:r w:rsidR="00122EFA" w:rsidRPr="00122EFA">
        <w:rPr>
          <w:sz w:val="24"/>
          <w:lang w:val="pt-PT"/>
        </w:rPr>
        <w:tab/>
      </w:r>
      <w:r w:rsidRPr="00122EFA">
        <w:rPr>
          <w:sz w:val="24"/>
          <w:lang w:val="pt-PT"/>
        </w:rPr>
        <w:t xml:space="preserve">Diretiva 2011/24/UE do Parlamento Europeu e do Conselho, de 9 de março de 2011, relativa ao exercício dos direitos dos doentes em matéria de cuidados de saúde transfronteiriços (JO L 88 de 4.4.2011, p. 45, ELI: </w:t>
      </w:r>
      <w:hyperlink r:id="rId2" w:history="1">
        <w:r w:rsidRPr="00122EFA">
          <w:rPr>
            <w:rStyle w:val="Hyperlink"/>
            <w:sz w:val="24"/>
            <w:lang w:val="pt-PT"/>
          </w:rPr>
          <w:t>http://data.europa.eu/eli/dir/2011/24/oj</w:t>
        </w:r>
      </w:hyperlink>
      <w:r w:rsidRPr="00122EFA">
        <w:rPr>
          <w:sz w:val="24"/>
          <w:lang w:val="pt-PT"/>
        </w:rPr>
        <w:t>).</w:t>
      </w:r>
    </w:p>
  </w:footnote>
  <w:footnote w:id="6">
    <w:p w14:paraId="6B246377" w14:textId="6C2963D2" w:rsidR="00D24E40" w:rsidRPr="00122EFA" w:rsidRDefault="00D24E40" w:rsidP="00122EFA">
      <w:pPr>
        <w:pStyle w:val="FootnoteText"/>
        <w:ind w:left="567" w:hanging="567"/>
        <w:rPr>
          <w:sz w:val="24"/>
          <w:lang w:val="pt-PT"/>
        </w:rPr>
      </w:pPr>
      <w:r w:rsidRPr="00122EFA">
        <w:rPr>
          <w:rStyle w:val="FootnoteReference"/>
          <w:sz w:val="24"/>
          <w:lang w:val="pt-PT"/>
        </w:rPr>
        <w:footnoteRef/>
      </w:r>
      <w:r w:rsidR="00122EFA" w:rsidRPr="00122EFA">
        <w:rPr>
          <w:sz w:val="24"/>
          <w:lang w:val="pt-PT"/>
        </w:rPr>
        <w:t xml:space="preserve"> </w:t>
      </w:r>
      <w:r w:rsidR="00122EFA" w:rsidRPr="00122EFA">
        <w:rPr>
          <w:sz w:val="24"/>
          <w:lang w:val="pt-PT"/>
        </w:rPr>
        <w:tab/>
      </w:r>
      <w:r w:rsidRPr="00122EFA">
        <w:rPr>
          <w:sz w:val="24"/>
          <w:lang w:val="pt-PT"/>
        </w:rPr>
        <w:t xml:space="preserve">Recomendação do Conselho, de 21 de junho de 2024, sobre os cancros </w:t>
      </w:r>
      <w:proofErr w:type="spellStart"/>
      <w:r w:rsidRPr="00122EFA">
        <w:rPr>
          <w:sz w:val="24"/>
          <w:lang w:val="pt-PT"/>
        </w:rPr>
        <w:t>preveníveis</w:t>
      </w:r>
      <w:proofErr w:type="spellEnd"/>
      <w:r w:rsidRPr="00122EFA">
        <w:rPr>
          <w:sz w:val="24"/>
          <w:lang w:val="pt-PT"/>
        </w:rPr>
        <w:t xml:space="preserve"> por vacinação (JO C, C/2024/4259, 28.6.2024, ELI: </w:t>
      </w:r>
      <w:hyperlink r:id="rId3" w:history="1">
        <w:r w:rsidRPr="00122EFA">
          <w:rPr>
            <w:rStyle w:val="Hyperlink"/>
            <w:sz w:val="24"/>
            <w:lang w:val="pt-PT"/>
          </w:rPr>
          <w:t>http://data.europa.eu/eli/C/2024/4259/oj</w:t>
        </w:r>
      </w:hyperlink>
      <w:r w:rsidRPr="00122EFA">
        <w:rPr>
          <w:sz w:val="24"/>
          <w:lang w:val="pt-PT"/>
        </w:rPr>
        <w:t>).</w:t>
      </w:r>
    </w:p>
  </w:footnote>
  <w:footnote w:id="7">
    <w:p w14:paraId="6E08CC6E" w14:textId="1A904961" w:rsidR="00D24E40" w:rsidRPr="00122EFA" w:rsidRDefault="00D24E40" w:rsidP="00122EFA">
      <w:pPr>
        <w:pStyle w:val="FootnoteText"/>
        <w:ind w:left="567" w:hanging="567"/>
        <w:rPr>
          <w:sz w:val="24"/>
          <w:lang w:val="pt-PT"/>
        </w:rPr>
      </w:pPr>
      <w:r w:rsidRPr="00122EFA">
        <w:rPr>
          <w:rStyle w:val="FootnoteReference"/>
          <w:sz w:val="24"/>
          <w:lang w:val="pt-PT"/>
        </w:rPr>
        <w:footnoteRef/>
      </w:r>
      <w:r w:rsidR="00122EFA" w:rsidRPr="00122EFA">
        <w:rPr>
          <w:sz w:val="24"/>
          <w:lang w:val="pt-PT"/>
        </w:rPr>
        <w:t xml:space="preserve"> </w:t>
      </w:r>
      <w:r w:rsidR="00122EFA" w:rsidRPr="00122EFA">
        <w:rPr>
          <w:sz w:val="24"/>
          <w:lang w:val="pt-PT"/>
        </w:rPr>
        <w:tab/>
      </w:r>
      <w:r w:rsidRPr="00122EFA">
        <w:rPr>
          <w:sz w:val="24"/>
          <w:lang w:val="pt-PT"/>
        </w:rPr>
        <w:t xml:space="preserve">Diretiva (UE) 2023/2225 do Parlamento Europeu e do Conselho, de 18 de outubro </w:t>
      </w:r>
      <w:r w:rsidR="00120A42" w:rsidRPr="00122EFA">
        <w:rPr>
          <w:sz w:val="24"/>
          <w:lang w:val="pt-PT"/>
        </w:rPr>
        <w:t>de</w:t>
      </w:r>
      <w:r w:rsidR="00120A42">
        <w:rPr>
          <w:sz w:val="24"/>
          <w:lang w:val="pt-PT"/>
        </w:rPr>
        <w:t> </w:t>
      </w:r>
      <w:r w:rsidRPr="00122EFA">
        <w:rPr>
          <w:sz w:val="24"/>
          <w:lang w:val="pt-PT"/>
        </w:rPr>
        <w:t xml:space="preserve">2023, sobre os contratos de crédito aos consumidores e que revoga a Diretiva 2008/48/CE (JO L, 2023/2225, 30.10.2023, ELI: </w:t>
      </w:r>
      <w:hyperlink r:id="rId4" w:history="1">
        <w:r w:rsidRPr="00122EFA">
          <w:rPr>
            <w:rStyle w:val="Hyperlink"/>
            <w:sz w:val="24"/>
            <w:lang w:val="pt-PT"/>
          </w:rPr>
          <w:t>http://data.europa.eu/eli/dir/2023/2225/oj</w:t>
        </w:r>
      </w:hyperlink>
      <w:r w:rsidRPr="00122EFA">
        <w:rPr>
          <w:sz w:val="24"/>
          <w:lang w:val="pt-PT"/>
        </w:rPr>
        <w:t>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88BC1" w14:textId="77777777" w:rsidR="00064002" w:rsidRPr="00122E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D3FB" w14:textId="77777777" w:rsidR="00064002" w:rsidRPr="00122E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5D50E" w14:textId="77777777" w:rsidR="00064002" w:rsidRPr="00122E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532893">
    <w:abstractNumId w:val="9"/>
  </w:num>
  <w:num w:numId="2" w16cid:durableId="41830413">
    <w:abstractNumId w:val="9"/>
  </w:num>
  <w:num w:numId="3" w16cid:durableId="1843473292">
    <w:abstractNumId w:val="7"/>
  </w:num>
  <w:num w:numId="4" w16cid:durableId="1494107553">
    <w:abstractNumId w:val="7"/>
  </w:num>
  <w:num w:numId="5" w16cid:durableId="466632139">
    <w:abstractNumId w:val="6"/>
  </w:num>
  <w:num w:numId="6" w16cid:durableId="1907836639">
    <w:abstractNumId w:val="6"/>
  </w:num>
  <w:num w:numId="7" w16cid:durableId="1385254119">
    <w:abstractNumId w:val="5"/>
  </w:num>
  <w:num w:numId="8" w16cid:durableId="1050884">
    <w:abstractNumId w:val="5"/>
  </w:num>
  <w:num w:numId="9" w16cid:durableId="1351101082">
    <w:abstractNumId w:val="4"/>
  </w:num>
  <w:num w:numId="10" w16cid:durableId="1801655467">
    <w:abstractNumId w:val="4"/>
  </w:num>
  <w:num w:numId="11" w16cid:durableId="977030605">
    <w:abstractNumId w:val="8"/>
  </w:num>
  <w:num w:numId="12" w16cid:durableId="418601143">
    <w:abstractNumId w:val="8"/>
  </w:num>
  <w:num w:numId="13" w16cid:durableId="673339042">
    <w:abstractNumId w:val="3"/>
  </w:num>
  <w:num w:numId="14" w16cid:durableId="1665622540">
    <w:abstractNumId w:val="3"/>
  </w:num>
  <w:num w:numId="15" w16cid:durableId="1792282513">
    <w:abstractNumId w:val="2"/>
  </w:num>
  <w:num w:numId="16" w16cid:durableId="870071437">
    <w:abstractNumId w:val="2"/>
  </w:num>
  <w:num w:numId="17" w16cid:durableId="554048060">
    <w:abstractNumId w:val="1"/>
  </w:num>
  <w:num w:numId="18" w16cid:durableId="1636636389">
    <w:abstractNumId w:val="1"/>
  </w:num>
  <w:num w:numId="19" w16cid:durableId="446854954">
    <w:abstractNumId w:val="0"/>
  </w:num>
  <w:num w:numId="20" w16cid:durableId="1653486232">
    <w:abstractNumId w:val="0"/>
  </w:num>
  <w:num w:numId="21" w16cid:durableId="404039121">
    <w:abstractNumId w:val="9"/>
  </w:num>
  <w:num w:numId="22" w16cid:durableId="750279406">
    <w:abstractNumId w:val="7"/>
  </w:num>
  <w:num w:numId="23" w16cid:durableId="1478719768">
    <w:abstractNumId w:val="6"/>
  </w:num>
  <w:num w:numId="24" w16cid:durableId="1146898442">
    <w:abstractNumId w:val="5"/>
  </w:num>
  <w:num w:numId="25" w16cid:durableId="221982611">
    <w:abstractNumId w:val="4"/>
  </w:num>
  <w:num w:numId="26" w16cid:durableId="90439907">
    <w:abstractNumId w:val="8"/>
  </w:num>
  <w:num w:numId="27" w16cid:durableId="1235244350">
    <w:abstractNumId w:val="3"/>
  </w:num>
  <w:num w:numId="28" w16cid:durableId="1771584596">
    <w:abstractNumId w:val="2"/>
  </w:num>
  <w:num w:numId="29" w16cid:durableId="201093108">
    <w:abstractNumId w:val="1"/>
  </w:num>
  <w:num w:numId="30" w16cid:durableId="568657715">
    <w:abstractNumId w:val="0"/>
  </w:num>
  <w:num w:numId="31" w16cid:durableId="1932734313">
    <w:abstractNumId w:val="9"/>
  </w:num>
  <w:num w:numId="32" w16cid:durableId="1846363475">
    <w:abstractNumId w:val="7"/>
  </w:num>
  <w:num w:numId="33" w16cid:durableId="491944301">
    <w:abstractNumId w:val="6"/>
  </w:num>
  <w:num w:numId="34" w16cid:durableId="8262505">
    <w:abstractNumId w:val="5"/>
  </w:num>
  <w:num w:numId="35" w16cid:durableId="1090125886">
    <w:abstractNumId w:val="4"/>
  </w:num>
  <w:num w:numId="36" w16cid:durableId="1744257152">
    <w:abstractNumId w:val="8"/>
  </w:num>
  <w:num w:numId="37" w16cid:durableId="2117285871">
    <w:abstractNumId w:val="3"/>
  </w:num>
  <w:num w:numId="38" w16cid:durableId="753211969">
    <w:abstractNumId w:val="2"/>
  </w:num>
  <w:num w:numId="39" w16cid:durableId="1103068874">
    <w:abstractNumId w:val="1"/>
  </w:num>
  <w:num w:numId="40" w16cid:durableId="1286231304">
    <w:abstractNumId w:val="0"/>
  </w:num>
  <w:num w:numId="41" w16cid:durableId="526605845">
    <w:abstractNumId w:val="10"/>
  </w:num>
  <w:num w:numId="42" w16cid:durableId="1736585435">
    <w:abstractNumId w:val="10"/>
  </w:num>
  <w:num w:numId="43" w16cid:durableId="637954584">
    <w:abstractNumId w:val="10"/>
  </w:num>
  <w:num w:numId="44" w16cid:durableId="7597896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2, 0113, 0142, 0126, 0135 e 0141/2026"/>
    <w:docVar w:name="dvlangue" w:val="PT"/>
    <w:docVar w:name="dvnumam" w:val="0"/>
    <w:docVar w:name="dvpe" w:val="782.075"/>
    <w:docVar w:name="dvtitre" w:val="Resolução do Parlamento Europeu, de ... de ... de 2026,_x000d__x000a_ sobre o Dia Mundial de Luta contra o Cancro(2026/2586(RSP))"/>
  </w:docVars>
  <w:rsids>
    <w:rsidRoot w:val="00DC5230"/>
    <w:rsid w:val="00002272"/>
    <w:rsid w:val="00046E14"/>
    <w:rsid w:val="00064002"/>
    <w:rsid w:val="000677B9"/>
    <w:rsid w:val="000831BA"/>
    <w:rsid w:val="000A42CC"/>
    <w:rsid w:val="000E7DD9"/>
    <w:rsid w:val="0010095E"/>
    <w:rsid w:val="00120A42"/>
    <w:rsid w:val="00122EFA"/>
    <w:rsid w:val="00125B37"/>
    <w:rsid w:val="00160DD1"/>
    <w:rsid w:val="00187494"/>
    <w:rsid w:val="001F32AE"/>
    <w:rsid w:val="002767FF"/>
    <w:rsid w:val="002B18FE"/>
    <w:rsid w:val="002B5493"/>
    <w:rsid w:val="00343214"/>
    <w:rsid w:val="00361C00"/>
    <w:rsid w:val="00395FA1"/>
    <w:rsid w:val="003B346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6B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E40"/>
    <w:rsid w:val="00D56C11"/>
    <w:rsid w:val="00D834A0"/>
    <w:rsid w:val="00D872DF"/>
    <w:rsid w:val="00D91E21"/>
    <w:rsid w:val="00DA7FCD"/>
    <w:rsid w:val="00DC523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B939B"/>
  <w15:chartTrackingRefBased/>
  <w15:docId w15:val="{C81B6531-7B40-485E-8190-012F46AE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24E4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24E4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D24E40"/>
    <w:rPr>
      <w:sz w:val="24"/>
      <w:lang w:val="pt-PT"/>
    </w:rPr>
  </w:style>
  <w:style w:type="character" w:styleId="Hyperlink">
    <w:name w:val="Hyperlink"/>
    <w:basedOn w:val="DefaultParagraphFont"/>
    <w:unhideWhenUsed/>
    <w:rsid w:val="00D24E4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20A42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259/oj" TargetMode="External"/><Relationship Id="rId2" Type="http://schemas.openxmlformats.org/officeDocument/2006/relationships/hyperlink" Target="http://data.europa.eu/eli/dir/2011/24/oj" TargetMode="External"/><Relationship Id="rId1" Type="http://schemas.openxmlformats.org/officeDocument/2006/relationships/hyperlink" Target="https://doi.org/10.1787/060869fe-en" TargetMode="External"/><Relationship Id="rId4" Type="http://schemas.openxmlformats.org/officeDocument/2006/relationships/hyperlink" Target="http://data.europa.eu/eli/dir/2023/22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2101</Words>
  <Characters>11465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IAM-CP RELEC</dc:creator>
  <cp:keywords/>
  <cp:lastModifiedBy>MARTINSIsabelAlex</cp:lastModifiedBy>
  <cp:revision>2</cp:revision>
  <cp:lastPrinted>2004-11-19T15:42:00Z</cp:lastPrinted>
  <dcterms:created xsi:type="dcterms:W3CDTF">2026-02-12T15:18:00Z</dcterms:created>
  <dcterms:modified xsi:type="dcterms:W3CDTF">2026-02-12T15:18:00Z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B10-0112, 0113, 0142, 0126, 0135 e 0141/2026</vt:lpwstr>
  </property>
  <property fmtid="{D5CDD505-2E9C-101B-9397-08002B2CF9AE}" pid="4" name="&lt;Type&gt;">
    <vt:lpwstr>RR</vt:lpwstr>
  </property>
</Properties>
</file>