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7EE3" w14:paraId="6FD953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203B5D" w14:textId="77777777" w:rsidR="00751A4A" w:rsidRPr="00A67EE3" w:rsidRDefault="00707625" w:rsidP="0010095E">
            <w:pPr>
              <w:pStyle w:val="EPName"/>
            </w:pPr>
            <w:r w:rsidRPr="00A67EE3">
              <w:t>Európsky parlament</w:t>
            </w:r>
          </w:p>
          <w:p w14:paraId="05921F4D" w14:textId="77777777" w:rsidR="00751A4A" w:rsidRPr="00A67E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7EE3">
              <w:t>2024</w:t>
            </w:r>
            <w:r w:rsidR="00817416" w:rsidRPr="00A67EE3">
              <w:t>-202</w:t>
            </w:r>
            <w:r w:rsidRPr="00A67EE3">
              <w:t>9</w:t>
            </w:r>
          </w:p>
        </w:tc>
        <w:tc>
          <w:tcPr>
            <w:tcW w:w="2268" w:type="dxa"/>
            <w:shd w:val="clear" w:color="auto" w:fill="auto"/>
          </w:tcPr>
          <w:p w14:paraId="51C78F82" w14:textId="77777777" w:rsidR="00751A4A" w:rsidRPr="00A67EE3" w:rsidRDefault="00187494" w:rsidP="0010095E">
            <w:pPr>
              <w:pStyle w:val="EPLogo"/>
            </w:pPr>
            <w:r w:rsidRPr="00A67EE3">
              <w:rPr>
                <w:noProof/>
                <w:lang w:eastAsia="ja-JP"/>
              </w:rPr>
              <w:drawing>
                <wp:inline distT="0" distB="0" distL="0" distR="0" wp14:anchorId="5964D8DF" wp14:editId="0CE0C15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637230" w14:textId="77777777" w:rsidR="00D058B8" w:rsidRPr="00A67EE3" w:rsidRDefault="00D058B8" w:rsidP="004C5D52">
      <w:pPr>
        <w:pStyle w:val="LineTop"/>
      </w:pPr>
    </w:p>
    <w:p w14:paraId="25208EC1" w14:textId="77777777" w:rsidR="00680577" w:rsidRPr="00A67EE3" w:rsidRDefault="00707625" w:rsidP="00680577">
      <w:pPr>
        <w:pStyle w:val="EPBodyTA1"/>
      </w:pPr>
      <w:r w:rsidRPr="00A67EE3">
        <w:t>PRIJATÉ TEXTY</w:t>
      </w:r>
    </w:p>
    <w:p w14:paraId="6D114A91" w14:textId="77777777" w:rsidR="00D058B8" w:rsidRPr="00A67EE3" w:rsidRDefault="00D058B8" w:rsidP="00D058B8">
      <w:pPr>
        <w:pStyle w:val="LineBottom"/>
      </w:pPr>
    </w:p>
    <w:p w14:paraId="4B668F51" w14:textId="42575C43" w:rsidR="00707625" w:rsidRPr="00A67EE3" w:rsidRDefault="00707625" w:rsidP="00707625">
      <w:pPr>
        <w:pStyle w:val="ATHeading1"/>
      </w:pPr>
      <w:bookmarkStart w:id="0" w:name="TANumber"/>
      <w:r w:rsidRPr="00A67EE3">
        <w:t>P10_TA(2026)00</w:t>
      </w:r>
      <w:r w:rsidR="00A67EE3" w:rsidRPr="00A67EE3">
        <w:t>52</w:t>
      </w:r>
      <w:bookmarkEnd w:id="0"/>
    </w:p>
    <w:p w14:paraId="3894ECF8" w14:textId="77777777" w:rsidR="00707625" w:rsidRPr="00A67EE3" w:rsidRDefault="00707625" w:rsidP="00707625">
      <w:pPr>
        <w:pStyle w:val="ATHeading2"/>
      </w:pPr>
      <w:bookmarkStart w:id="1" w:name="title"/>
      <w:r w:rsidRPr="00A67EE3">
        <w:t>Svetový deň boja proti rakovine</w:t>
      </w:r>
      <w:bookmarkEnd w:id="1"/>
    </w:p>
    <w:p w14:paraId="4453B811" w14:textId="77777777" w:rsidR="00707625" w:rsidRPr="00A67EE3" w:rsidRDefault="00707625" w:rsidP="00707625">
      <w:pPr>
        <w:rPr>
          <w:i/>
          <w:vanish/>
        </w:rPr>
      </w:pPr>
      <w:r w:rsidRPr="00A67EE3">
        <w:rPr>
          <w:i/>
        </w:rPr>
        <w:fldChar w:fldCharType="begin"/>
      </w:r>
      <w:r w:rsidRPr="00A67EE3">
        <w:rPr>
          <w:i/>
        </w:rPr>
        <w:instrText xml:space="preserve"> TC"(</w:instrText>
      </w:r>
      <w:bookmarkStart w:id="2" w:name="DocNumber"/>
      <w:r w:rsidRPr="00A67EE3">
        <w:rPr>
          <w:i/>
        </w:rPr>
        <w:instrText>B10-0112, 0113, 0142, 0126, 0135 a 0141/2026</w:instrText>
      </w:r>
      <w:bookmarkEnd w:id="2"/>
      <w:r w:rsidRPr="00A67EE3">
        <w:rPr>
          <w:i/>
        </w:rPr>
        <w:instrText xml:space="preserve">)"\l3 \n&gt; \* MERGEFORMAT </w:instrText>
      </w:r>
      <w:r w:rsidRPr="00A67EE3">
        <w:rPr>
          <w:i/>
        </w:rPr>
        <w:fldChar w:fldCharType="end"/>
      </w:r>
    </w:p>
    <w:p w14:paraId="5AC93313" w14:textId="77777777" w:rsidR="00707625" w:rsidRPr="00A67EE3" w:rsidRDefault="00707625" w:rsidP="00707625">
      <w:pPr>
        <w:rPr>
          <w:vanish/>
        </w:rPr>
      </w:pPr>
      <w:bookmarkStart w:id="3" w:name="PE"/>
      <w:r w:rsidRPr="00A67EE3">
        <w:rPr>
          <w:vanish/>
        </w:rPr>
        <w:t>PE782.075</w:t>
      </w:r>
      <w:bookmarkEnd w:id="3"/>
    </w:p>
    <w:p w14:paraId="73B94401" w14:textId="2021DDBA" w:rsidR="00707625" w:rsidRPr="00A67EE3" w:rsidRDefault="00707625" w:rsidP="00707625">
      <w:pPr>
        <w:pStyle w:val="ATHeading3"/>
      </w:pPr>
      <w:bookmarkStart w:id="4" w:name="Sujet"/>
      <w:r w:rsidRPr="00A67EE3">
        <w:t xml:space="preserve">Uznesenie Európskeho parlamentu z </w:t>
      </w:r>
      <w:r w:rsidR="009D0E64" w:rsidRPr="00A67EE3">
        <w:t>12</w:t>
      </w:r>
      <w:r w:rsidRPr="00A67EE3">
        <w:t xml:space="preserve">. </w:t>
      </w:r>
      <w:r w:rsidR="009D0E64" w:rsidRPr="00A67EE3">
        <w:t xml:space="preserve">februára </w:t>
      </w:r>
      <w:r w:rsidRPr="00A67EE3">
        <w:t>2026 o Svetovom dni boja proti rakovine</w:t>
      </w:r>
      <w:bookmarkEnd w:id="4"/>
      <w:r w:rsidRPr="00A67EE3">
        <w:t xml:space="preserve"> </w:t>
      </w:r>
      <w:bookmarkStart w:id="5" w:name="References"/>
      <w:r w:rsidRPr="00A67EE3">
        <w:t>(2026/2586(RSP))</w:t>
      </w:r>
      <w:bookmarkEnd w:id="5"/>
    </w:p>
    <w:p w14:paraId="1D65198D" w14:textId="77777777" w:rsidR="00A330C1" w:rsidRPr="00A67EE3" w:rsidRDefault="00A330C1" w:rsidP="00A330C1">
      <w:pPr>
        <w:pStyle w:val="EPComma"/>
      </w:pPr>
      <w:bookmarkStart w:id="6" w:name="TextBodyBegin"/>
      <w:bookmarkEnd w:id="6"/>
      <w:r w:rsidRPr="00A67EE3">
        <w:rPr>
          <w:i/>
          <w:iCs/>
        </w:rPr>
        <w:t>Európsky parlament</w:t>
      </w:r>
      <w:r w:rsidRPr="00A67EE3">
        <w:t>,</w:t>
      </w:r>
    </w:p>
    <w:p w14:paraId="4A91FAC8" w14:textId="77777777" w:rsidR="00A330C1" w:rsidRPr="00A67EE3" w:rsidRDefault="00A330C1" w:rsidP="00A330C1">
      <w:pPr>
        <w:pStyle w:val="NormalHanging12a"/>
      </w:pPr>
      <w:r w:rsidRPr="00A67EE3">
        <w:t>–</w:t>
      </w:r>
      <w:r w:rsidRPr="00A67EE3">
        <w:tab/>
        <w:t>so zreteľom na Svetový deň boja proti rakovine, ktorý si každoročne pripomíname 4. februára,</w:t>
      </w:r>
    </w:p>
    <w:p w14:paraId="5D4EAC36" w14:textId="77777777" w:rsidR="00A330C1" w:rsidRPr="00A67EE3" w:rsidRDefault="00A330C1" w:rsidP="00A330C1">
      <w:pPr>
        <w:pStyle w:val="NormalHanging12a"/>
      </w:pPr>
      <w:r w:rsidRPr="00A67EE3">
        <w:t>–</w:t>
      </w:r>
      <w:r w:rsidRPr="00A67EE3">
        <w:tab/>
        <w:t>so zreteľom na článok 168 Zmluvy o fungovaní Európskej únie,</w:t>
      </w:r>
    </w:p>
    <w:p w14:paraId="2E31807D" w14:textId="77777777" w:rsidR="00A330C1" w:rsidRPr="00A67EE3" w:rsidRDefault="00A330C1" w:rsidP="00A330C1">
      <w:pPr>
        <w:pStyle w:val="NormalHanging12a"/>
      </w:pPr>
      <w:r w:rsidRPr="00A67EE3">
        <w:t>–</w:t>
      </w:r>
      <w:r w:rsidRPr="00A67EE3">
        <w:tab/>
        <w:t>so zreteľom na svoje uznesenie zo 16. februára 2022 o posilnení Európy v boji proti rakovine – smerom ku komplexnej a koordinovanej stratégii</w:t>
      </w:r>
      <w:r w:rsidRPr="00A67EE3">
        <w:rPr>
          <w:rStyle w:val="FootnoteReference"/>
        </w:rPr>
        <w:footnoteReference w:id="1"/>
      </w:r>
      <w:r w:rsidRPr="00A67EE3">
        <w:t>,</w:t>
      </w:r>
    </w:p>
    <w:p w14:paraId="3C1B1254" w14:textId="77777777" w:rsidR="00A330C1" w:rsidRPr="00A67EE3" w:rsidRDefault="00A330C1" w:rsidP="00A330C1">
      <w:pPr>
        <w:pStyle w:val="NormalHanging12a"/>
      </w:pPr>
      <w:r w:rsidRPr="00A67EE3">
        <w:t>–</w:t>
      </w:r>
      <w:r w:rsidRPr="00A67EE3">
        <w:tab/>
        <w:t>so zreteľom na európsky plán na boj proti rakovine,</w:t>
      </w:r>
    </w:p>
    <w:p w14:paraId="759AEEF6" w14:textId="77777777" w:rsidR="00A330C1" w:rsidRPr="00A67EE3" w:rsidRDefault="00A330C1" w:rsidP="00A330C1">
      <w:pPr>
        <w:pStyle w:val="NormalHanging12a"/>
      </w:pPr>
      <w:r w:rsidRPr="00A67EE3">
        <w:t>–</w:t>
      </w:r>
      <w:r w:rsidRPr="00A67EE3">
        <w:tab/>
        <w:t>so zreteľom na príslušné závery Rady a odporúčania Svetovej zdravotníckej organizácie (WHO) týkajúce sa prevencie a kontroly rakoviny,</w:t>
      </w:r>
    </w:p>
    <w:p w14:paraId="53CE5A63" w14:textId="77777777" w:rsidR="00A330C1" w:rsidRPr="00A67EE3" w:rsidRDefault="00A330C1" w:rsidP="00A330C1">
      <w:pPr>
        <w:pStyle w:val="NormalHanging12a"/>
      </w:pPr>
      <w:r w:rsidRPr="00A67EE3">
        <w:t>–</w:t>
      </w:r>
      <w:r w:rsidRPr="00A67EE3">
        <w:tab/>
        <w:t>so zreteľom na ciele OSN v oblasti udržateľného rozvoja, najmä cieľ č. 3 týkajúci sa dobrého zdravia a dobrých životných podmienok,</w:t>
      </w:r>
    </w:p>
    <w:p w14:paraId="2E6E6E18" w14:textId="77777777" w:rsidR="00A330C1" w:rsidRPr="00A67EE3" w:rsidRDefault="00A330C1" w:rsidP="00A330C1">
      <w:pPr>
        <w:pStyle w:val="NormalHanging12a"/>
      </w:pPr>
      <w:r w:rsidRPr="00A67EE3">
        <w:t>–</w:t>
      </w:r>
      <w:r w:rsidRPr="00A67EE3">
        <w:tab/>
        <w:t xml:space="preserve">so zreteľom na závery Rady z </w:t>
      </w:r>
      <w:bookmarkStart w:id="7" w:name="_Hlk221692983"/>
      <w:r w:rsidRPr="00A67EE3">
        <w:t>10. júna 2008 o znížení zaťaženia spôsobeného rakovinou</w:t>
      </w:r>
      <w:bookmarkEnd w:id="7"/>
      <w:r w:rsidRPr="00A67EE3">
        <w:t>,</w:t>
      </w:r>
    </w:p>
    <w:p w14:paraId="5D82584C" w14:textId="77777777" w:rsidR="00A330C1" w:rsidRPr="00A67EE3" w:rsidRDefault="00A330C1" w:rsidP="00A330C1">
      <w:pPr>
        <w:pStyle w:val="NormalHanging12a"/>
      </w:pPr>
      <w:r w:rsidRPr="00A67EE3">
        <w:t>–</w:t>
      </w:r>
      <w:r w:rsidRPr="00A67EE3">
        <w:tab/>
        <w:t>so zreteľom na Chartu základných práv Európskej únie, najmä na jej článok 35 týkajúci sa zdravotnej starostlivosti,</w:t>
      </w:r>
    </w:p>
    <w:p w14:paraId="6C8243AF" w14:textId="77777777" w:rsidR="00A330C1" w:rsidRPr="00A67EE3" w:rsidRDefault="00A330C1" w:rsidP="00A330C1">
      <w:pPr>
        <w:pStyle w:val="NormalHanging12a"/>
      </w:pPr>
      <w:r w:rsidRPr="00A67EE3">
        <w:t>–</w:t>
      </w:r>
      <w:r w:rsidRPr="00A67EE3">
        <w:tab/>
        <w:t>so zreteľom na odporúčanie Rady z 9. decembra 2022 o posilnení prevencie prostredníctvom včasnej detekcie: Nový prístup EÚ ku skríningu rakoviny, ktorým sa nahrádza odporúčanie Rady 2003/878/ES</w:t>
      </w:r>
      <w:r w:rsidRPr="00A67EE3">
        <w:rPr>
          <w:rStyle w:val="FootnoteReference"/>
        </w:rPr>
        <w:footnoteReference w:id="2"/>
      </w:r>
      <w:r w:rsidRPr="00A67EE3">
        <w:t>,</w:t>
      </w:r>
    </w:p>
    <w:p w14:paraId="5C6B75E0" w14:textId="77777777" w:rsidR="00A330C1" w:rsidRPr="00A67EE3" w:rsidRDefault="00A330C1" w:rsidP="00A330C1">
      <w:pPr>
        <w:pStyle w:val="NormalHanging12a"/>
      </w:pPr>
      <w:r w:rsidRPr="00A67EE3">
        <w:t>–</w:t>
      </w:r>
      <w:r w:rsidRPr="00A67EE3">
        <w:tab/>
        <w:t>so zreteľom na článok 167 ods. 2 a článok 136 ods. 4 rokovacieho poriadku,</w:t>
      </w:r>
    </w:p>
    <w:p w14:paraId="21960265" w14:textId="77777777" w:rsidR="00A330C1" w:rsidRPr="00A67EE3" w:rsidRDefault="00A330C1" w:rsidP="00A330C1">
      <w:pPr>
        <w:pStyle w:val="NormalHanging12a"/>
      </w:pPr>
      <w:r w:rsidRPr="00A67EE3">
        <w:lastRenderedPageBreak/>
        <w:t>A.</w:t>
      </w:r>
      <w:r w:rsidRPr="00A67EE3">
        <w:tab/>
        <w:t>keďže podľa európskeho informačného systému o rakovine sa v EÚ rakovina každoročne diagnostikuje u 2,7 milióna ľudí a ďalších 1,3 milióna ľudí na ňu zomrie;</w:t>
      </w:r>
    </w:p>
    <w:p w14:paraId="12E6A560" w14:textId="77777777" w:rsidR="00A330C1" w:rsidRPr="00A67EE3" w:rsidRDefault="00A330C1" w:rsidP="00A330C1">
      <w:pPr>
        <w:pStyle w:val="NormalHanging12a"/>
      </w:pPr>
      <w:r w:rsidRPr="00A67EE3">
        <w:t>B.</w:t>
      </w:r>
      <w:r w:rsidRPr="00A67EE3">
        <w:tab/>
        <w:t>keďže výdavky na zdravotnú starostlivosť súvisiace s rakovinou sa v EÚ od roku 1995 zdvojnásobili (z 54 na 120 miliárd EUR v roku 2023), pričom v roku 2023 tvorili 6,9 % celkových výdavkov na zdravotníctvo; keďže sa očakáva, že do roku 2050 povedie nárast počtu prípadov rakoviny spojený so starnutím obyvateľstva k tomu, že výdavky súvisiace s rakovinou na obyvateľa v krajinách EÚ27 stúpnu v reálnom vyjadrení o 59 %</w:t>
      </w:r>
      <w:r w:rsidRPr="00A67EE3">
        <w:rPr>
          <w:vertAlign w:val="superscript"/>
        </w:rPr>
        <w:footnoteReference w:id="3"/>
      </w:r>
      <w:r w:rsidRPr="00A67EE3">
        <w:t>;</w:t>
      </w:r>
    </w:p>
    <w:p w14:paraId="35630EB2" w14:textId="77777777" w:rsidR="00A330C1" w:rsidRPr="00A67EE3" w:rsidRDefault="00A330C1" w:rsidP="00A330C1">
      <w:pPr>
        <w:pStyle w:val="NormalHanging12a"/>
      </w:pPr>
      <w:r w:rsidRPr="00A67EE3">
        <w:t>C.</w:t>
      </w:r>
      <w:r w:rsidRPr="00A67EE3">
        <w:tab/>
        <w:t xml:space="preserve">keďže podľa Medzinárodnej agentúry WHO pre výskum rakoviny (IARC) by sa dalo predísť najmenej 40 % všetkých prípadov rakoviny účinnými primárnymi preventívnymi opatreniami; keďže medzi hlavné rizikové faktory rakoviny patrí užívanie tabaku, škodlivá konzumácia alkoholu, nezdravá strava, obezita, nedostatok fyzickej aktivity, endokrinné </w:t>
      </w:r>
      <w:proofErr w:type="spellStart"/>
      <w:r w:rsidRPr="00A67EE3">
        <w:t>disruptory</w:t>
      </w:r>
      <w:proofErr w:type="spellEnd"/>
      <w:r w:rsidRPr="00A67EE3">
        <w:t xml:space="preserve">, environmentálne expozície vrátane expozície </w:t>
      </w:r>
      <w:proofErr w:type="spellStart"/>
      <w:r w:rsidRPr="00A67EE3">
        <w:t>perfluóralkylovým</w:t>
      </w:r>
      <w:proofErr w:type="spellEnd"/>
      <w:r w:rsidRPr="00A67EE3">
        <w:t xml:space="preserve"> a </w:t>
      </w:r>
      <w:proofErr w:type="spellStart"/>
      <w:r w:rsidRPr="00A67EE3">
        <w:t>polyfluóralkylovým</w:t>
      </w:r>
      <w:proofErr w:type="spellEnd"/>
      <w:r w:rsidRPr="00A67EE3">
        <w:t xml:space="preserve"> látkam (PFAS), pracovné expozície, koncentrácie znečisťujúcich látok v ovzduší, vystavenie ultrafialovému žiareniu a radónu a infekcie (napr. vírusom hepatitídy B a C a niektorými druhmi ľudského </w:t>
      </w:r>
      <w:proofErr w:type="spellStart"/>
      <w:r w:rsidRPr="00A67EE3">
        <w:t>papilomavírusu</w:t>
      </w:r>
      <w:proofErr w:type="spellEnd"/>
      <w:r w:rsidRPr="00A67EE3">
        <w:t>);</w:t>
      </w:r>
    </w:p>
    <w:p w14:paraId="34378CB2" w14:textId="77777777" w:rsidR="00A330C1" w:rsidRPr="00A67EE3" w:rsidRDefault="00A330C1" w:rsidP="00A330C1">
      <w:pPr>
        <w:pStyle w:val="NormalHanging12a"/>
      </w:pPr>
      <w:r w:rsidRPr="00A67EE3">
        <w:t>D.</w:t>
      </w:r>
      <w:r w:rsidRPr="00A67EE3">
        <w:tab/>
        <w:t>keďže WHO a IARC sa snažia zvýšiť informovanosť o súvislosti medzi alkoholom a rakovinou;</w:t>
      </w:r>
    </w:p>
    <w:p w14:paraId="521D4DD2" w14:textId="77777777" w:rsidR="00A330C1" w:rsidRPr="00A67EE3" w:rsidRDefault="00A330C1" w:rsidP="00A330C1">
      <w:pPr>
        <w:pStyle w:val="NormalHanging12a"/>
      </w:pPr>
      <w:r w:rsidRPr="00A67EE3">
        <w:t>E.</w:t>
      </w:r>
      <w:r w:rsidRPr="00A67EE3">
        <w:tab/>
        <w:t>keďže napriek pokroku pretrvávajú medzi členskými štátmi aj v rámci nich výrazné nerovnosti, pokiaľ ide o prevenciu, skríning, včasnú diagnostiku, liečbu, prežívanie a paliatívnu starostlivosť;</w:t>
      </w:r>
    </w:p>
    <w:p w14:paraId="493F643B" w14:textId="77777777" w:rsidR="00A330C1" w:rsidRPr="00A67EE3" w:rsidRDefault="00A330C1" w:rsidP="00A330C1">
      <w:pPr>
        <w:pStyle w:val="NormalHanging12a"/>
      </w:pPr>
      <w:r w:rsidRPr="00A67EE3">
        <w:t>F.</w:t>
      </w:r>
      <w:r w:rsidRPr="00A67EE3">
        <w:tab/>
        <w:t xml:space="preserve">keďže podľa správy Organizácie pre hospodársku spoluprácu a rozvoj a Komisie s názvom </w:t>
      </w:r>
      <w:proofErr w:type="spellStart"/>
      <w:r w:rsidRPr="00A67EE3">
        <w:t>Delivering</w:t>
      </w:r>
      <w:proofErr w:type="spellEnd"/>
      <w:r w:rsidRPr="00A67EE3">
        <w:t xml:space="preserve"> </w:t>
      </w:r>
      <w:proofErr w:type="spellStart"/>
      <w:r w:rsidRPr="00A67EE3">
        <w:t>high</w:t>
      </w:r>
      <w:proofErr w:type="spellEnd"/>
      <w:r w:rsidRPr="00A67EE3">
        <w:t xml:space="preserve"> </w:t>
      </w:r>
      <w:proofErr w:type="spellStart"/>
      <w:r w:rsidRPr="00A67EE3">
        <w:t>value</w:t>
      </w:r>
      <w:proofErr w:type="spellEnd"/>
      <w:r w:rsidRPr="00A67EE3">
        <w:t xml:space="preserve"> </w:t>
      </w:r>
      <w:proofErr w:type="spellStart"/>
      <w:r w:rsidRPr="00A67EE3">
        <w:t>cancer</w:t>
      </w:r>
      <w:proofErr w:type="spellEnd"/>
      <w:r w:rsidRPr="00A67EE3">
        <w:t xml:space="preserve"> </w:t>
      </w:r>
      <w:proofErr w:type="spellStart"/>
      <w:r w:rsidRPr="00A67EE3">
        <w:t>care</w:t>
      </w:r>
      <w:proofErr w:type="spellEnd"/>
      <w:r w:rsidRPr="00A67EE3">
        <w:t xml:space="preserve"> (Poskytovanie vysokohodnotnej starostlivosti o onkologických pacientov) sa diagnostika rakoviny u mladších ľudí (vo veku 15 – 49 rokov) zvýšila vo väčšom rozsahu u žien, čo znamená, že čoraz viac ľudí, najmä mladších žien, žije s diagnózou rakoviny, ktorá si vyžaduje liečbu a monitorovanie, čo vytvára trvalý tlak na služby zdravotnej a sociálnej starostlivosti;</w:t>
      </w:r>
    </w:p>
    <w:p w14:paraId="1FF4F757" w14:textId="77777777" w:rsidR="00A330C1" w:rsidRPr="00A67EE3" w:rsidRDefault="00A330C1" w:rsidP="00A330C1">
      <w:pPr>
        <w:pStyle w:val="NormalHanging12a"/>
      </w:pPr>
      <w:r w:rsidRPr="00A67EE3">
        <w:t>G.</w:t>
      </w:r>
      <w:r w:rsidRPr="00A67EE3">
        <w:tab/>
        <w:t>keďže rakovina je jednou z hlavných príčin predčasnej úmrtnosti žien vo svete, pričom každoročne predčasne zomrie na rakovinu 2,3 milióna žien; keďže z týchto úmrtí by sa 1,5 miliónu dalo predísť primárnou prevenciou alebo včasným odhalením a ďalším 800 000 úmrtiam by sa dalo zabrániť, ak by všetky ženy mali prístup k optimálnej onkologickej starostlivosti;</w:t>
      </w:r>
    </w:p>
    <w:p w14:paraId="13C17829" w14:textId="77777777" w:rsidR="00A330C1" w:rsidRPr="00A67EE3" w:rsidRDefault="00A330C1" w:rsidP="00A330C1">
      <w:pPr>
        <w:pStyle w:val="NormalHanging12a"/>
      </w:pPr>
      <w:r w:rsidRPr="00A67EE3">
        <w:t>H.</w:t>
      </w:r>
      <w:r w:rsidRPr="00A67EE3">
        <w:tab/>
        <w:t>keďže v onkologickej starostlivosti, výskume a tvorbe politík pretrvávajú systémové rodové nerovnosti, ktoré ovplyvňujú priority, financovanie a zameranie štúdií, čím sa konzervujú rodové rozdiely v zdravotných ukazovateľoch;</w:t>
      </w:r>
    </w:p>
    <w:p w14:paraId="002B6F2D" w14:textId="77777777" w:rsidR="00A330C1" w:rsidRPr="00A67EE3" w:rsidRDefault="00A330C1" w:rsidP="00A330C1">
      <w:pPr>
        <w:pStyle w:val="NormalHanging12a"/>
      </w:pPr>
      <w:r w:rsidRPr="00A67EE3">
        <w:t>I.</w:t>
      </w:r>
      <w:r w:rsidRPr="00A67EE3">
        <w:tab/>
        <w:t xml:space="preserve">keďže zriedkavé druhy rakoviny predstavujú viac ako jednu z piatich diagnóz rakoviny v EÚ a sú spojené s oneskoreným odhalením, obmedzenými možnosťami liečby, </w:t>
      </w:r>
      <w:r w:rsidRPr="00A67EE3">
        <w:lastRenderedPageBreak/>
        <w:t>nedostatočnými klinickými odbornými znalosťami a veľkými cezhraničnými nerovnosťami; keďže boj proti zriedkavým druhom rakoviny si vyžaduje silnú koordináciu na úrovni EÚ, osobitné financovanie a posilnené európske referenčné siete;</w:t>
      </w:r>
    </w:p>
    <w:p w14:paraId="1D54C041" w14:textId="77777777" w:rsidR="00A330C1" w:rsidRPr="00A67EE3" w:rsidRDefault="00A330C1" w:rsidP="00A330C1">
      <w:pPr>
        <w:pStyle w:val="NormalHanging12a"/>
      </w:pPr>
      <w:r w:rsidRPr="00A67EE3">
        <w:t>J.</w:t>
      </w:r>
      <w:r w:rsidRPr="00A67EE3">
        <w:tab/>
        <w:t>keďže európsky plán na boj proti rakovine poskytuje pevný rámec, ale jeho vykonávanie si vyžaduje obnovenie politickej vôle, financovania a koordinácie;</w:t>
      </w:r>
    </w:p>
    <w:p w14:paraId="57604C37" w14:textId="7942D585" w:rsidR="00A330C1" w:rsidRPr="00A67EE3" w:rsidRDefault="00A330C1" w:rsidP="00A330C1">
      <w:pPr>
        <w:pStyle w:val="NormalHanging12a"/>
      </w:pPr>
      <w:r w:rsidRPr="00A67EE3">
        <w:t>K.</w:t>
      </w:r>
      <w:r w:rsidRPr="00A67EE3">
        <w:tab/>
        <w:t xml:space="preserve">keďže </w:t>
      </w:r>
      <w:r w:rsidR="009D0E64" w:rsidRPr="00A67EE3">
        <w:t>Európsky p</w:t>
      </w:r>
      <w:r w:rsidRPr="00A67EE3">
        <w:t>arlament prijal 16. februára 2022 uznesenie o posilnení Európy v boji proti rakovine</w:t>
      </w:r>
      <w:r w:rsidRPr="00A67EE3">
        <w:rPr>
          <w:rStyle w:val="FootnoteReference"/>
        </w:rPr>
        <w:footnoteReference w:id="4"/>
      </w:r>
      <w:r w:rsidRPr="00A67EE3">
        <w:t>;</w:t>
      </w:r>
    </w:p>
    <w:p w14:paraId="2458B099" w14:textId="77777777" w:rsidR="00A330C1" w:rsidRPr="00A67EE3" w:rsidRDefault="00A330C1" w:rsidP="00A330C1">
      <w:pPr>
        <w:pStyle w:val="NormalHanging12a"/>
      </w:pPr>
      <w:r w:rsidRPr="00A67EE3">
        <w:t>1.</w:t>
      </w:r>
      <w:r w:rsidRPr="00A67EE3">
        <w:tab/>
        <w:t>pripomína si Svetový deň boja proti rakovine, ktorým je 4. február, a vyjadruje solidaritu so všetkými pacientmi, osobami, ktoré rakovinu prežili, rodinami, zdravotníckymi pracovníkmi a výskumníkmi bojujúcimi proti rakovine v celej Európe;</w:t>
      </w:r>
    </w:p>
    <w:p w14:paraId="797BB685" w14:textId="77777777" w:rsidR="00A330C1" w:rsidRPr="00A67EE3" w:rsidRDefault="00A330C1" w:rsidP="00A330C1">
      <w:pPr>
        <w:pStyle w:val="NormalHanging12a"/>
      </w:pPr>
      <w:r w:rsidRPr="00A67EE3">
        <w:t>2.</w:t>
      </w:r>
      <w:r w:rsidRPr="00A67EE3">
        <w:tab/>
        <w:t>vyzýva Komisiu a členské štáty, aby obnovili svoj politický záväzok k úplnému vykonávaniu európskeho plánu na boj proti rakovine počas celého obdobia viacročného finančného rámca (VFR) na roky 2028 – 2034 a zabezpečili tak konzistentnosť, primerané financovanie a konkrétne vnútroštátne opatrenia, ako aj mechanizmy každoročného podávania správ a lepšiu transparentnosť, pokiaľ ide o nedostatky vo vykonávaní; vyzýva Komisiu, aby vo svojom úsilí o dosiahnutie cieľov stanovených v európskom pláne na boj proti rakovine náležite zohľadnila najlepšie postupy a skúsenosti členských štátov;</w:t>
      </w:r>
    </w:p>
    <w:p w14:paraId="1A15FD76" w14:textId="77777777" w:rsidR="00A330C1" w:rsidRPr="00A67EE3" w:rsidRDefault="00A330C1" w:rsidP="00A330C1">
      <w:pPr>
        <w:pStyle w:val="NormalHanging12a"/>
      </w:pPr>
      <w:r w:rsidRPr="00A67EE3">
        <w:t>3.</w:t>
      </w:r>
      <w:r w:rsidRPr="00A67EE3">
        <w:tab/>
        <w:t>vyjadruje poľutovanie nad tým, že vo VFR na roky 2028 – 2034 nie je vyčlenená osobitná finančná podpora pre oblasť zdravia; požaduje konkrétny program EÚ v oblasti zdravia s osobitným finančným krytím s cieľom chrániť verejné zdravie a podporovať účasť pacientov a občianskej spoločnosti na tvorbe politík; zdôrazňuje, že na realizáciu hlavných iniciatív EÚ v oblasti zdravia, ktoré si vyžadujú viacročnú kontinuitu a vykonávacie kapacity, ako je napríklad európsky plán na boj proti rakovine, ktorý potrebuje predvídateľné investície, aby sa záväzky premietli do realizácie v praxi, sú potrebné osobitné finančné prostriedky;</w:t>
      </w:r>
    </w:p>
    <w:p w14:paraId="58A95622" w14:textId="77777777" w:rsidR="00A330C1" w:rsidRPr="00A67EE3" w:rsidRDefault="00A330C1" w:rsidP="00A330C1">
      <w:pPr>
        <w:pStyle w:val="NormalHanging12a"/>
      </w:pPr>
      <w:r w:rsidRPr="00A67EE3">
        <w:t>4.</w:t>
      </w:r>
      <w:r w:rsidRPr="00A67EE3">
        <w:tab/>
        <w:t>vyzýva Komisiu a Radu, aby uznali zdravotnú a onkologickú starostlivosť za sociálne investičné ciele, ktoré možno dosiahnuť investíciami do plánov národného a regionálneho partnerstva vrátane podpory dlhodobej onkologickej infraštruktúry, ako sú programy očkovania a skríningu, rozvoj pracovnej sily a spoľahlivé systémy onkologických dát;</w:t>
      </w:r>
    </w:p>
    <w:p w14:paraId="735A2E04" w14:textId="77777777" w:rsidR="00A330C1" w:rsidRPr="00A67EE3" w:rsidRDefault="00A330C1" w:rsidP="00A330C1">
      <w:pPr>
        <w:pStyle w:val="NormalHanging12a"/>
      </w:pPr>
      <w:r w:rsidRPr="00A67EE3">
        <w:t>5.</w:t>
      </w:r>
      <w:r w:rsidRPr="00A67EE3">
        <w:tab/>
        <w:t>zdôrazňuje význam úplného začlenenia rodových rozdielov do výskumu, prevencie, skríningu, diagnostiky a liečby rakoviny; nabáda na vypracovanie a vykonávanie cielených stratégií založených na dôkazoch v snahe zabezpečiť účinný a spravodlivý prístup k včasnému odhaľovaniu, včasnej diagnostike a kvalitnej onkologickej starostlivosti;</w:t>
      </w:r>
    </w:p>
    <w:p w14:paraId="65A43D39" w14:textId="77777777" w:rsidR="00A330C1" w:rsidRPr="00A67EE3" w:rsidRDefault="00A330C1" w:rsidP="00A330C1">
      <w:pPr>
        <w:pStyle w:val="NormalHanging12a"/>
      </w:pPr>
      <w:r w:rsidRPr="00A67EE3">
        <w:t>6.</w:t>
      </w:r>
      <w:r w:rsidRPr="00A67EE3">
        <w:tab/>
        <w:t xml:space="preserve">zdôrazňuje, že rakovina u detí je zriedkavá, ale predstavuje veľkú záťaž a v rámci Európy sa s ňou spájajú veľké rozdiely z hľadiska miery prežitia a prístupu k zdravotnej starostlivosti; vyzýva Komisiu a členské štáty, aby posilnili spoluprácu na úrovni EÚ a </w:t>
      </w:r>
      <w:r w:rsidRPr="00A67EE3">
        <w:lastRenderedPageBreak/>
        <w:t>financovanie v súvislosti s výskumom, výmenou údajov a klinickým skúšaním v oblasti detskej onkológie, podporili vývoj liekov a prístup detí a dospievajúcich s rakovinou k inováciám, posilnili siete a infraštruktúru zamerané na rakovinu detí a dospievajúcich a zabezpečili včasné cezhraničné odporúčanie do špecializovaných centier prostredníctvom európskych referenčných sietí s cieľom zaručiť spravodlivý prístup k inovatívnej a vekovo primeranej liečbe a diagnostike a poskytovanie komplexnej dlhodobej následnej starostlivosti vrátane psychosociálnej, vzdelávacej a sociálnej podpory detí, dospievajúcich a mladých dospelých, ktorí prekonali rakovinu, a ich rodín;</w:t>
      </w:r>
    </w:p>
    <w:p w14:paraId="68CD9197" w14:textId="77777777" w:rsidR="00A330C1" w:rsidRPr="00A67EE3" w:rsidRDefault="00A330C1" w:rsidP="00A330C1">
      <w:pPr>
        <w:pStyle w:val="NormalHanging12a"/>
      </w:pPr>
      <w:r w:rsidRPr="00A67EE3">
        <w:t>7.</w:t>
      </w:r>
      <w:r w:rsidRPr="00A67EE3">
        <w:tab/>
        <w:t>vyzýva na podporu geriatrickej onkológie ako odboru, ktorý si zasluhuje osobitnú pozornosť a financovanie a ktorý treba posilniť vedeckým výskumom s cieľom zabezpečiť najlepšie liečebné a diagnostické metódy pre starších pacientov;</w:t>
      </w:r>
    </w:p>
    <w:p w14:paraId="31573E8D" w14:textId="77777777" w:rsidR="00A330C1" w:rsidRPr="00A67EE3" w:rsidRDefault="00A330C1" w:rsidP="00A330C1">
      <w:pPr>
        <w:pStyle w:val="NormalHanging12a"/>
      </w:pPr>
      <w:r w:rsidRPr="00A67EE3">
        <w:t>8.</w:t>
      </w:r>
      <w:r w:rsidRPr="00A67EE3">
        <w:tab/>
        <w:t>zdôrazňuje, že pacienti stále čelia mnohým ťažkostiam v prístupe ku kvalitným verejným službám zdravotnej starostlivosti; vyzýva preto na vybudovanie vysokokvalitnej infraštruktúry na poskytovanie liečby podľa európskych usmernení a v súlade s najnovšími vedeckými dôkazmi;</w:t>
      </w:r>
    </w:p>
    <w:p w14:paraId="7B0761E3" w14:textId="77777777" w:rsidR="00A330C1" w:rsidRPr="00A67EE3" w:rsidRDefault="00A330C1" w:rsidP="00A330C1">
      <w:pPr>
        <w:pStyle w:val="NormalHanging12a"/>
      </w:pPr>
      <w:r w:rsidRPr="00A67EE3">
        <w:t>9.</w:t>
      </w:r>
      <w:r w:rsidRPr="00A67EE3">
        <w:tab/>
        <w:t>požaduje posilnené mechanizmy na uľahčenie cezhraničného prístupu k špecializovanej onkologickej starostlivosti a ku klinickému skúšaniu, najmä v prípade zriedkavých a komplexných druhov rakoviny, a to v plnom súlade so smernicou o cezhraničnej zdravotnej starostlivosti</w:t>
      </w:r>
      <w:r w:rsidRPr="00A67EE3">
        <w:rPr>
          <w:rStyle w:val="FootnoteReference"/>
        </w:rPr>
        <w:footnoteReference w:id="5"/>
      </w:r>
      <w:r w:rsidRPr="00A67EE3">
        <w:t>;</w:t>
      </w:r>
    </w:p>
    <w:p w14:paraId="65434A48" w14:textId="77777777" w:rsidR="00A330C1" w:rsidRPr="00A67EE3" w:rsidRDefault="00A330C1" w:rsidP="00A330C1">
      <w:pPr>
        <w:pStyle w:val="NormalHanging12a"/>
      </w:pPr>
      <w:r w:rsidRPr="00A67EE3">
        <w:t>10.</w:t>
      </w:r>
      <w:r w:rsidRPr="00A67EE3">
        <w:tab/>
        <w:t>opakuje, že je potrebné zabezpečiť spravodlivý, včasný a cenovo dostupný prístup k liekom proti rakovine a inovatívnym terapiám v celej EÚ; so znepokojením berie na vedomie pretrvávajúce rozdiely medzi členskými štátmi v prístupe pacientov k týmto liekom a liečebným postupom napriek ich povoľovaniu na uvedenie na trh v celej EÚ, a všíma si, že sa týkajú najmä krajín s menšími trhmi; vyzýva Komisiu, aby v spolupráci s členskými štátmi vo vhodných prípadoch uľahčovala dobrovoľné spoločné obstarávanie, presadzovala cenovú transparentnosť v súlade s vnútroštátnymi právomocami, podporovala skorší vstup na trh a riešila neodôvodnené oneskorenia medzi vydaním povolenia Európskou agentúrou pre lieky a prístupom pacientov k lieku, najmä v prípade život zachraňujúcej liečby rakoviny;</w:t>
      </w:r>
    </w:p>
    <w:p w14:paraId="6185A012" w14:textId="77777777" w:rsidR="00A330C1" w:rsidRPr="00A67EE3" w:rsidRDefault="00A330C1" w:rsidP="00A330C1">
      <w:pPr>
        <w:pStyle w:val="NormalHanging12a"/>
      </w:pPr>
      <w:r w:rsidRPr="00A67EE3">
        <w:t>11.</w:t>
      </w:r>
      <w:r w:rsidRPr="00A67EE3">
        <w:tab/>
        <w:t>vyzýva Komisiu, aby členským štátom pomáhala pri vykonávaní odporúčania Rady o skríningu rakoviny a odporúčania Rady o onkologických ochoreniach, ktorým sa dá predchádzať očkovaním</w:t>
      </w:r>
      <w:r w:rsidRPr="00A67EE3">
        <w:rPr>
          <w:rStyle w:val="FootnoteReference"/>
        </w:rPr>
        <w:footnoteReference w:id="6"/>
      </w:r>
      <w:r w:rsidRPr="00A67EE3">
        <w:t>, a tým podporila ich snahy o zlepšenie prevencie a včasnej detekcie rakoviny;</w:t>
      </w:r>
    </w:p>
    <w:p w14:paraId="5E5AAC4D" w14:textId="77777777" w:rsidR="00A330C1" w:rsidRPr="00A67EE3" w:rsidRDefault="00A330C1" w:rsidP="00A330C1">
      <w:pPr>
        <w:pStyle w:val="NormalHanging12a"/>
      </w:pPr>
      <w:r w:rsidRPr="00A67EE3">
        <w:t>12.</w:t>
      </w:r>
      <w:r w:rsidRPr="00A67EE3">
        <w:tab/>
        <w:t xml:space="preserve">vyzýva Komisiu, aby zaručila úzke zosúladenie a komplementárnosť medzi európskym plánom na boj proti rakovine a </w:t>
      </w:r>
      <w:bookmarkStart w:id="8" w:name="_Hlk221692255"/>
      <w:r w:rsidRPr="00A67EE3">
        <w:t>akýmikoľvek budúcimi európskymi činnosťami v oblasti chorôb vrátane kardiovaskulárnych ochorení, napríklad prostredníctvom Plánu pre zdravé srdcia, a zriedkavých chorôb;</w:t>
      </w:r>
      <w:bookmarkEnd w:id="8"/>
    </w:p>
    <w:p w14:paraId="5790F70A" w14:textId="77777777" w:rsidR="00A330C1" w:rsidRPr="00A67EE3" w:rsidRDefault="00A330C1" w:rsidP="00A330C1">
      <w:pPr>
        <w:pStyle w:val="NormalHanging12a"/>
      </w:pPr>
      <w:r w:rsidRPr="00A67EE3">
        <w:lastRenderedPageBreak/>
        <w:t>13.</w:t>
      </w:r>
      <w:r w:rsidRPr="00A67EE3">
        <w:tab/>
        <w:t xml:space="preserve">zdôrazňuje, že dosiahnutie cieľov v oblasti prevencie rakoviny vrátane opatrení na zníženie vystavenia rizikovým faktorom, ako sú tabakové výrobky, škodlivá konzumácia alkoholu, kontaminácia životného prostredia, znečistenie ovzdušia a vystavenie škodlivým materiálom a látkam, ako sú karcinogénne, mutagénne látky a látky poškodzujúce reprodukciu vrátane PFAS a endokrinných </w:t>
      </w:r>
      <w:proofErr w:type="spellStart"/>
      <w:r w:rsidRPr="00A67EE3">
        <w:t>disruptorov</w:t>
      </w:r>
      <w:proofErr w:type="spellEnd"/>
      <w:r w:rsidRPr="00A67EE3">
        <w:t xml:space="preserve">, ako aj pokrok v prístupe „jedno zdravie“ a programe výskumu </w:t>
      </w:r>
      <w:proofErr w:type="spellStart"/>
      <w:r w:rsidRPr="00A67EE3">
        <w:t>expozómu</w:t>
      </w:r>
      <w:proofErr w:type="spellEnd"/>
      <w:r w:rsidRPr="00A67EE3">
        <w:t xml:space="preserve"> dopĺňajú úsilie o prevenciu iných neprenosných chorôb;</w:t>
      </w:r>
    </w:p>
    <w:p w14:paraId="6F621824" w14:textId="77777777" w:rsidR="00A330C1" w:rsidRPr="00A67EE3" w:rsidRDefault="00A330C1" w:rsidP="00A330C1">
      <w:pPr>
        <w:pStyle w:val="NormalHanging12a"/>
      </w:pPr>
      <w:r w:rsidRPr="00A67EE3">
        <w:t>14.</w:t>
      </w:r>
      <w:r w:rsidRPr="00A67EE3">
        <w:tab/>
        <w:t>zdôrazňuje význam boja proti dezinformáciám a mylným informáciám súvisiacim so zdravím, najmä pokiaľ ide o prevenciu, skríning a liečbu rakoviny, ako aj očkovanie proti rakovine; vyzýva Komisiu a členské štáty, aby zlepšili komunikáciu s verejnosťou založenú na dôkazoch, podporovali zdravotnú gramotnosť a presadzovali spoluprácu so zdravotníckymi a výskumnými pracovníkmi, združeniami pacientov a digitálnymi platformami tak, aby občania mali prístup k spoľahlivým a vedecky podloženým informáciám a zároveň sa v plnej miere rešpektovala sloboda prejavu;</w:t>
      </w:r>
    </w:p>
    <w:p w14:paraId="2145114B" w14:textId="77777777" w:rsidR="00A330C1" w:rsidRPr="00A67EE3" w:rsidRDefault="00A330C1" w:rsidP="00A330C1">
      <w:pPr>
        <w:pStyle w:val="NormalHanging12a"/>
      </w:pPr>
      <w:r w:rsidRPr="00A67EE3">
        <w:t>15.</w:t>
      </w:r>
      <w:r w:rsidRPr="00A67EE3">
        <w:tab/>
        <w:t>vyzýva Komisiu, aby zintenzívnila úsilie o ochranu osôb v celej EÚ, ktoré prekonali rakovinu, pred finančnou diskrimináciou, a to aj efektívnym presadzovaním práva na zabudnutie, a naliehavo vyzýva členské štáty, aby prijali záväzné právne predpisy s cieľom zakotviť toto právo na vnútroštátnej úrovni; trvá na tom, aby Komisia vychádzala zo smernice o spotrebiteľských úveroch</w:t>
      </w:r>
      <w:r w:rsidRPr="00A67EE3">
        <w:rPr>
          <w:rStyle w:val="FootnoteReference"/>
        </w:rPr>
        <w:footnoteReference w:id="7"/>
      </w:r>
      <w:r w:rsidRPr="00A67EE3">
        <w:t xml:space="preserve"> z roku 2023 s cieľom naďalej posilňovať právo osôb, ktoré prekonali rakovinu, na zabudnutie; požaduje harmonizovaný rámec, ktorý bude osobám, ktoré prekonali rakovinu, zaručovať prístup k finančným službám vrátane hypoték, úverov a poistenia; trvá na tom, aby po usmernení pre finančné podniky naplánovanom na rok 2026 urýchlene nasledovali legislatívne opatrenia na odstránenie zostávajúcich nedostatkov s cieľom zaistiť, aby nikto, kto prekonal rakovinu, nebol diskriminovaný na základe svojej anamnézy;</w:t>
      </w:r>
    </w:p>
    <w:p w14:paraId="115B97F7" w14:textId="2F4EF774" w:rsidR="00E365E1" w:rsidRPr="00A67EE3" w:rsidRDefault="00A330C1" w:rsidP="008C3E41">
      <w:pPr>
        <w:pStyle w:val="NormalHanging12a"/>
      </w:pPr>
      <w:r w:rsidRPr="00A67EE3">
        <w:t>16.</w:t>
      </w:r>
      <w:r w:rsidRPr="00A67EE3">
        <w:tab/>
        <w:t>poveruje svoju predsedníčku, aby postúpila toto uznesenie Rade, Komisii, vládam a parlamentom členských štátov, príslušným medzinárodným organizáciám a zúčastneným stranám.</w:t>
      </w:r>
    </w:p>
    <w:sectPr w:rsidR="00E365E1" w:rsidRPr="00A67EE3" w:rsidSect="00733E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5A2CE" w14:textId="77777777" w:rsidR="00707625" w:rsidRPr="00733EE9" w:rsidRDefault="00707625">
      <w:r w:rsidRPr="00733EE9">
        <w:separator/>
      </w:r>
    </w:p>
  </w:endnote>
  <w:endnote w:type="continuationSeparator" w:id="0">
    <w:p w14:paraId="6A496C65" w14:textId="77777777" w:rsidR="00707625" w:rsidRPr="00733EE9" w:rsidRDefault="00707625">
      <w:r w:rsidRPr="00733E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1A3B4" w14:textId="77777777" w:rsidR="00064002" w:rsidRPr="00733E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C161D" w14:textId="77777777" w:rsidR="00064002" w:rsidRPr="00733E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2BE5" w14:textId="77777777" w:rsidR="00064002" w:rsidRPr="00733E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C977A" w14:textId="77777777" w:rsidR="00707625" w:rsidRPr="00733EE9" w:rsidRDefault="00707625">
      <w:r w:rsidRPr="00733EE9">
        <w:separator/>
      </w:r>
    </w:p>
  </w:footnote>
  <w:footnote w:type="continuationSeparator" w:id="0">
    <w:p w14:paraId="15BCACD1" w14:textId="77777777" w:rsidR="00707625" w:rsidRPr="00733EE9" w:rsidRDefault="00707625">
      <w:r w:rsidRPr="00733EE9">
        <w:continuationSeparator/>
      </w:r>
    </w:p>
  </w:footnote>
  <w:footnote w:id="1">
    <w:p w14:paraId="5C53579A" w14:textId="3F3B8CA7" w:rsidR="00A330C1" w:rsidRPr="00733EE9" w:rsidRDefault="00A330C1" w:rsidP="00733EE9">
      <w:pPr>
        <w:pStyle w:val="FootnoteText"/>
        <w:ind w:left="567" w:hanging="567"/>
        <w:rPr>
          <w:sz w:val="24"/>
          <w:lang w:val="sk-SK"/>
        </w:rPr>
      </w:pPr>
      <w:r w:rsidRPr="00733EE9">
        <w:rPr>
          <w:rStyle w:val="FootnoteReference"/>
          <w:sz w:val="24"/>
          <w:lang w:val="sk-SK"/>
        </w:rPr>
        <w:footnoteRef/>
      </w:r>
      <w:r w:rsidR="00733EE9" w:rsidRPr="00733EE9">
        <w:rPr>
          <w:sz w:val="24"/>
          <w:lang w:val="sk-SK"/>
        </w:rPr>
        <w:t xml:space="preserve"> </w:t>
      </w:r>
      <w:r w:rsidR="00733EE9" w:rsidRPr="00733EE9">
        <w:rPr>
          <w:sz w:val="24"/>
          <w:lang w:val="sk-SK"/>
        </w:rPr>
        <w:tab/>
      </w:r>
      <w:r w:rsidRPr="00733EE9">
        <w:rPr>
          <w:sz w:val="24"/>
          <w:lang w:val="sk-SK"/>
        </w:rPr>
        <w:t>Ú. v. EÚ C 342, 6.9.2022, s. 109.</w:t>
      </w:r>
    </w:p>
  </w:footnote>
  <w:footnote w:id="2">
    <w:p w14:paraId="0454A363" w14:textId="24121D80" w:rsidR="00A330C1" w:rsidRPr="00733EE9" w:rsidRDefault="00A330C1" w:rsidP="00733EE9">
      <w:pPr>
        <w:pStyle w:val="FootnoteText"/>
        <w:ind w:left="567" w:hanging="567"/>
        <w:rPr>
          <w:sz w:val="24"/>
          <w:lang w:val="sk-SK"/>
        </w:rPr>
      </w:pPr>
      <w:r w:rsidRPr="00733EE9">
        <w:rPr>
          <w:rStyle w:val="FootnoteReference"/>
          <w:sz w:val="24"/>
          <w:lang w:val="sk-SK"/>
        </w:rPr>
        <w:footnoteRef/>
      </w:r>
      <w:r w:rsidR="00733EE9" w:rsidRPr="00733EE9">
        <w:rPr>
          <w:sz w:val="24"/>
          <w:lang w:val="sk-SK"/>
        </w:rPr>
        <w:t xml:space="preserve"> </w:t>
      </w:r>
      <w:r w:rsidR="00733EE9" w:rsidRPr="00733EE9">
        <w:rPr>
          <w:sz w:val="24"/>
          <w:lang w:val="sk-SK"/>
        </w:rPr>
        <w:tab/>
      </w:r>
      <w:r w:rsidRPr="00733EE9">
        <w:rPr>
          <w:sz w:val="24"/>
          <w:lang w:val="sk-SK"/>
        </w:rPr>
        <w:t>Ú. v. EÚ C 473, 13.12.2022, s. 1.</w:t>
      </w:r>
    </w:p>
  </w:footnote>
  <w:footnote w:id="3">
    <w:p w14:paraId="3E0CCAC8" w14:textId="080AD0C3" w:rsidR="00A330C1" w:rsidRPr="00733EE9" w:rsidRDefault="00A330C1" w:rsidP="00733EE9">
      <w:pPr>
        <w:pStyle w:val="FootnoteText"/>
        <w:ind w:left="567" w:hanging="567"/>
        <w:rPr>
          <w:sz w:val="24"/>
          <w:lang w:val="sk-SK"/>
        </w:rPr>
      </w:pPr>
      <w:r w:rsidRPr="00733EE9">
        <w:rPr>
          <w:rStyle w:val="FootnoteReference"/>
          <w:sz w:val="24"/>
          <w:lang w:val="sk-SK"/>
        </w:rPr>
        <w:footnoteRef/>
      </w:r>
      <w:r w:rsidR="00733EE9" w:rsidRPr="00733EE9">
        <w:rPr>
          <w:sz w:val="24"/>
          <w:lang w:val="sk-SK"/>
        </w:rPr>
        <w:t xml:space="preserve"> </w:t>
      </w:r>
      <w:r w:rsidR="00733EE9" w:rsidRPr="00733EE9">
        <w:rPr>
          <w:sz w:val="24"/>
          <w:lang w:val="sk-SK"/>
        </w:rPr>
        <w:tab/>
      </w:r>
      <w:r w:rsidRPr="00733EE9">
        <w:rPr>
          <w:sz w:val="24"/>
          <w:lang w:val="sk-SK"/>
        </w:rPr>
        <w:t xml:space="preserve">OECD a Európska komisia, </w:t>
      </w:r>
      <w:proofErr w:type="spellStart"/>
      <w:r w:rsidRPr="00733EE9">
        <w:rPr>
          <w:sz w:val="24"/>
          <w:lang w:val="sk-SK"/>
        </w:rPr>
        <w:t>Delivering</w:t>
      </w:r>
      <w:proofErr w:type="spellEnd"/>
      <w:r w:rsidRPr="00733EE9">
        <w:rPr>
          <w:sz w:val="24"/>
          <w:lang w:val="sk-SK"/>
        </w:rPr>
        <w:t xml:space="preserve"> </w:t>
      </w:r>
      <w:proofErr w:type="spellStart"/>
      <w:r w:rsidRPr="00733EE9">
        <w:rPr>
          <w:sz w:val="24"/>
          <w:lang w:val="sk-SK"/>
        </w:rPr>
        <w:t>High</w:t>
      </w:r>
      <w:proofErr w:type="spellEnd"/>
      <w:r w:rsidRPr="00733EE9">
        <w:rPr>
          <w:sz w:val="24"/>
          <w:lang w:val="sk-SK"/>
        </w:rPr>
        <w:t xml:space="preserve"> </w:t>
      </w:r>
      <w:proofErr w:type="spellStart"/>
      <w:r w:rsidRPr="00733EE9">
        <w:rPr>
          <w:sz w:val="24"/>
          <w:lang w:val="sk-SK"/>
        </w:rPr>
        <w:t>Value</w:t>
      </w:r>
      <w:proofErr w:type="spellEnd"/>
      <w:r w:rsidRPr="00733EE9">
        <w:rPr>
          <w:sz w:val="24"/>
          <w:lang w:val="sk-SK"/>
        </w:rPr>
        <w:t xml:space="preserve"> </w:t>
      </w:r>
      <w:proofErr w:type="spellStart"/>
      <w:r w:rsidRPr="00733EE9">
        <w:rPr>
          <w:sz w:val="24"/>
          <w:lang w:val="sk-SK"/>
        </w:rPr>
        <w:t>Cancer</w:t>
      </w:r>
      <w:proofErr w:type="spellEnd"/>
      <w:r w:rsidRPr="00733EE9">
        <w:rPr>
          <w:sz w:val="24"/>
          <w:lang w:val="sk-SK"/>
        </w:rPr>
        <w:t xml:space="preserve"> </w:t>
      </w:r>
      <w:proofErr w:type="spellStart"/>
      <w:r w:rsidRPr="00733EE9">
        <w:rPr>
          <w:sz w:val="24"/>
          <w:lang w:val="sk-SK"/>
        </w:rPr>
        <w:t>Care</w:t>
      </w:r>
      <w:proofErr w:type="spellEnd"/>
      <w:r w:rsidRPr="00733EE9">
        <w:rPr>
          <w:sz w:val="24"/>
          <w:lang w:val="sk-SK"/>
        </w:rPr>
        <w:t xml:space="preserve">: </w:t>
      </w:r>
      <w:proofErr w:type="spellStart"/>
      <w:r w:rsidRPr="00733EE9">
        <w:rPr>
          <w:sz w:val="24"/>
          <w:lang w:val="sk-SK"/>
        </w:rPr>
        <w:t>European</w:t>
      </w:r>
      <w:proofErr w:type="spellEnd"/>
      <w:r w:rsidRPr="00733EE9">
        <w:rPr>
          <w:sz w:val="24"/>
          <w:lang w:val="sk-SK"/>
        </w:rPr>
        <w:t xml:space="preserve"> </w:t>
      </w:r>
      <w:proofErr w:type="spellStart"/>
      <w:r w:rsidRPr="00733EE9">
        <w:rPr>
          <w:sz w:val="24"/>
          <w:lang w:val="sk-SK"/>
        </w:rPr>
        <w:t>cancer</w:t>
      </w:r>
      <w:proofErr w:type="spellEnd"/>
      <w:r w:rsidRPr="00733EE9">
        <w:rPr>
          <w:sz w:val="24"/>
          <w:lang w:val="sk-SK"/>
        </w:rPr>
        <w:t xml:space="preserve"> </w:t>
      </w:r>
      <w:proofErr w:type="spellStart"/>
      <w:r w:rsidRPr="00733EE9">
        <w:rPr>
          <w:sz w:val="24"/>
          <w:lang w:val="sk-SK"/>
        </w:rPr>
        <w:t>inequalities</w:t>
      </w:r>
      <w:proofErr w:type="spellEnd"/>
      <w:r w:rsidRPr="00733EE9">
        <w:rPr>
          <w:sz w:val="24"/>
          <w:lang w:val="sk-SK"/>
        </w:rPr>
        <w:t xml:space="preserve"> </w:t>
      </w:r>
      <w:proofErr w:type="spellStart"/>
      <w:r w:rsidRPr="00733EE9">
        <w:rPr>
          <w:sz w:val="24"/>
          <w:lang w:val="sk-SK"/>
        </w:rPr>
        <w:t>registry</w:t>
      </w:r>
      <w:proofErr w:type="spellEnd"/>
      <w:r w:rsidRPr="00733EE9">
        <w:rPr>
          <w:sz w:val="24"/>
          <w:lang w:val="sk-SK"/>
        </w:rPr>
        <w:t xml:space="preserve"> </w:t>
      </w:r>
      <w:proofErr w:type="spellStart"/>
      <w:r w:rsidRPr="00733EE9">
        <w:rPr>
          <w:sz w:val="24"/>
          <w:lang w:val="sk-SK"/>
        </w:rPr>
        <w:t>analytical</w:t>
      </w:r>
      <w:proofErr w:type="spellEnd"/>
      <w:r w:rsidRPr="00733EE9">
        <w:rPr>
          <w:sz w:val="24"/>
          <w:lang w:val="sk-SK"/>
        </w:rPr>
        <w:t xml:space="preserve"> report, (Poskytovanie hodnotnej zdravotnej starostlivosti v prípade rakoviny: analytická správa Európskeho registra nerovností v oblasti onkologických ochorení), OECD </w:t>
      </w:r>
      <w:proofErr w:type="spellStart"/>
      <w:r w:rsidRPr="00733EE9">
        <w:rPr>
          <w:sz w:val="24"/>
          <w:lang w:val="sk-SK"/>
        </w:rPr>
        <w:t>Publishing</w:t>
      </w:r>
      <w:proofErr w:type="spellEnd"/>
      <w:r w:rsidRPr="00733EE9">
        <w:rPr>
          <w:sz w:val="24"/>
          <w:lang w:val="sk-SK"/>
        </w:rPr>
        <w:t xml:space="preserve">, Paríž, 2026, </w:t>
      </w:r>
      <w:hyperlink r:id="rId1" w:history="1">
        <w:r w:rsidRPr="00733EE9">
          <w:rPr>
            <w:rStyle w:val="Hyperlink"/>
            <w:sz w:val="24"/>
            <w:lang w:val="sk-SK"/>
          </w:rPr>
          <w:t>https://doi.org/10.1787/060869fe-en</w:t>
        </w:r>
      </w:hyperlink>
      <w:r w:rsidRPr="00733EE9">
        <w:rPr>
          <w:sz w:val="24"/>
          <w:lang w:val="sk-SK"/>
        </w:rPr>
        <w:t>.</w:t>
      </w:r>
    </w:p>
  </w:footnote>
  <w:footnote w:id="4">
    <w:p w14:paraId="0BCC2EE1" w14:textId="2C2CFAD6" w:rsidR="00A330C1" w:rsidRPr="00733EE9" w:rsidRDefault="00A330C1" w:rsidP="00733EE9">
      <w:pPr>
        <w:pStyle w:val="FootnoteText"/>
        <w:ind w:left="567" w:hanging="567"/>
        <w:rPr>
          <w:sz w:val="24"/>
          <w:lang w:val="sk-SK"/>
        </w:rPr>
      </w:pPr>
      <w:r w:rsidRPr="00733EE9">
        <w:rPr>
          <w:rStyle w:val="FootnoteReference"/>
          <w:sz w:val="24"/>
          <w:lang w:val="sk-SK"/>
        </w:rPr>
        <w:footnoteRef/>
      </w:r>
      <w:r w:rsidR="00733EE9" w:rsidRPr="00733EE9">
        <w:rPr>
          <w:sz w:val="24"/>
          <w:lang w:val="sk-SK"/>
        </w:rPr>
        <w:t xml:space="preserve"> </w:t>
      </w:r>
      <w:r w:rsidR="00733EE9" w:rsidRPr="00733EE9">
        <w:rPr>
          <w:sz w:val="24"/>
          <w:lang w:val="sk-SK"/>
        </w:rPr>
        <w:tab/>
      </w:r>
      <w:r w:rsidRPr="00733EE9">
        <w:rPr>
          <w:sz w:val="24"/>
          <w:lang w:val="sk-SK"/>
        </w:rPr>
        <w:t>Uznesenie Európskeho parlamentu zo 16. februára 2022 o posilnení Európy v boji proti rakovine – smerom ku komplexnej a koordinovanej stratégii (Ú. v. EÚ C 342, 6.9.2022, s. 109).</w:t>
      </w:r>
    </w:p>
  </w:footnote>
  <w:footnote w:id="5">
    <w:p w14:paraId="332F2782" w14:textId="0B9298D6" w:rsidR="00A330C1" w:rsidRPr="00733EE9" w:rsidRDefault="00A330C1" w:rsidP="00733EE9">
      <w:pPr>
        <w:pStyle w:val="FootnoteText"/>
        <w:ind w:left="567" w:hanging="567"/>
        <w:rPr>
          <w:sz w:val="24"/>
          <w:lang w:val="sk-SK"/>
        </w:rPr>
      </w:pPr>
      <w:r w:rsidRPr="00733EE9">
        <w:rPr>
          <w:rStyle w:val="FootnoteReference"/>
          <w:sz w:val="24"/>
          <w:lang w:val="sk-SK"/>
        </w:rPr>
        <w:footnoteRef/>
      </w:r>
      <w:r w:rsidR="00733EE9" w:rsidRPr="00733EE9">
        <w:rPr>
          <w:sz w:val="24"/>
          <w:lang w:val="sk-SK"/>
        </w:rPr>
        <w:t xml:space="preserve"> </w:t>
      </w:r>
      <w:r w:rsidR="00733EE9" w:rsidRPr="00733EE9">
        <w:rPr>
          <w:sz w:val="24"/>
          <w:lang w:val="sk-SK"/>
        </w:rPr>
        <w:tab/>
      </w:r>
      <w:r w:rsidRPr="00733EE9">
        <w:rPr>
          <w:sz w:val="24"/>
          <w:lang w:val="sk-SK"/>
        </w:rPr>
        <w:t xml:space="preserve">Smernica Európskeho parlamentu a Rady 2011/24/EÚ z 9. marca 2011 o uplatňovaní práv pacientov pri cezhraničnej zdravotnej starostlivosti (Ú. v. EÚ L 88, 4.4.2011, s. </w:t>
      </w:r>
      <w:r w:rsidRPr="00733EE9">
        <w:rPr>
          <w:sz w:val="24"/>
          <w:lang w:val="sk-SK"/>
        </w:rPr>
        <w:t xml:space="preserve">45, ELI: </w:t>
      </w:r>
      <w:hyperlink r:id="rId2" w:history="1">
        <w:r w:rsidRPr="00733EE9">
          <w:rPr>
            <w:rStyle w:val="Hyperlink"/>
            <w:sz w:val="24"/>
            <w:lang w:val="sk-SK"/>
          </w:rPr>
          <w:t>http://data.europa.eu/eli/dir/2011/24/oj</w:t>
        </w:r>
      </w:hyperlink>
      <w:r w:rsidRPr="00733EE9">
        <w:rPr>
          <w:sz w:val="24"/>
          <w:lang w:val="sk-SK"/>
        </w:rPr>
        <w:t>).</w:t>
      </w:r>
    </w:p>
  </w:footnote>
  <w:footnote w:id="6">
    <w:p w14:paraId="330B81CA" w14:textId="5755859C" w:rsidR="00A330C1" w:rsidRPr="00733EE9" w:rsidRDefault="00A330C1" w:rsidP="00733EE9">
      <w:pPr>
        <w:pStyle w:val="FootnoteText"/>
        <w:ind w:left="567" w:hanging="567"/>
        <w:rPr>
          <w:sz w:val="24"/>
          <w:lang w:val="sk-SK"/>
        </w:rPr>
      </w:pPr>
      <w:r w:rsidRPr="00733EE9">
        <w:rPr>
          <w:rStyle w:val="FootnoteReference"/>
          <w:sz w:val="24"/>
          <w:lang w:val="sk-SK"/>
        </w:rPr>
        <w:footnoteRef/>
      </w:r>
      <w:r w:rsidR="00733EE9" w:rsidRPr="00733EE9">
        <w:rPr>
          <w:sz w:val="24"/>
          <w:lang w:val="sk-SK"/>
        </w:rPr>
        <w:t xml:space="preserve"> </w:t>
      </w:r>
      <w:r w:rsidR="00733EE9" w:rsidRPr="00733EE9">
        <w:rPr>
          <w:sz w:val="24"/>
          <w:lang w:val="sk-SK"/>
        </w:rPr>
        <w:tab/>
      </w:r>
      <w:r w:rsidRPr="00733EE9">
        <w:rPr>
          <w:sz w:val="24"/>
          <w:lang w:val="sk-SK"/>
        </w:rPr>
        <w:t>Odporúčanie Rady z 21. júna 2024 o onkologických ochoreniach, ktorým sa dá predchádzať očkovaním (Ú. v. </w:t>
      </w:r>
      <w:r w:rsidRPr="00733EE9">
        <w:rPr>
          <w:sz w:val="24"/>
          <w:lang w:val="sk-SK"/>
        </w:rPr>
        <w:t xml:space="preserve">EÚ C, C/2024/4259, 28.6.2024, ELI: </w:t>
      </w:r>
      <w:hyperlink r:id="rId3" w:history="1">
        <w:r w:rsidRPr="00733EE9">
          <w:rPr>
            <w:rStyle w:val="Hyperlink"/>
            <w:sz w:val="24"/>
            <w:lang w:val="sk-SK"/>
          </w:rPr>
          <w:t>http://data.europa.eu/eli/C/2024/4259/oj</w:t>
        </w:r>
      </w:hyperlink>
      <w:r w:rsidRPr="00733EE9">
        <w:rPr>
          <w:sz w:val="24"/>
          <w:lang w:val="sk-SK"/>
        </w:rPr>
        <w:t>).</w:t>
      </w:r>
    </w:p>
  </w:footnote>
  <w:footnote w:id="7">
    <w:p w14:paraId="5B7EFADF" w14:textId="7A05D6F5" w:rsidR="00A330C1" w:rsidRPr="00733EE9" w:rsidRDefault="00A330C1" w:rsidP="00733EE9">
      <w:pPr>
        <w:pStyle w:val="FootnoteText"/>
        <w:ind w:left="567" w:hanging="567"/>
        <w:rPr>
          <w:sz w:val="24"/>
          <w:lang w:val="sk-SK"/>
        </w:rPr>
      </w:pPr>
      <w:r w:rsidRPr="00733EE9">
        <w:rPr>
          <w:rStyle w:val="FootnoteReference"/>
          <w:sz w:val="24"/>
          <w:lang w:val="sk-SK"/>
        </w:rPr>
        <w:footnoteRef/>
      </w:r>
      <w:r w:rsidR="00733EE9" w:rsidRPr="00733EE9">
        <w:rPr>
          <w:sz w:val="24"/>
          <w:lang w:val="sk-SK"/>
        </w:rPr>
        <w:t xml:space="preserve"> </w:t>
      </w:r>
      <w:r w:rsidR="00733EE9" w:rsidRPr="00733EE9">
        <w:rPr>
          <w:sz w:val="24"/>
          <w:lang w:val="sk-SK"/>
        </w:rPr>
        <w:tab/>
      </w:r>
      <w:r w:rsidRPr="00733EE9">
        <w:rPr>
          <w:sz w:val="24"/>
          <w:lang w:val="sk-SK"/>
        </w:rPr>
        <w:t xml:space="preserve">Smernica Európskeho parlamentu a Rady (EÚ) 2023/2225 z 18. októbra 2023 o zmluvách o spotrebiteľskom úvere a o zrušení smernice 2008/48/ES (Ú. v. </w:t>
      </w:r>
      <w:r w:rsidRPr="00733EE9">
        <w:rPr>
          <w:sz w:val="24"/>
          <w:lang w:val="sk-SK"/>
        </w:rPr>
        <w:t xml:space="preserve">EÚ L, 2023/2225, 30.10.2023, ELI: </w:t>
      </w:r>
      <w:hyperlink r:id="rId4" w:history="1">
        <w:r w:rsidRPr="00733EE9">
          <w:rPr>
            <w:rStyle w:val="Hyperlink"/>
            <w:sz w:val="24"/>
            <w:lang w:val="sk-SK"/>
          </w:rPr>
          <w:t>http://data.europa.eu/eli/dir/2023/2225/oj</w:t>
        </w:r>
      </w:hyperlink>
      <w:r w:rsidRPr="00733EE9">
        <w:rPr>
          <w:sz w:val="24"/>
          <w:lang w:val="sk-SK"/>
        </w:rPr>
        <w:t>)</w:t>
      </w:r>
      <w:r w:rsidR="009D0E64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D870D" w14:textId="77777777" w:rsidR="00064002" w:rsidRPr="00733E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D60E9" w14:textId="77777777" w:rsidR="00064002" w:rsidRPr="00733E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0D126" w14:textId="77777777" w:rsidR="00064002" w:rsidRPr="00733E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5360780">
    <w:abstractNumId w:val="9"/>
  </w:num>
  <w:num w:numId="2" w16cid:durableId="1619028421">
    <w:abstractNumId w:val="9"/>
  </w:num>
  <w:num w:numId="3" w16cid:durableId="1151140614">
    <w:abstractNumId w:val="7"/>
  </w:num>
  <w:num w:numId="4" w16cid:durableId="1794520743">
    <w:abstractNumId w:val="7"/>
  </w:num>
  <w:num w:numId="5" w16cid:durableId="1154224057">
    <w:abstractNumId w:val="6"/>
  </w:num>
  <w:num w:numId="6" w16cid:durableId="1027489262">
    <w:abstractNumId w:val="6"/>
  </w:num>
  <w:num w:numId="7" w16cid:durableId="829715542">
    <w:abstractNumId w:val="5"/>
  </w:num>
  <w:num w:numId="8" w16cid:durableId="2047899893">
    <w:abstractNumId w:val="5"/>
  </w:num>
  <w:num w:numId="9" w16cid:durableId="785999675">
    <w:abstractNumId w:val="4"/>
  </w:num>
  <w:num w:numId="10" w16cid:durableId="1345739837">
    <w:abstractNumId w:val="4"/>
  </w:num>
  <w:num w:numId="11" w16cid:durableId="2037462250">
    <w:abstractNumId w:val="8"/>
  </w:num>
  <w:num w:numId="12" w16cid:durableId="1423843290">
    <w:abstractNumId w:val="8"/>
  </w:num>
  <w:num w:numId="13" w16cid:durableId="1460799012">
    <w:abstractNumId w:val="3"/>
  </w:num>
  <w:num w:numId="14" w16cid:durableId="318853355">
    <w:abstractNumId w:val="3"/>
  </w:num>
  <w:num w:numId="15" w16cid:durableId="963195875">
    <w:abstractNumId w:val="2"/>
  </w:num>
  <w:num w:numId="16" w16cid:durableId="2001929206">
    <w:abstractNumId w:val="2"/>
  </w:num>
  <w:num w:numId="17" w16cid:durableId="35593354">
    <w:abstractNumId w:val="1"/>
  </w:num>
  <w:num w:numId="18" w16cid:durableId="1958371374">
    <w:abstractNumId w:val="1"/>
  </w:num>
  <w:num w:numId="19" w16cid:durableId="1058940390">
    <w:abstractNumId w:val="0"/>
  </w:num>
  <w:num w:numId="20" w16cid:durableId="1124153695">
    <w:abstractNumId w:val="0"/>
  </w:num>
  <w:num w:numId="21" w16cid:durableId="1536039345">
    <w:abstractNumId w:val="9"/>
  </w:num>
  <w:num w:numId="22" w16cid:durableId="639306794">
    <w:abstractNumId w:val="7"/>
  </w:num>
  <w:num w:numId="23" w16cid:durableId="240675718">
    <w:abstractNumId w:val="6"/>
  </w:num>
  <w:num w:numId="24" w16cid:durableId="1626619612">
    <w:abstractNumId w:val="5"/>
  </w:num>
  <w:num w:numId="25" w16cid:durableId="2006590875">
    <w:abstractNumId w:val="4"/>
  </w:num>
  <w:num w:numId="26" w16cid:durableId="997420483">
    <w:abstractNumId w:val="8"/>
  </w:num>
  <w:num w:numId="27" w16cid:durableId="693267252">
    <w:abstractNumId w:val="3"/>
  </w:num>
  <w:num w:numId="28" w16cid:durableId="440301296">
    <w:abstractNumId w:val="2"/>
  </w:num>
  <w:num w:numId="29" w16cid:durableId="141165267">
    <w:abstractNumId w:val="1"/>
  </w:num>
  <w:num w:numId="30" w16cid:durableId="917709904">
    <w:abstractNumId w:val="0"/>
  </w:num>
  <w:num w:numId="31" w16cid:durableId="709457241">
    <w:abstractNumId w:val="9"/>
  </w:num>
  <w:num w:numId="32" w16cid:durableId="543447790">
    <w:abstractNumId w:val="7"/>
  </w:num>
  <w:num w:numId="33" w16cid:durableId="1016544980">
    <w:abstractNumId w:val="6"/>
  </w:num>
  <w:num w:numId="34" w16cid:durableId="634411375">
    <w:abstractNumId w:val="5"/>
  </w:num>
  <w:num w:numId="35" w16cid:durableId="1202472206">
    <w:abstractNumId w:val="4"/>
  </w:num>
  <w:num w:numId="36" w16cid:durableId="1762482229">
    <w:abstractNumId w:val="8"/>
  </w:num>
  <w:num w:numId="37" w16cid:durableId="276908857">
    <w:abstractNumId w:val="3"/>
  </w:num>
  <w:num w:numId="38" w16cid:durableId="872960489">
    <w:abstractNumId w:val="2"/>
  </w:num>
  <w:num w:numId="39" w16cid:durableId="930508202">
    <w:abstractNumId w:val="1"/>
  </w:num>
  <w:num w:numId="40" w16cid:durableId="1082262926">
    <w:abstractNumId w:val="0"/>
  </w:num>
  <w:num w:numId="41" w16cid:durableId="1699358357">
    <w:abstractNumId w:val="10"/>
  </w:num>
  <w:num w:numId="42" w16cid:durableId="5333896">
    <w:abstractNumId w:val="10"/>
  </w:num>
  <w:num w:numId="43" w16cid:durableId="314064951">
    <w:abstractNumId w:val="10"/>
  </w:num>
  <w:num w:numId="44" w16cid:durableId="3063252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2, 0113, 0142, 0126, 0135 a 0141/2026"/>
    <w:docVar w:name="dvlangue" w:val="SK"/>
    <w:docVar w:name="dvnumam" w:val="0"/>
    <w:docVar w:name="dvpe" w:val="782.075"/>
    <w:docVar w:name="dvtitre" w:val="Uznesenie Európskeho parlamentu z/zo xx. xxx 2026 o Svetovom dni boja proti rakovine(2026/2586(RSP))"/>
  </w:docVars>
  <w:rsids>
    <w:rsidRoot w:val="0070762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647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7625"/>
    <w:rsid w:val="00731ADD"/>
    <w:rsid w:val="00733EE9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E41"/>
    <w:rsid w:val="00930C23"/>
    <w:rsid w:val="0093193B"/>
    <w:rsid w:val="009509D8"/>
    <w:rsid w:val="00950B64"/>
    <w:rsid w:val="00981893"/>
    <w:rsid w:val="009D0E64"/>
    <w:rsid w:val="00A1687D"/>
    <w:rsid w:val="00A330C1"/>
    <w:rsid w:val="00A43E52"/>
    <w:rsid w:val="00A4678D"/>
    <w:rsid w:val="00A67EE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1ED77"/>
  <w15:chartTrackingRefBased/>
  <w15:docId w15:val="{E83FEAE9-9C0E-4295-88A4-DE90F205D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330C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330C1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330C1"/>
    <w:rPr>
      <w:sz w:val="24"/>
      <w:lang w:val="sk-SK"/>
    </w:rPr>
  </w:style>
  <w:style w:type="character" w:styleId="Hyperlink">
    <w:name w:val="Hyperlink"/>
    <w:basedOn w:val="DefaultParagraphFont"/>
    <w:unhideWhenUsed/>
    <w:rsid w:val="00A330C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D0E64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4259/oj" TargetMode="External"/><Relationship Id="rId2" Type="http://schemas.openxmlformats.org/officeDocument/2006/relationships/hyperlink" Target="http://data.europa.eu/eli/dir/2011/24/oj" TargetMode="External"/><Relationship Id="rId1" Type="http://schemas.openxmlformats.org/officeDocument/2006/relationships/hyperlink" Target="https://doi.org/10.1787/060869fe-en" TargetMode="External"/><Relationship Id="rId4" Type="http://schemas.openxmlformats.org/officeDocument/2006/relationships/hyperlink" Target="http://data.europa.eu/eli/dir/2023/22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1650</Words>
  <Characters>10374</Characters>
  <Application>Microsoft Office Word</Application>
  <DocSecurity>0</DocSecurity>
  <Lines>314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2026-02-12T10:49:00Z</dcterms:created>
  <dcterms:modified xsi:type="dcterms:W3CDTF">2026-02-12T10:49:00Z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B10-0112, 0113, 0142, 0126, 0135 a 0141/2026</vt:lpwstr>
  </property>
  <property fmtid="{D5CDD505-2E9C-101B-9397-08002B2CF9AE}" pid="4" name="&lt;Type&gt;">
    <vt:lpwstr>RR</vt:lpwstr>
  </property>
</Properties>
</file>