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5117" w14:paraId="660A08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72B86D" w14:textId="77777777" w:rsidR="00751A4A" w:rsidRPr="00085117" w:rsidRDefault="00642A97" w:rsidP="0010095E">
            <w:pPr>
              <w:pStyle w:val="EPName"/>
            </w:pPr>
            <w:r w:rsidRPr="00085117">
              <w:t>Evropský parlament</w:t>
            </w:r>
          </w:p>
          <w:p w14:paraId="3E19DB3B" w14:textId="77777777" w:rsidR="00751A4A" w:rsidRPr="000851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5117">
              <w:t>2024</w:t>
            </w:r>
            <w:r w:rsidR="00817416" w:rsidRPr="00085117">
              <w:t>-202</w:t>
            </w:r>
            <w:r w:rsidRPr="00085117">
              <w:t>9</w:t>
            </w:r>
          </w:p>
        </w:tc>
        <w:tc>
          <w:tcPr>
            <w:tcW w:w="2268" w:type="dxa"/>
            <w:shd w:val="clear" w:color="auto" w:fill="auto"/>
          </w:tcPr>
          <w:p w14:paraId="00FC31AA" w14:textId="77777777" w:rsidR="00751A4A" w:rsidRPr="00085117" w:rsidRDefault="00187494" w:rsidP="0010095E">
            <w:pPr>
              <w:pStyle w:val="EPLogo"/>
            </w:pPr>
            <w:r w:rsidRPr="00085117">
              <w:rPr>
                <w:noProof/>
                <w:lang w:eastAsia="ja-JP"/>
              </w:rPr>
              <w:drawing>
                <wp:inline distT="0" distB="0" distL="0" distR="0" wp14:anchorId="20F25E30" wp14:editId="0D142A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EE0929" w14:textId="77777777" w:rsidR="00D058B8" w:rsidRPr="00085117" w:rsidRDefault="00D058B8" w:rsidP="004C5D52">
      <w:pPr>
        <w:pStyle w:val="LineTop"/>
      </w:pPr>
    </w:p>
    <w:p w14:paraId="2BE220E5" w14:textId="77777777" w:rsidR="00680577" w:rsidRPr="00085117" w:rsidRDefault="00642A97" w:rsidP="00680577">
      <w:pPr>
        <w:pStyle w:val="EPBodyTA1"/>
      </w:pPr>
      <w:r w:rsidRPr="00085117">
        <w:t>PŘIJATÉ TEXTY</w:t>
      </w:r>
    </w:p>
    <w:p w14:paraId="1D14B11C" w14:textId="77777777" w:rsidR="00D058B8" w:rsidRPr="00085117" w:rsidRDefault="00D058B8" w:rsidP="00D058B8">
      <w:pPr>
        <w:pStyle w:val="LineBottom"/>
      </w:pPr>
    </w:p>
    <w:p w14:paraId="3DDB3053" w14:textId="3161F5F0" w:rsidR="00642A97" w:rsidRPr="00085117" w:rsidRDefault="00642A97" w:rsidP="00642A97">
      <w:pPr>
        <w:pStyle w:val="ATHeading1"/>
      </w:pPr>
      <w:bookmarkStart w:id="0" w:name="TANumber"/>
      <w:r w:rsidRPr="00085117">
        <w:t>P10_</w:t>
      </w:r>
      <w:proofErr w:type="gramStart"/>
      <w:r w:rsidRPr="00085117">
        <w:t>TA(</w:t>
      </w:r>
      <w:proofErr w:type="gramEnd"/>
      <w:r w:rsidRPr="00085117">
        <w:t>2026)00</w:t>
      </w:r>
      <w:r w:rsidR="00D73E40">
        <w:t>56</w:t>
      </w:r>
      <w:bookmarkEnd w:id="0"/>
    </w:p>
    <w:p w14:paraId="1CD9BFFD" w14:textId="77777777" w:rsidR="00642A97" w:rsidRPr="00085117" w:rsidRDefault="00642A97" w:rsidP="00642A97">
      <w:pPr>
        <w:pStyle w:val="ATHeading2"/>
      </w:pPr>
      <w:bookmarkStart w:id="1" w:name="title"/>
      <w:r w:rsidRPr="00085117">
        <w:t>Čtyři roky útočné války Ruska proti Ukrajině a způsob, jak může Evropa přispět ke spravedlivému míru a trvalé bezpečnosti na Ukrajině</w:t>
      </w:r>
      <w:bookmarkEnd w:id="1"/>
    </w:p>
    <w:p w14:paraId="68A70C99" w14:textId="28F0954C" w:rsidR="00642A97" w:rsidRPr="00085117" w:rsidRDefault="00642A97" w:rsidP="00642A97">
      <w:pPr>
        <w:rPr>
          <w:i/>
          <w:vanish/>
        </w:rPr>
      </w:pPr>
      <w:r w:rsidRPr="00085117">
        <w:rPr>
          <w:i/>
        </w:rPr>
        <w:fldChar w:fldCharType="begin"/>
      </w:r>
      <w:r w:rsidRPr="00085117">
        <w:rPr>
          <w:i/>
        </w:rPr>
        <w:instrText xml:space="preserve"> TC"(</w:instrText>
      </w:r>
      <w:bookmarkStart w:id="2" w:name="DocNumber"/>
      <w:r w:rsidRPr="00085117">
        <w:rPr>
          <w:i/>
        </w:rPr>
        <w:instrText>B10-0143</w:instrText>
      </w:r>
      <w:r w:rsidR="00C212F6">
        <w:rPr>
          <w:i/>
        </w:rPr>
        <w:instrText>, 0144, 0145, 0146 a 0147</w:instrText>
      </w:r>
      <w:r w:rsidRPr="00085117">
        <w:rPr>
          <w:i/>
        </w:rPr>
        <w:instrText>/2026</w:instrText>
      </w:r>
      <w:bookmarkEnd w:id="2"/>
      <w:r w:rsidRPr="00085117">
        <w:rPr>
          <w:i/>
        </w:rPr>
        <w:instrText xml:space="preserve">)"\l3 \n&gt; \* MERGEFORMAT </w:instrText>
      </w:r>
      <w:r w:rsidRPr="00085117">
        <w:rPr>
          <w:i/>
        </w:rPr>
        <w:fldChar w:fldCharType="end"/>
      </w:r>
    </w:p>
    <w:p w14:paraId="6B9B328E" w14:textId="77777777" w:rsidR="00642A97" w:rsidRPr="00085117" w:rsidRDefault="00642A97" w:rsidP="00642A97">
      <w:pPr>
        <w:rPr>
          <w:vanish/>
        </w:rPr>
      </w:pPr>
      <w:bookmarkStart w:id="3" w:name="PE"/>
      <w:r w:rsidRPr="00085117">
        <w:rPr>
          <w:vanish/>
        </w:rPr>
        <w:t>PE782.958</w:t>
      </w:r>
      <w:bookmarkEnd w:id="3"/>
    </w:p>
    <w:p w14:paraId="3BEF5DC8" w14:textId="77777777" w:rsidR="00642A97" w:rsidRPr="00085117" w:rsidRDefault="00642A97" w:rsidP="00642A97">
      <w:pPr>
        <w:pStyle w:val="ATHeading3"/>
      </w:pPr>
      <w:bookmarkStart w:id="4" w:name="Sujet"/>
      <w:r w:rsidRPr="00085117">
        <w:t>Usnesení Evropského parlamentu ze dne 24. února 2026 o čtyřech letech útočné války Ruska proti Ukrajině a způsobu, jak může Evropa přispět ke spravedlivému míru a trvalé bezpečnosti na Ukrajině</w:t>
      </w:r>
      <w:bookmarkEnd w:id="4"/>
      <w:r w:rsidRPr="00085117">
        <w:t xml:space="preserve"> </w:t>
      </w:r>
      <w:bookmarkStart w:id="5" w:name="References"/>
      <w:r w:rsidRPr="00085117">
        <w:t>(2026/2599(RSP))</w:t>
      </w:r>
      <w:bookmarkEnd w:id="5"/>
    </w:p>
    <w:p w14:paraId="4A26D5E2" w14:textId="77777777" w:rsidR="00AF1B01" w:rsidRPr="00085117" w:rsidRDefault="00AF1B01" w:rsidP="00AF1B01">
      <w:pPr>
        <w:pStyle w:val="EPComma"/>
      </w:pPr>
      <w:bookmarkStart w:id="6" w:name="TextBodyBegin"/>
      <w:bookmarkEnd w:id="6"/>
      <w:r w:rsidRPr="00085117">
        <w:rPr>
          <w:i/>
        </w:rPr>
        <w:t>Evropský parlament</w:t>
      </w:r>
      <w:r w:rsidRPr="00085117">
        <w:t>,</w:t>
      </w:r>
    </w:p>
    <w:p w14:paraId="4EE81126" w14:textId="77777777" w:rsidR="00AF1B01" w:rsidRPr="00085117" w:rsidRDefault="00AF1B01" w:rsidP="00D51F71">
      <w:pPr>
        <w:pStyle w:val="NormalHanging12a"/>
      </w:pPr>
      <w:r w:rsidRPr="00085117">
        <w:t>–</w:t>
      </w:r>
      <w:r w:rsidRPr="00085117">
        <w:tab/>
        <w:t>s ohledem na svá předchozí usnesení o Ukrajině a Rusku,</w:t>
      </w:r>
    </w:p>
    <w:p w14:paraId="37E6B4AC" w14:textId="77777777" w:rsidR="00AF1B01" w:rsidRPr="00085117" w:rsidRDefault="00AF1B01" w:rsidP="00D51F71">
      <w:pPr>
        <w:pStyle w:val="NormalHanging12a"/>
      </w:pPr>
      <w:r w:rsidRPr="00085117">
        <w:t>–</w:t>
      </w:r>
      <w:r w:rsidRPr="00085117">
        <w:tab/>
        <w:t>s ohledem na čl. 167 odst. 2 a čl. 136 odst. 4 jednacího řádu,</w:t>
      </w:r>
    </w:p>
    <w:p w14:paraId="28AE0A78" w14:textId="77777777" w:rsidR="00AF1B01" w:rsidRPr="00085117" w:rsidRDefault="00AF1B01" w:rsidP="00D51F71">
      <w:pPr>
        <w:pStyle w:val="NormalHanging12a"/>
      </w:pPr>
      <w:r w:rsidRPr="00085117">
        <w:t>A.</w:t>
      </w:r>
      <w:r w:rsidRPr="00085117">
        <w:tab/>
        <w:t>vzhledem k tomu, že před čtyřmi lety, dne 24. února 2022, zahájila Ruská federace brutální, nevyprovokovanou, neoprávněnou a protiprávní útočnou válku proti Ukrajině; vzhledem k tomu, že agrese Ruska proti Ukrajině začala v roce 2014 obsazením částí Donbasu a anexí Krymu;</w:t>
      </w:r>
    </w:p>
    <w:p w14:paraId="37D46B38" w14:textId="620EA040" w:rsidR="00AF1B01" w:rsidRPr="00085117" w:rsidRDefault="00AF1B01" w:rsidP="00D51F71">
      <w:pPr>
        <w:pStyle w:val="NormalHanging12a"/>
      </w:pPr>
      <w:r w:rsidRPr="00085117">
        <w:t>B.</w:t>
      </w:r>
      <w:r w:rsidRPr="00085117">
        <w:tab/>
        <w:t>vzhledem k tomu, že Rusko navzdory rozsáhlému mezinárodnímu odsouzení a bezprecedentním sankcím stupňuje své válečné úsilí prostřednictvím cílených útoků na kritickou energetickou infrastrukturu, obytné budovy a civilní infrastrukturu; vzhledem k tomu, že miliony lidí na Ukrajině se snaží přežít mrazivé zimní teploty s omezenými dodávkami elektřiny, tepla a tekoucí vody; vzhledem k tomu, že škody na</w:t>
      </w:r>
      <w:r w:rsidR="0053593D" w:rsidRPr="00085117">
        <w:t> </w:t>
      </w:r>
      <w:r w:rsidRPr="00085117">
        <w:t>životním prostředí, které Rusko v posledních čtyřech letech způsobilo, mají rovněž ničivé důsledky pro ukrajinské přírodní zdroje a kritické ekosystémy a pro zdraví, živobytí a bezpečnost obyvatel Ukrajiny;</w:t>
      </w:r>
    </w:p>
    <w:p w14:paraId="6B222413" w14:textId="77777777" w:rsidR="00AF1B01" w:rsidRPr="00085117" w:rsidRDefault="00AF1B01" w:rsidP="00D51F71">
      <w:pPr>
        <w:pStyle w:val="NormalHanging12a"/>
      </w:pPr>
      <w:r w:rsidRPr="00085117">
        <w:t>C.</w:t>
      </w:r>
      <w:r w:rsidRPr="00085117">
        <w:tab/>
        <w:t>vzhledem k tomu, že Írán, Severní Korea a Bělorusko dodávají Rusku značné množství zbraní a munice a že Bělorusko umožňuje Rusku útočit na Ukrajinu ze svého území, což podle mezinárodního práva představuje akt agrese; vzhledem k tomu, že Čína se prostřednictvím své hospodářské podpory a podpory obranného průmyslu stala klíčovým aktérem umožňujícím ruské válečné úsilí; vzhledem k tomu, že na straně ruských jednotek na Ukrajině bojují tisíce kubánských a dalších cizích státních příslušníků; vzhledem k tomu, že spolu s žoldnéři a dobrovolnými rekruty za Rusko údajně bojuje více než 1 400 občanů z 36 afrických zemí;</w:t>
      </w:r>
    </w:p>
    <w:p w14:paraId="17CED9DA" w14:textId="77777777" w:rsidR="00AF1B01" w:rsidRPr="00085117" w:rsidRDefault="00AF1B01" w:rsidP="00D51F71">
      <w:pPr>
        <w:pStyle w:val="NormalHanging12a"/>
      </w:pPr>
      <w:r w:rsidRPr="00085117">
        <w:t>D.</w:t>
      </w:r>
      <w:r w:rsidRPr="00085117">
        <w:tab/>
        <w:t xml:space="preserve">vzhledem k tomu, že Wagnerova skupina a její nástupnické subjekty se systematicky </w:t>
      </w:r>
      <w:r w:rsidRPr="00085117">
        <w:lastRenderedPageBreak/>
        <w:t>dopouštějí mučení a mimosoudních poprav, používají sexuální násilí jako válečnou zbraň a po celé Ukrajině provádějí destabilizační operace; vzhledem k tomu, že sankce EU vůči jednotlivcům a subjektům spojeným s Wagnerovou skupinou jsou i nadále nedostatečné pro stíhání náborářů, bojovníků a podporovatelů, kterým podle stávajících opatření nehrozí žádné trestní sankce;</w:t>
      </w:r>
    </w:p>
    <w:p w14:paraId="758837DD" w14:textId="77777777" w:rsidR="00AF1B01" w:rsidRPr="00085117" w:rsidRDefault="00AF1B01" w:rsidP="00D51F71">
      <w:pPr>
        <w:pStyle w:val="NormalHanging12a"/>
      </w:pPr>
      <w:r w:rsidRPr="00085117">
        <w:t>E.</w:t>
      </w:r>
      <w:r w:rsidRPr="00085117">
        <w:tab/>
        <w:t>vzhledem k tomu, že Ukrajina a mezinárodní orgány zdokumentovaly stovky poprav ukrajinských válečných zajatců ruskými silami; vzhledem k tomu, že tyto popravy představují závažné porušení mezinárodního práva a lidských práv a podle Ženevských úmluv a Římského statutu Mezinárodního trestního soudu jsou výslovně uznány za válečné zločiny;</w:t>
      </w:r>
    </w:p>
    <w:p w14:paraId="05D417EB" w14:textId="77777777" w:rsidR="00AF1B01" w:rsidRPr="00085117" w:rsidRDefault="00AF1B01" w:rsidP="00D51F71">
      <w:pPr>
        <w:pStyle w:val="NormalHanging12a"/>
      </w:pPr>
      <w:r w:rsidRPr="00085117">
        <w:t>F.</w:t>
      </w:r>
      <w:r w:rsidRPr="00085117">
        <w:tab/>
        <w:t>vzhledem k tomu, že Rusko se v celé EU opakovaně dopouští aktů hybridní války, mimo jiné prostřednictvím kybernetických útoků, dezinformačních kampaní a vměšování do voleb, jakož i vojenských provokací, včetně narušování vzdušného prostoru stíhacími letouny a útočnými drony s dlouhým doletem;</w:t>
      </w:r>
    </w:p>
    <w:p w14:paraId="34A644F3" w14:textId="77777777" w:rsidR="00AF1B01" w:rsidRPr="00085117" w:rsidRDefault="00AF1B01" w:rsidP="00D51F71">
      <w:pPr>
        <w:pStyle w:val="NormalHanging12a"/>
        <w:rPr>
          <w:bCs/>
        </w:rPr>
      </w:pPr>
      <w:r w:rsidRPr="00085117">
        <w:t>G.</w:t>
      </w:r>
      <w:r w:rsidRPr="00085117">
        <w:tab/>
        <w:t>vzhledem k tomu, že ruská útočná válka proti Ukrajině vážně narušuje evropskou a celosvětovou bezpečnost a je součástí širší imperialistické a expanzionistické agendy; vzhledem k tomu, že mírová dohoda bude muset být podložena věrohodnými a pevnými bezpečnostními zárukami, aby bylo možné zabránit jakékoli další ruské agresi a okamžitě proti ní zakročit;</w:t>
      </w:r>
    </w:p>
    <w:p w14:paraId="69AFE90E" w14:textId="77777777" w:rsidR="00AF1B01" w:rsidRPr="00085117" w:rsidRDefault="00AF1B01" w:rsidP="00D51F71">
      <w:pPr>
        <w:pStyle w:val="NormalHanging12a"/>
      </w:pPr>
      <w:r w:rsidRPr="00085117">
        <w:t>H.</w:t>
      </w:r>
      <w:r w:rsidRPr="00085117">
        <w:tab/>
        <w:t>vzhledem k tomu, že nejméně 20 000, a možná až 35 000 ukrajinských dětí bylo násilně deportováno do Ruska a Běloruska nebo je zadržováno na dočasně okupovaných ukrajinských územích;</w:t>
      </w:r>
    </w:p>
    <w:p w14:paraId="1C8CA291" w14:textId="181C3CC9" w:rsidR="00AF1B01" w:rsidRPr="00085117" w:rsidRDefault="00AF1B01" w:rsidP="00D51F71">
      <w:pPr>
        <w:pStyle w:val="NormalHanging12a"/>
      </w:pPr>
      <w:r w:rsidRPr="00085117">
        <w:t>I.</w:t>
      </w:r>
      <w:r w:rsidRPr="00085117">
        <w:tab/>
        <w:t>vzhledem k tomu, že vojenská policie ruského ministerstva obrany, Federální bezpečnostní služba a Federální vězeňská služba zadržují neurčený počet ukrajinských válečných zajatců a civilistů v izolaci (</w:t>
      </w:r>
      <w:proofErr w:type="spellStart"/>
      <w:r w:rsidRPr="00085117">
        <w:t>incommunicado</w:t>
      </w:r>
      <w:proofErr w:type="spellEnd"/>
      <w:r w:rsidRPr="00085117">
        <w:t>), přičemž ukrajinské lidskoprávní organizace odhadují, že o svobodu bylo protiprávně připraveno až 16</w:t>
      </w:r>
      <w:r w:rsidR="0053593D" w:rsidRPr="00085117">
        <w:t> </w:t>
      </w:r>
      <w:r w:rsidRPr="00085117">
        <w:t>000</w:t>
      </w:r>
      <w:r w:rsidR="0053593D" w:rsidRPr="00085117">
        <w:t> </w:t>
      </w:r>
      <w:r w:rsidRPr="00085117">
        <w:t>ukrajinských civilistů;</w:t>
      </w:r>
    </w:p>
    <w:p w14:paraId="5A455E67" w14:textId="77777777" w:rsidR="00AF1B01" w:rsidRPr="00085117" w:rsidRDefault="00AF1B01" w:rsidP="00D51F71">
      <w:pPr>
        <w:pStyle w:val="NormalHanging12a"/>
      </w:pPr>
      <w:r w:rsidRPr="00085117">
        <w:t>J.</w:t>
      </w:r>
      <w:r w:rsidRPr="00085117">
        <w:tab/>
        <w:t>vzhledem k tomu, že některé členské státy Rusku stále každý měsíc platí za fosilní paliva, přičemž jen v prosinci 2025 za ruská fosilní paliva vydaly 1,3 miliardy EUR; vzhledem k tomu, že EU je i nadále největším odběratelem ruského zkapalněného zemního plynu (LNG) a potrubního plynu, přičemž odebírá téměř polovinu (49 %) celkového ruského vývozu LNG a 35 % ruského vývozu potrubního plynu;</w:t>
      </w:r>
    </w:p>
    <w:p w14:paraId="32438B6E" w14:textId="77777777" w:rsidR="00AF1B01" w:rsidRPr="00085117" w:rsidRDefault="00AF1B01" w:rsidP="00D51F71">
      <w:pPr>
        <w:pStyle w:val="NormalHanging12a"/>
      </w:pPr>
      <w:r w:rsidRPr="00085117">
        <w:t>1.</w:t>
      </w:r>
      <w:r w:rsidRPr="00085117">
        <w:tab/>
        <w:t>vzdává hold tisícům lidí, kteří během čtyř let trvající ruské útočné války obětovali své životy v boji za svobodnou a demokratickou Ukrajinu a na obranu našich společných evropských hodnot; zdůrazňuje, že odolnost Ukrajiny zůstává trvalým dokladem síly demokracie tváří v tvář tyranii; opětovně zdůrazňuje svou neochvějnou solidaritu s obyvateli Ukrajiny a podporu její nezávislosti, svrchovanosti a územní celistvosti v rámci jejích mezinárodně uznaných hranic; znovu vyjadřuje plnou podporu spravedlivému, všeobecnému a trvalému míru na Ukrajině za podmínek stanovených Ukrajinou, které budou přijatelné pro její obyvatelstvo; důrazně poukazuje na přirozené právo Ukrajiny na sebeobranu v souladu s článkem 51 Charty OSN; znovu vyjadřuje své pevné přesvědčení, že ruská agrese musí skončit neúspěchem a Ukrajina musí zvítězit;</w:t>
      </w:r>
    </w:p>
    <w:p w14:paraId="6448D805" w14:textId="77777777" w:rsidR="00AF1B01" w:rsidRPr="00085117" w:rsidRDefault="00AF1B01" w:rsidP="00D51F71">
      <w:pPr>
        <w:pStyle w:val="NormalHanging12a"/>
      </w:pPr>
      <w:r w:rsidRPr="00085117">
        <w:lastRenderedPageBreak/>
        <w:t>2.</w:t>
      </w:r>
      <w:r w:rsidRPr="00085117">
        <w:tab/>
        <w:t>zdůrazňuje, že nezákonná, nevyprovokovaná a neodůvodněná útočná válka Ruska proti Ukrajině představuje zjevné porušení mezinárodního práva a Charty OSN a bezprecedentní útok na evropskou bezpečnostní architekturu; zdůrazňuje, že Rusko, jeho vedení a jeho spojenci, jako je běloruský režim, nesou plnou odpovědnost za válku, válečné zločiny a zločin agrese, a vyzývá k tomu, aby se z těchto zločinů zodpovídali;</w:t>
      </w:r>
    </w:p>
    <w:p w14:paraId="59942895" w14:textId="77777777" w:rsidR="00AF1B01" w:rsidRPr="00085117" w:rsidRDefault="00AF1B01" w:rsidP="00D51F71">
      <w:pPr>
        <w:pStyle w:val="NormalHanging12a"/>
      </w:pPr>
      <w:r w:rsidRPr="00085117">
        <w:t>3.</w:t>
      </w:r>
      <w:r w:rsidRPr="00085117">
        <w:tab/>
        <w:t>opětovně co nejdůrazněji odsuzuje brutální agresivní válku Ruska proti Ukrajině, jakož i zapojení Severní Koreje a Íránu; požaduje, aby Rusko a jeho zástupné síly okamžitě, úplně a bezpodmínečně ukončily veškeré vojenské akce na Ukrajině, zastavily veškeré útoky na obytné oblasti a civilní infrastrukturu, stáhly všechny vojenské síly, zástupné síly a vojenské vybavení z celého mezinárodně uznaného území Ukrajiny, propustily a navrátily všechny válečné zajatce, politické vězně, unesené děti a civilisty a trvale přestaly porušovat nebo ohrožovat svrchovanost, nezávislost a územní celistvost Ukrajiny; znovu opakuje, že EU nebude i nadále uznávat dočasně okupovaná území Ukrajiny jako ruské území;</w:t>
      </w:r>
    </w:p>
    <w:p w14:paraId="23E5C422" w14:textId="336E8DC2" w:rsidR="00AF1B01" w:rsidRPr="00085117" w:rsidRDefault="00AF1B01" w:rsidP="00D51F71">
      <w:pPr>
        <w:pStyle w:val="NormalHanging12a"/>
      </w:pPr>
      <w:r w:rsidRPr="00085117">
        <w:t>4.</w:t>
      </w:r>
      <w:r w:rsidRPr="00085117">
        <w:tab/>
        <w:t>znovu potvrzuje, že budoucnost Ukrajiny je v EU; uznává evropskou integraci Ukrajiny jako strategickou prioritu EU a vyzývá EU a její členské státy, aby se připravily na</w:t>
      </w:r>
      <w:r w:rsidR="00E12EA2" w:rsidRPr="00085117">
        <w:t> </w:t>
      </w:r>
      <w:r w:rsidRPr="00085117">
        <w:t>budoucí rozšíření provedením vnitřních reforem a vypracováním jasné strategie rozšíření; zdůrazňuje, že je důležité urychlit postupnou integraci Ukrajiny do</w:t>
      </w:r>
      <w:r w:rsidR="00E12EA2" w:rsidRPr="00085117">
        <w:t> </w:t>
      </w:r>
      <w:r w:rsidRPr="00085117">
        <w:t>jednotného trhu EU;</w:t>
      </w:r>
    </w:p>
    <w:p w14:paraId="40A20453" w14:textId="1989F256" w:rsidR="00AF1B01" w:rsidRDefault="00AF1B01" w:rsidP="00D51F71">
      <w:pPr>
        <w:pStyle w:val="NormalHanging12a"/>
      </w:pPr>
      <w:r w:rsidRPr="00085117">
        <w:t>5.</w:t>
      </w:r>
      <w:r w:rsidRPr="00085117">
        <w:tab/>
        <w:t>apeluje na EU a její členské státy, aby převzaly větší odpovědnost za bezpečnost na</w:t>
      </w:r>
      <w:r w:rsidR="00E12EA2" w:rsidRPr="00085117">
        <w:t> </w:t>
      </w:r>
      <w:r w:rsidRPr="00085117">
        <w:t>evropském kontinentu a aby Ukrajině i nadále poskytovaly neochvějnou podporu; zdůrazňuje, že jakákoli dohoda, jejímž cílem je ukončení ruské útočné války proti Ukrajině, se zdaleka netýká jen Ruska a Ukrajiny, neboť má zásadní důsledky pro evropský bezpečnostní řád jako celek; trvá na tom, že o ničem, co se týká Ukrajiny, by se nemělo rozhodovat bez Ukrajiny a o ničem, co se týká Evropy, by se nemělo rozhodovat bez Evropy;</w:t>
      </w:r>
    </w:p>
    <w:p w14:paraId="2D71B468" w14:textId="7493D216" w:rsidR="0044094F" w:rsidRPr="0044094F" w:rsidRDefault="0044094F" w:rsidP="00D51F71">
      <w:pPr>
        <w:pStyle w:val="NormalHanging12a"/>
        <w:rPr>
          <w:bCs/>
          <w:iCs/>
        </w:rPr>
      </w:pPr>
      <w:r>
        <w:rPr>
          <w:bCs/>
          <w:iCs/>
        </w:rPr>
        <w:t>6</w:t>
      </w:r>
      <w:r w:rsidRPr="005B17A6">
        <w:rPr>
          <w:bCs/>
          <w:iCs/>
        </w:rPr>
        <w:t>.</w:t>
      </w:r>
      <w:r w:rsidRPr="0044094F">
        <w:rPr>
          <w:bCs/>
          <w:iCs/>
        </w:rPr>
        <w:tab/>
      </w:r>
      <w:r w:rsidRPr="005B17A6">
        <w:rPr>
          <w:bCs/>
          <w:iCs/>
        </w:rPr>
        <w:t>s potěšením bere na vědomí přijetí zákona, který ukrajinským pravoslavným farnostem na Ukrajině umožní vystoupit z jurisdikce moskevského patriarchátu a svobodně se rozhodnout o své nové hierarchické příslušnosti; konstatuje, že v srpnu 2024 podaly rumunské pravoslavné farnosti na Ukrajině žádost o uznání „rumunské pravoslavné církve na Ukrajině“ jako náboženského sdružení, aby se k ní mohly připojit rumunské pravoslavné farnosti, které vystoupily z jurisdikce moskevského patriarchátu</w:t>
      </w:r>
      <w:r>
        <w:rPr>
          <w:bCs/>
          <w:iCs/>
        </w:rPr>
        <w:t>;</w:t>
      </w:r>
    </w:p>
    <w:p w14:paraId="228CB1EE" w14:textId="03702EEC" w:rsidR="00AF1B01" w:rsidRPr="00085117" w:rsidRDefault="0044094F" w:rsidP="00D51F71">
      <w:pPr>
        <w:pStyle w:val="NormalHanging12a"/>
      </w:pPr>
      <w:r>
        <w:t>7</w:t>
      </w:r>
      <w:r w:rsidR="00AF1B01" w:rsidRPr="00085117">
        <w:t>.</w:t>
      </w:r>
      <w:r w:rsidR="00AF1B01" w:rsidRPr="00085117">
        <w:tab/>
        <w:t>apeluje na EU, její členské státy, jejich transatlantické spojence a mezinárodní partnery, aby vyvíjeli ještě účinnější vojenské, politické a diplomatické úsilí a zejména aby masivně navýšili vojenskou podporu Ukrajině a podstatně posílili komplexní tlak na Rusko s cílem definitivně zastavit ruskou útočnou válku a umožnit Ukrajině osvobodit všechny své obyvatele a obnovit plnou kontrolu nad celým svým územím v rámci mezinárodně uznaných hranic;</w:t>
      </w:r>
    </w:p>
    <w:p w14:paraId="0A92BFC5" w14:textId="6289C565" w:rsidR="00AF1B01" w:rsidRPr="00085117" w:rsidRDefault="0044094F" w:rsidP="00D51F71">
      <w:pPr>
        <w:pStyle w:val="NormalHanging12a"/>
      </w:pPr>
      <w:r>
        <w:t>8</w:t>
      </w:r>
      <w:r w:rsidR="00AF1B01" w:rsidRPr="00085117">
        <w:t>.</w:t>
      </w:r>
      <w:r w:rsidR="00AF1B01" w:rsidRPr="00085117">
        <w:tab/>
        <w:t>vítá závěry ze zasedání „koalice ochotných“ konaného v Paříži dne 6. ledna 2026; důrazně vítá návrh na vytvoření mnohonárodních „zajišťovacích sil“ pro Ukrajinu; vítá dohodu, podle níž mají být formulovány politicky a právně závazné závazky, pokud jde o obnovení míru a bezpečnosti v případě budoucího ozbrojeného útoku Ruska po</w:t>
      </w:r>
      <w:r w:rsidR="00E12EA2" w:rsidRPr="00085117">
        <w:t> </w:t>
      </w:r>
      <w:r w:rsidR="00AF1B01" w:rsidRPr="00085117">
        <w:t xml:space="preserve">uzavření příměří, a jasný rámec pro podporu Ukrajiny, včetně udržení jejích dlouhodobých vojenských schopností a prohloubení obranné spolupráce; vyjadřuje však politování nad tím, že tyto bezpečnostní záruky by byly prováděny teprve poté, co bude </w:t>
      </w:r>
      <w:r w:rsidR="00AF1B01" w:rsidRPr="00085117">
        <w:lastRenderedPageBreak/>
        <w:t>dohodnuto příměří; bere na vědomí rozhovory o mechanismu monitorování a ověřování příměří; zdůrazňuje, že je třeba začít tyto ambiciózní návrhy provádět;</w:t>
      </w:r>
    </w:p>
    <w:p w14:paraId="3AD3A6E8" w14:textId="0DFBF12C" w:rsidR="00AF1B01" w:rsidRPr="00085117" w:rsidRDefault="0044094F" w:rsidP="00D51F71">
      <w:pPr>
        <w:pStyle w:val="NormalHanging12a"/>
      </w:pPr>
      <w:r>
        <w:t>9</w:t>
      </w:r>
      <w:r w:rsidR="00AF1B01" w:rsidRPr="00085117">
        <w:t>.</w:t>
      </w:r>
      <w:r w:rsidR="00AF1B01" w:rsidRPr="00085117">
        <w:tab/>
        <w:t>zdůrazňuje, že žádná mírová dohoda nesmí omezovat schopnost Ukrajiny bránit se a musí být založena na plném dodržování zásad mezinárodního práva, odpovědnosti za</w:t>
      </w:r>
      <w:r w:rsidR="00E12EA2" w:rsidRPr="00085117">
        <w:t> </w:t>
      </w:r>
      <w:r w:rsidR="00AF1B01" w:rsidRPr="00085117">
        <w:t>válečné zločiny, zločiny proti lidskosti a zločin agrese a na ruských reparacích za masivní škody způsobené na Ukrajině; zdůrazňuje, že každá taková dohoda musí být doplněna spolehlivými a věrohodnými bezpečnostními zárukami pro Ukrajinu, které budou odpovídat úrovni článku 5 Washingtonské smlouvy a čl. 42 odst. 7 Smlouvy o Evropské unii a zabrání opakování Budapešťského memoranda z roku 1994; znovu potvrzuje, že Ukrajina si může svobodně volit svá bezpečnostní a politická spojenectví, aniž by Rusko mělo v této věci jakékoli právo veta; zdůrazňuje, že každá dohoda s Ruskem by měla zahrnovat závazek Ruska, že okamžitě ukončí hybridní válku proti EU a jejím partnerům, včetně Ukrajiny; trvá na tom, že „koalice ochotných“ a Spojené státy musí poskytnout spolehlivé bezpečnostní záruky, které zabrání další ruské agresi a umožní na ni okamžitě reagovat;</w:t>
      </w:r>
    </w:p>
    <w:p w14:paraId="64B6F0EA" w14:textId="2B396D1D" w:rsidR="00AF1B01" w:rsidRPr="00085117" w:rsidRDefault="0044094F" w:rsidP="00D51F71">
      <w:pPr>
        <w:pStyle w:val="NormalHanging12a"/>
      </w:pPr>
      <w:r>
        <w:t>10</w:t>
      </w:r>
      <w:r w:rsidR="00AF1B01" w:rsidRPr="00085117">
        <w:t>.</w:t>
      </w:r>
      <w:r w:rsidR="00AF1B01" w:rsidRPr="00085117">
        <w:tab/>
        <w:t>bere na vědomí úsilí vlády USA o ukončení útočné války Ruska proti Ukrajině, vyjadřuje však znepokojení nad přístupem USA k mírovým rozhovorům, který zřejmě upřednostňuje uzavírání krátkodobých dohod a zachování „strategické stability“ ve</w:t>
      </w:r>
      <w:r w:rsidR="00E12EA2" w:rsidRPr="00085117">
        <w:t> </w:t>
      </w:r>
      <w:r w:rsidR="00AF1B01" w:rsidRPr="00085117">
        <w:t>vztahu k Rusku před skutečnými mírovými rozhovory, jež by vedly ke všeobecnému, spravedlivému a trvalému míru založenému na zásadách mezinárodního práva; vyzývá proto EU a její členské státy, aby pokračovaly ve spolupráci se Spojenými státy a podobně smýšlejícími partnery s cílem zajistit, že jednání týkající se spravedlivého a trvalého míru na Ukrajině budou probíhat v dobré víře a s cílem jednou provždy ukončit ruské útoky na Ukrajinu; zdůrazňuje, že pokračující útoky Ruska nenaznačují, že by bylo připraveno vést skutečné mírové rozhovory; zdůrazňuje, že neuvážené přísliby mírového procesu v konkrétním časovém rámci mají na Ukrajinu negativní dopad;</w:t>
      </w:r>
    </w:p>
    <w:p w14:paraId="59452AA8" w14:textId="1D895A2E" w:rsidR="00AF1B01" w:rsidRPr="00085117" w:rsidRDefault="00AF1B01" w:rsidP="00D51F71">
      <w:pPr>
        <w:pStyle w:val="NormalHanging12a"/>
      </w:pPr>
      <w:r w:rsidRPr="00085117">
        <w:t>1</w:t>
      </w:r>
      <w:r w:rsidR="0044094F">
        <w:t>1</w:t>
      </w:r>
      <w:r w:rsidRPr="00085117">
        <w:t>.</w:t>
      </w:r>
      <w:r w:rsidRPr="00085117">
        <w:tab/>
        <w:t>trvá na tom, že dokud nebude vyjednána a udržitelným způsobem uplatňována mírová dohoda, neměly by být rušeny žádné sankce; vyzývá EU k uvalení dalších podstatných sankcí, jako je komplexní zákaz zbývajícího ruského a běloruského dovozu, zejména nesankcionovaných surovin; vítá probíhající jednání EU se skupinou G7 o možnosti zákazu poskytování námořních služeb pro veškerý ruský vývoz energií, naléhavě však vyzývá EU a její členské státy, aby k tomuto kroku přistoupily i bez podpory dalších zemí skupiny G7 a zakázaly obchodní a podnikatelské aktivity s Ruskem a Běloruskem, zejména pokud se týkají zboží, které by mohlo mít dvojí užití; vyzývá Radu, aby spolu se svými americkými partnery uplatňovala podobnou sankční politiku vůči všem podpůrným státům, včetně Běloruska, Íránu a Severní Koreje, a aby uvalila sankce na</w:t>
      </w:r>
      <w:r w:rsidR="00E12EA2" w:rsidRPr="00085117">
        <w:t> </w:t>
      </w:r>
      <w:r w:rsidRPr="00085117">
        <w:t>čínské subjekty, které dodávají zboží dvojího užití a vojenské zboží nezbytné pro</w:t>
      </w:r>
      <w:r w:rsidR="00E12EA2" w:rsidRPr="00085117">
        <w:t> </w:t>
      </w:r>
      <w:r w:rsidRPr="00085117">
        <w:t xml:space="preserve">výrobu dronů a raketových střel; vyzývá k uvalení dalších sankcí na ruskou stínovou flotilu a k jejich přísnému vymáhání, a to i prostřednictvím zákazů; vyzývá k ukončení spolupráce se společnostmi </w:t>
      </w:r>
      <w:proofErr w:type="spellStart"/>
      <w:r w:rsidRPr="00085117">
        <w:t>Rosatom</w:t>
      </w:r>
      <w:proofErr w:type="spellEnd"/>
      <w:r w:rsidRPr="00085117">
        <w:t xml:space="preserve"> a </w:t>
      </w:r>
      <w:bookmarkStart w:id="7" w:name="_Hlk221696446"/>
      <w:proofErr w:type="spellStart"/>
      <w:r w:rsidRPr="00085117">
        <w:t>Roscosmos</w:t>
      </w:r>
      <w:bookmarkEnd w:id="7"/>
      <w:proofErr w:type="spellEnd"/>
      <w:r w:rsidRPr="00085117">
        <w:t xml:space="preserve"> a k tomu, aby na ně byly uvaleny sankce; vyzývá Radu, aby systematicky řešila problém obcházení sankcí; zdůrazňuje, že sankce mají zřetelný dopad na ruskou ekonomiku, ale opakuje, že režim sankcí musí být širší a jeho provádění přísnější, pokud má mít požadovaný účinek na</w:t>
      </w:r>
      <w:r w:rsidR="00E12EA2" w:rsidRPr="00085117">
        <w:t> </w:t>
      </w:r>
      <w:r w:rsidRPr="00085117">
        <w:t>omezení finančních prostředků, které má Rusko k dispozici k vedení agresivní války; s potěšením konstatuje, že bude přijat 20. balíček sankcí vůči Rusku;</w:t>
      </w:r>
    </w:p>
    <w:p w14:paraId="4D824D37" w14:textId="1E09000E" w:rsidR="00AF1B01" w:rsidRPr="00825817" w:rsidRDefault="00AF1B01" w:rsidP="00D51F71">
      <w:pPr>
        <w:pStyle w:val="NormalHanging12a"/>
      </w:pPr>
      <w:bookmarkStart w:id="8" w:name="_Hlk222822690"/>
      <w:r w:rsidRPr="00085117">
        <w:t>1</w:t>
      </w:r>
      <w:r w:rsidR="0044094F">
        <w:t>2</w:t>
      </w:r>
      <w:r w:rsidRPr="00085117">
        <w:t>.</w:t>
      </w:r>
      <w:r w:rsidRPr="00085117">
        <w:tab/>
        <w:t xml:space="preserve">vítá rozhodnutí Evropské rady ze dne 18. prosince 2025 poskytnout Ukrajině balíček </w:t>
      </w:r>
      <w:r w:rsidRPr="00085117">
        <w:lastRenderedPageBreak/>
        <w:t>finanční pomoci ve výši 90 miliard EUR ve formě úvěrů garantovaných EU; vyzývá k urychlenému poskytnutí této půjčky na podporu Ukrajiny a zdůrazňuje, že je třeba odpovídajícím způsobem reagovat na vyvíjející se potřeby Ukrajiny; vítá nezbytnou flexibilitu, která je součástí balíčku v rámci režimu výjimek stanoveného v čl. 13 odst. 5 navrhovaného nařízení o půjčce na podporu Ukrajiny</w:t>
      </w:r>
      <w:r w:rsidRPr="00085117">
        <w:rPr>
          <w:rStyle w:val="FootnoteReference"/>
        </w:rPr>
        <w:footnoteReference w:id="1"/>
      </w:r>
      <w:r w:rsidRPr="00085117">
        <w:t>;</w:t>
      </w:r>
    </w:p>
    <w:bookmarkEnd w:id="8"/>
    <w:p w14:paraId="1AD91D2F" w14:textId="1A33CC48" w:rsidR="00AF1B01" w:rsidRPr="00085117" w:rsidRDefault="00AF1B01" w:rsidP="00D51F71">
      <w:pPr>
        <w:pStyle w:val="NormalHanging12a"/>
      </w:pPr>
      <w:r w:rsidRPr="00085117">
        <w:t>1</w:t>
      </w:r>
      <w:r w:rsidR="0044094F">
        <w:t>3</w:t>
      </w:r>
      <w:r w:rsidRPr="00085117">
        <w:t>.</w:t>
      </w:r>
      <w:r w:rsidRPr="00085117">
        <w:tab/>
        <w:t>opakuje, že je pevně přesvědčen o tom, že Rusko musí zaplatit za obrovské škody způsobené na Ukrajině, a znovu vyzývá EU, aby použila peněžní zůstatky spojené s ruskými státními aktivy, které byly na základě sankcí EU imobilizovány, k zajištění reparační půjčky, která by pomohla při obraně a obnově Ukrajiny a zvýšila tlak na</w:t>
      </w:r>
      <w:r w:rsidR="00E12EA2" w:rsidRPr="00085117">
        <w:t> </w:t>
      </w:r>
      <w:r w:rsidRPr="00085117">
        <w:t xml:space="preserve">Rusko, aby ukončilo svou útočnou válku; důrazně podporuje závěr Rady, podle něhož by </w:t>
      </w:r>
      <w:proofErr w:type="spellStart"/>
      <w:r w:rsidRPr="00085117">
        <w:t>spolunormotvůrci</w:t>
      </w:r>
      <w:proofErr w:type="spellEnd"/>
      <w:r w:rsidRPr="00085117">
        <w:t xml:space="preserve"> měli pokračovat v práci na návrhu Komise, který se týká této reparační půjčky;</w:t>
      </w:r>
    </w:p>
    <w:p w14:paraId="164164A0" w14:textId="7D1F118D" w:rsidR="00AF1B01" w:rsidRPr="00085117" w:rsidRDefault="00AF1B01" w:rsidP="00D51F71">
      <w:pPr>
        <w:pStyle w:val="NormalHanging12a"/>
      </w:pPr>
      <w:r w:rsidRPr="00085117">
        <w:t>1</w:t>
      </w:r>
      <w:r w:rsidR="0044094F">
        <w:t>4</w:t>
      </w:r>
      <w:r w:rsidRPr="00085117">
        <w:t>.</w:t>
      </w:r>
      <w:r w:rsidRPr="00085117">
        <w:tab/>
        <w:t xml:space="preserve">naléhavě vyzývá EU, aby v koordinaci s NATO podporovala posílení obranných schopností Ukrajiny rozvojem silnějšího průmyslového partnerství, které umožní přenos technologií a know-how, a aby pomáhala začlenit ukrajinskou technologickou a průmyslovou základnu obrany do evropské technologické a průmyslové základny obrany (EDTIB) a zároveň podporovala aktivity EDTIB na Ukrajině; naléhavě vyzývá členské státy a jejich obranný průmysl k dalším investicím a budování partnerství s Ukrajinou v zájmu společného rozvoje v EU a výrobní činnosti ukrajinského průmyslu uvnitř EU; oceňuje dánský model podpory Ukrajiny a vyzývá k větším pobídkám k užší spolupráci mezi EDTIB a ukrajinskou průmyslovou základnou obrany a k jejich integraci; naléhavě vyzývá členské státy, které mohou poskytnout systémy protivzdušné obrany, aby takové zbraně Ukrajině dodaly, a umožnily jí tak ochranu větší části její kritické infrastruktury, a aby jí dodaly raketové systémy s velkým dosahem, a mohla tak útočit na vojenskou a strategickou infrastrukturu agresora; naléhavě vyzývá ke zrušení zbývajících omezení, která brání nasazení západních zbraňových systémů poskytnutých Ukrajině na zneškodňování vojenských cílů na ruském území, které jsou využívány k útokům na obyvatelstvo a kritickou civilní infrastrukturu Ukrajiny; zdůrazňuje, že je důležité zajistit, aby byl ukrajinský vojenský personál řádně vyškolen v rámci vojenské pomocné mise EU na podporu Ukrajiny (EUMAM </w:t>
      </w:r>
      <w:proofErr w:type="spellStart"/>
      <w:r w:rsidRPr="00085117">
        <w:t>Ukraine</w:t>
      </w:r>
      <w:proofErr w:type="spellEnd"/>
      <w:r w:rsidRPr="00085117">
        <w:t>), a vyzývá k rozšíření mandátu této mise, včetně možnosti rozšířit výcvikové činnosti na ukrajinské území i</w:t>
      </w:r>
      <w:r w:rsidR="00E12EA2">
        <w:t xml:space="preserve"> </w:t>
      </w:r>
      <w:r w:rsidRPr="00085117">
        <w:t>po</w:t>
      </w:r>
      <w:r w:rsidR="00E12EA2" w:rsidRPr="00085117">
        <w:t> </w:t>
      </w:r>
      <w:r w:rsidRPr="00085117">
        <w:t>uzavření příměří s cílem posílit vnitrostátní výcvikovou kapacitu Ukrajiny;</w:t>
      </w:r>
    </w:p>
    <w:p w14:paraId="65BE0BB7" w14:textId="61DC2E9E" w:rsidR="00AF1B01" w:rsidRPr="00085117" w:rsidRDefault="00AF1B01" w:rsidP="00D51F71">
      <w:pPr>
        <w:pStyle w:val="NormalHanging12a"/>
      </w:pPr>
      <w:r w:rsidRPr="00085117">
        <w:t>1</w:t>
      </w:r>
      <w:r w:rsidR="0044094F">
        <w:t>5</w:t>
      </w:r>
      <w:r w:rsidRPr="00085117">
        <w:t>.</w:t>
      </w:r>
      <w:r w:rsidRPr="00085117">
        <w:tab/>
        <w:t>vyzývá k začlenění Ukrajiny do koridorů vojenské mobility EU; znovu připomíná, že je důležité zajistit rychlý přesun vybavení a jednotek ze západu na východ a poučit se ze</w:t>
      </w:r>
      <w:r w:rsidR="00E12EA2" w:rsidRPr="00085117">
        <w:t> </w:t>
      </w:r>
      <w:r w:rsidRPr="00085117">
        <w:t>zkušeností ukrajinských ozbrojených sil;</w:t>
      </w:r>
    </w:p>
    <w:p w14:paraId="46D45128" w14:textId="23E8E946" w:rsidR="00AF1B01" w:rsidRPr="00085117" w:rsidRDefault="00AF1B01" w:rsidP="00D51F71">
      <w:pPr>
        <w:pStyle w:val="NormalHanging12a"/>
      </w:pPr>
      <w:r w:rsidRPr="00085117">
        <w:t>1</w:t>
      </w:r>
      <w:r w:rsidR="0044094F">
        <w:t>6</w:t>
      </w:r>
      <w:r w:rsidRPr="00085117">
        <w:t>.</w:t>
      </w:r>
      <w:r w:rsidRPr="00085117">
        <w:tab/>
        <w:t>vítá přijetí nařízení (EU) 2026/261 o postupném ukončení dovozu ruského zemního plynu a přípravě postupného ukončení dovozu ruské ropy</w:t>
      </w:r>
      <w:r w:rsidRPr="00085117">
        <w:rPr>
          <w:rStyle w:val="FootnoteReference"/>
        </w:rPr>
        <w:footnoteReference w:id="2"/>
      </w:r>
      <w:r w:rsidRPr="00085117">
        <w:t xml:space="preserve">; naléhavě vyzývá Komisi, aby v souladu se závazky přijatými na základě plánu </w:t>
      </w:r>
      <w:proofErr w:type="spellStart"/>
      <w:r w:rsidRPr="00085117">
        <w:t>REPowerEU</w:t>
      </w:r>
      <w:proofErr w:type="spellEnd"/>
      <w:r w:rsidRPr="00085117">
        <w:t xml:space="preserve"> urychlila postupný </w:t>
      </w:r>
      <w:r w:rsidRPr="00085117">
        <w:lastRenderedPageBreak/>
        <w:t xml:space="preserve">odklon od využívání ostatních ruských zdrojů energie, včetně ropy a všech ropných produktů, uranu, obohaceného uranu a jaderného paliva, a služeb; zdůrazňuje, že toto opatření je zásadním krokem k ukončení závislosti EU na ruských fosilních palivech a k dalšímu zatížení ruského hospodářství; vyjadřuje politování nad tím, že sedm členských států EU dovezlo v roce 2025 více ruských energetických surovin než v roce 2024; zdůrazňuje proto, že plynovody </w:t>
      </w:r>
      <w:proofErr w:type="spellStart"/>
      <w:r w:rsidRPr="00085117">
        <w:t>Nordstream</w:t>
      </w:r>
      <w:proofErr w:type="spellEnd"/>
      <w:r w:rsidRPr="00085117">
        <w:t xml:space="preserve"> 1 a 2 nikdy nesmí být reaktivovány, a z důvodu strategické bezpečnosti vyzývá k jejich trvalému vyřazení z provozu; připomíná členským státům, aby nepřijímaly žádná opatření, která by mohla ohrozit dosažení cílů EU;</w:t>
      </w:r>
    </w:p>
    <w:p w14:paraId="5A3A5807" w14:textId="3949EFE8" w:rsidR="00AF1B01" w:rsidRPr="00085117" w:rsidRDefault="00AF1B01" w:rsidP="00D51F71">
      <w:pPr>
        <w:pStyle w:val="NormalHanging12a"/>
      </w:pPr>
      <w:r w:rsidRPr="00085117">
        <w:t>1</w:t>
      </w:r>
      <w:r w:rsidR="0044094F">
        <w:t>7</w:t>
      </w:r>
      <w:r w:rsidRPr="00085117">
        <w:t>.</w:t>
      </w:r>
      <w:r w:rsidRPr="00085117">
        <w:tab/>
        <w:t>důrazně odsuzuje systematické deportace, násilné přesuny a pokusy o asimilaci ukrajinských dětí prováděné Ruskou federací; vyzývá k okamžitému a bezpodmínečnému ukončení těchto praktik a k bezpečnému a bezproblémovému návratu všech protiprávně deportovaných ukrajinských dětí; vyjadřuje podporu organizacím a osobám zapojeným do vyhledávání těchto dětí, stejně jako iniciativě „Vraťte děti zpět UA“; vítá práci Mezinárodní koalice pro návrat ukrajinských dětí jako klíčové platformy pro koordinaci mezinárodní činnosti, včetně vysledovávání deportovaných dětí, ověřování jejich totožnosti, právního postavení a místa pobytu, zajišťování jejich návratu a vyvozování odpovědnosti;</w:t>
      </w:r>
    </w:p>
    <w:p w14:paraId="374D4DE7" w14:textId="6E79E843" w:rsidR="0044094F" w:rsidRDefault="0044094F" w:rsidP="00D51F71">
      <w:pPr>
        <w:pStyle w:val="NormalHanging12a"/>
        <w:rPr>
          <w:bCs/>
          <w:iCs/>
        </w:rPr>
      </w:pPr>
      <w:r w:rsidRPr="005B17A6">
        <w:rPr>
          <w:bCs/>
          <w:iCs/>
        </w:rPr>
        <w:t>1</w:t>
      </w:r>
      <w:r>
        <w:rPr>
          <w:bCs/>
          <w:iCs/>
        </w:rPr>
        <w:t>8</w:t>
      </w:r>
      <w:r w:rsidRPr="005B17A6">
        <w:rPr>
          <w:bCs/>
          <w:iCs/>
        </w:rPr>
        <w:t>.</w:t>
      </w:r>
      <w:r w:rsidRPr="0044094F">
        <w:rPr>
          <w:bCs/>
          <w:iCs/>
        </w:rPr>
        <w:tab/>
      </w:r>
      <w:r w:rsidRPr="005B17A6">
        <w:rPr>
          <w:bCs/>
          <w:iCs/>
        </w:rPr>
        <w:t>ostře odsuzuje používání sexuálního a genderově podmíněného násilí jako válečné zbraně a zdůrazňuje, že toto jednání představuje válečný zločin; rovněž odsuzuje sexuální a genderově podmíněné násilí, k němuž dochází v tranzitních střediscích na</w:t>
      </w:r>
      <w:r w:rsidR="00E12EA2" w:rsidRPr="00085117">
        <w:t> </w:t>
      </w:r>
      <w:r w:rsidRPr="005B17A6">
        <w:rPr>
          <w:bCs/>
          <w:iCs/>
        </w:rPr>
        <w:t>Ukrajině a v celé EU; vyjadřuje politování nad tím, že směrnice o dočasné ochraně</w:t>
      </w:r>
      <w:r>
        <w:rPr>
          <w:rStyle w:val="FootnoteReference"/>
          <w:bCs/>
          <w:iCs/>
        </w:rPr>
        <w:footnoteReference w:id="3"/>
      </w:r>
      <w:r w:rsidRPr="005B17A6">
        <w:rPr>
          <w:bCs/>
          <w:iCs/>
        </w:rPr>
        <w:t xml:space="preserve"> je vykládána tak úzce, že mnoho žen, které uprchly před ruskou útočnou válkou, nemá přístup k péči související s umělým přerušením těhotenství nebo k jiné léčbě v oblasti sexuálního a reprodukčního zdraví, včetně péče po pohlavním zneužívání; ve svém usnesení ze dne 29. února 2024</w:t>
      </w:r>
      <w:r>
        <w:rPr>
          <w:rStyle w:val="FootnoteReference"/>
          <w:bCs/>
          <w:iCs/>
        </w:rPr>
        <w:footnoteReference w:id="4"/>
      </w:r>
      <w:r w:rsidRPr="005B17A6">
        <w:rPr>
          <w:bCs/>
          <w:iCs/>
        </w:rPr>
        <w:t xml:space="preserve"> opětovně vyzval Komisi, aby tuto směrnici přezkoumala a zajistila, že všechny členské státy budou povinny poskytovat stejnou péči, jakou by ženy jinak mohly získat na Ukrajině;</w:t>
      </w:r>
    </w:p>
    <w:p w14:paraId="6F0C7AA2" w14:textId="1D344943" w:rsidR="002973BD" w:rsidRPr="0044094F" w:rsidRDefault="002973BD" w:rsidP="00D51F71">
      <w:pPr>
        <w:pStyle w:val="NormalHanging12a"/>
        <w:rPr>
          <w:bCs/>
          <w:iCs/>
        </w:rPr>
      </w:pPr>
      <w:r w:rsidRPr="002973BD">
        <w:rPr>
          <w:bCs/>
          <w:iCs/>
        </w:rPr>
        <w:t>1</w:t>
      </w:r>
      <w:r w:rsidR="00BE7A73">
        <w:rPr>
          <w:bCs/>
          <w:iCs/>
        </w:rPr>
        <w:t>9</w:t>
      </w:r>
      <w:r w:rsidRPr="002973BD">
        <w:rPr>
          <w:bCs/>
          <w:iCs/>
        </w:rPr>
        <w:t>.</w:t>
      </w:r>
      <w:r w:rsidRPr="002973BD">
        <w:rPr>
          <w:bCs/>
          <w:iCs/>
        </w:rPr>
        <w:tab/>
        <w:t>zdůrazňuje, že počet Ukrajinců, kteří byli identifikováni jako oběti obchodování s lidmi v Evropské unii, je znepokojivě vysoký a od plošné ruské invaze se ještě zvýšil; vyzývá členské státy, aby poskytovaly větší podporu obětem, a více podporovaly preventivní opatření, mimo jiné prostřednictvím ekonomických prostředků</w:t>
      </w:r>
      <w:r>
        <w:rPr>
          <w:bCs/>
          <w:iCs/>
        </w:rPr>
        <w:t>;</w:t>
      </w:r>
    </w:p>
    <w:p w14:paraId="0B4FDEFC" w14:textId="4E9FD6B2" w:rsidR="00AF1B01" w:rsidRPr="00085117" w:rsidRDefault="00BE7A73" w:rsidP="00D51F71">
      <w:pPr>
        <w:pStyle w:val="NormalHanging12a"/>
      </w:pPr>
      <w:r>
        <w:t>20</w:t>
      </w:r>
      <w:r w:rsidR="00AF1B01" w:rsidRPr="00085117">
        <w:t>.</w:t>
      </w:r>
      <w:r w:rsidR="00AF1B01" w:rsidRPr="00085117">
        <w:tab/>
        <w:t>vyzývá EU a její členské státy, aby uvalily sankce na vojenskou policii ruského ministerstva obrany, Federální bezpečnostní službu a Federální vězeňskou službu za</w:t>
      </w:r>
      <w:r w:rsidR="00E12EA2" w:rsidRPr="00085117">
        <w:t> </w:t>
      </w:r>
      <w:r w:rsidR="00AF1B01" w:rsidRPr="00085117">
        <w:t>jejich systematickou účast na válečných zločinech a zločinech proti lidskosti, včetně násilných zmizení, svévolného zadržování, mučení a zadržování v izolaci (</w:t>
      </w:r>
      <w:proofErr w:type="spellStart"/>
      <w:r w:rsidR="00AF1B01" w:rsidRPr="00085117">
        <w:t>incommunicado</w:t>
      </w:r>
      <w:proofErr w:type="spellEnd"/>
      <w:r w:rsidR="00AF1B01" w:rsidRPr="00085117">
        <w:t>); dále vyzývá EU a její členské státy, aby uvalily osobní sankce na</w:t>
      </w:r>
      <w:r w:rsidR="00E12EA2" w:rsidRPr="00085117">
        <w:t> </w:t>
      </w:r>
      <w:r w:rsidR="00AF1B01" w:rsidRPr="00085117">
        <w:t xml:space="preserve">všechny vedoucí pracovníky a další ruské zaměstnance ruských vězeňských zařízení, </w:t>
      </w:r>
      <w:r w:rsidR="00AF1B01" w:rsidRPr="00085117">
        <w:lastRenderedPageBreak/>
        <w:t>v nichž jsou nezákonně zadržováni ukrajinští civilisté; vyzývá EU a její členské státy, aby ruským vojenským příslušníkům, kteří byli zapojeni do útočné války proti Ukrajině, zakázaly vstup do schengenského prostoru; naléhavě vyzývá členské státy, aby se systematicky zabývaly otázkou obcházení sankcí a zajistily jejich plné a účinné uplatňování;</w:t>
      </w:r>
    </w:p>
    <w:p w14:paraId="122A263E" w14:textId="4A645F7E" w:rsidR="00AF1B01" w:rsidRPr="00085117" w:rsidRDefault="0044094F" w:rsidP="00D51F71">
      <w:pPr>
        <w:pStyle w:val="NormalHanging12a"/>
      </w:pPr>
      <w:r>
        <w:t>2</w:t>
      </w:r>
      <w:r w:rsidR="00AF1B01" w:rsidRPr="00085117">
        <w:t>1.</w:t>
      </w:r>
      <w:r w:rsidR="00AF1B01" w:rsidRPr="00085117">
        <w:tab/>
        <w:t>vyzývá Radu, aby na základě společného postoje Rady 2001/931/SZBP ze dne 27. prosince 2001 o uplatnění zvláštních opatření k boji proti terorismu zařadila Wagnerovu skupinu a její nástupnické subjekty na seznam teroristických organizací</w:t>
      </w:r>
      <w:r w:rsidR="00AF1B01" w:rsidRPr="00085117">
        <w:rPr>
          <w:rStyle w:val="FootnoteReference"/>
        </w:rPr>
        <w:footnoteReference w:id="5"/>
      </w:r>
      <w:r w:rsidR="00AF1B01" w:rsidRPr="00085117">
        <w:t>; zdůrazňuje, že vedle zmrazení majetku, které se na tyto subjekty v současné době vztahuje, umožňuje jejich zařazení na seznam teroristických organizací stíhání náborářů, bojovníků a podporovatelů a ukládání trestních sankcí vůči těmto lidem;</w:t>
      </w:r>
    </w:p>
    <w:p w14:paraId="7609D0F1" w14:textId="28486645" w:rsidR="00AF1B01" w:rsidRPr="00085117" w:rsidRDefault="0044094F" w:rsidP="00D51F71">
      <w:pPr>
        <w:pStyle w:val="NormalHanging12a"/>
      </w:pPr>
      <w:r>
        <w:t>2</w:t>
      </w:r>
      <w:r w:rsidR="0065127E">
        <w:t>2</w:t>
      </w:r>
      <w:r w:rsidR="00AF1B01" w:rsidRPr="00085117">
        <w:t>.</w:t>
      </w:r>
      <w:r w:rsidR="00AF1B01" w:rsidRPr="00085117">
        <w:tab/>
        <w:t>zdůrazňuje znepokojivou skutečnost, že v ruské armádě roste počet zahraničních bojovníků , kteří byli do Ruska nebo na frontové linie na Ukrajině dopraveni pod falešnou záminkou; naléhavě vyzývá vlády Jihoafrické republiky, Ghany, Keni, Botswany a dalších afrických zemí, aby zakročily proti podvodným náborovým akcím, jejichž prostřednictvím jsou jejich mladí muži odváděni bojovat na frontových liniích po boku ruských sil; vyzývá dotčené země, aby své občany proaktivně varovaly před</w:t>
      </w:r>
      <w:r w:rsidR="00E12EA2" w:rsidRPr="00085117">
        <w:t> </w:t>
      </w:r>
      <w:r w:rsidR="00AF1B01" w:rsidRPr="00085117">
        <w:t>nebezpečím odcestování do Ruska na základě pracovních nabídek, které jsou přímo či nepřímo spojeny s ruskou armádou; vyzývá platformy sociálních médií, aby přijaly opatření, kterými zabrání ve zneužívání jejich služeb pro účely těchto podvodných náborových kampaní; odsuzuje politiky vlád některých zemí, například Kuby nebo některých středoasijských zemí, které svým občanům nebrání v zapojení do</w:t>
      </w:r>
      <w:r w:rsidR="00E12EA2" w:rsidRPr="00085117">
        <w:t> </w:t>
      </w:r>
      <w:r w:rsidR="00AF1B01" w:rsidRPr="00085117">
        <w:t>ruské útočné války nebo jejich účast ve válce dokonce propagují;</w:t>
      </w:r>
    </w:p>
    <w:p w14:paraId="71A1A522" w14:textId="06C44B65" w:rsidR="00AF1B01" w:rsidRPr="00085117" w:rsidRDefault="00AF1B01" w:rsidP="00D51F71">
      <w:pPr>
        <w:pStyle w:val="NormalHanging12a"/>
      </w:pPr>
      <w:r w:rsidRPr="00085117">
        <w:t>2</w:t>
      </w:r>
      <w:r w:rsidR="0065127E">
        <w:t>3</w:t>
      </w:r>
      <w:r w:rsidRPr="00085117">
        <w:t>.</w:t>
      </w:r>
      <w:r w:rsidRPr="00085117">
        <w:tab/>
        <w:t>zdůrazňuje, že neustálé útoky Ruska na ukrajinskou energetickou infrastrukturu jsou nejen porušením mezinárodního práva, ale také záměrnou strategií, jejímž cílem je oslabit odolnost civilistů, vyvolat v postižených oblastech neklid a zneužít energii jako nástroj nátlaku; vyzývá EU a její členské státy, aby zvýšily a institucionalizovaly pomoc Ukrajině v oblasti energetiky; zdůrazňuje, že je mimořádně důležité, aby EU a členské státy poskytovaly Ukrajině neustálou a zvýšenou humanitární pomoc v reakci na akutní humanitární situaci, kterou způsobily systematické útoky Ruska na ukrajinská města a kritickou civilní infrastrukturu;</w:t>
      </w:r>
    </w:p>
    <w:p w14:paraId="614905A8" w14:textId="338D05F5" w:rsidR="00AF1B01" w:rsidRDefault="00AF1B01" w:rsidP="00D51F71">
      <w:pPr>
        <w:pStyle w:val="NormalHanging12a"/>
      </w:pPr>
      <w:r w:rsidRPr="00085117">
        <w:t>2</w:t>
      </w:r>
      <w:r w:rsidR="0065127E">
        <w:t>4</w:t>
      </w:r>
      <w:r w:rsidRPr="00085117">
        <w:t>.</w:t>
      </w:r>
      <w:r w:rsidRPr="00085117">
        <w:tab/>
        <w:t>naléhavě vyzývá Komisi, aby aktivně podporovala mezinárodní justiční mechanismy a zajistila odpovědnost za válečné zločiny a zločin agrese a odškodnění za tyto zločiny; vybízí EU a její členské státy, aby podpořily zřízení zvláštního tribunálu pro stíhání ruského zločinu agrese proti Ukrajině;</w:t>
      </w:r>
    </w:p>
    <w:p w14:paraId="5202B181" w14:textId="0E4D2536" w:rsidR="0044094F" w:rsidRPr="0044094F" w:rsidRDefault="0044094F" w:rsidP="00D51F71">
      <w:pPr>
        <w:pStyle w:val="NormalHanging12a"/>
        <w:rPr>
          <w:bCs/>
          <w:iCs/>
        </w:rPr>
      </w:pPr>
      <w:r w:rsidRPr="005B17A6">
        <w:rPr>
          <w:bCs/>
          <w:iCs/>
        </w:rPr>
        <w:t>2</w:t>
      </w:r>
      <w:r w:rsidR="0065127E">
        <w:rPr>
          <w:bCs/>
          <w:iCs/>
        </w:rPr>
        <w:t>5</w:t>
      </w:r>
      <w:r w:rsidRPr="005B17A6">
        <w:rPr>
          <w:bCs/>
          <w:iCs/>
        </w:rPr>
        <w:t>.</w:t>
      </w:r>
      <w:r w:rsidRPr="0044094F">
        <w:rPr>
          <w:bCs/>
          <w:iCs/>
        </w:rPr>
        <w:tab/>
      </w:r>
      <w:r w:rsidRPr="005B17A6">
        <w:rPr>
          <w:bCs/>
          <w:iCs/>
        </w:rPr>
        <w:t>považuje za pozitivní, že Ukrajina přistoupila k Mezinárodnímu trestnímu soudu; znovu potvrzuje svou silnou podporu vyšetřování, které Mezinárodní trestní soud vede na</w:t>
      </w:r>
      <w:r w:rsidR="00E12EA2" w:rsidRPr="00085117">
        <w:t> </w:t>
      </w:r>
      <w:r w:rsidRPr="005B17A6">
        <w:rPr>
          <w:bCs/>
          <w:iCs/>
        </w:rPr>
        <w:t xml:space="preserve">Ukrajině, a jeho všeobecnému úsilí o to, aby osoby odpovědné za genocidu, válečné zločiny, zločiny proti lidskosti a zločin agrese, byly trestně stíhány; vyjadřuje hluboké znepokojení nad sankcemi USA vůči Mezinárodnímu trestnímu soudu, jeho žalobcům, soudcům a zaměstnancům; vyzývá Komisi, aby aktivovala blokovací nařízení s cílem ochránit Mezinárodní trestní soud před </w:t>
      </w:r>
      <w:proofErr w:type="spellStart"/>
      <w:r w:rsidRPr="005B17A6">
        <w:rPr>
          <w:bCs/>
          <w:iCs/>
        </w:rPr>
        <w:t>extrateritoriálními</w:t>
      </w:r>
      <w:proofErr w:type="spellEnd"/>
      <w:r w:rsidRPr="005B17A6">
        <w:rPr>
          <w:bCs/>
          <w:iCs/>
        </w:rPr>
        <w:t xml:space="preserve"> sankcemi;</w:t>
      </w:r>
    </w:p>
    <w:p w14:paraId="496AE50F" w14:textId="442A5E8C" w:rsidR="00AF1B01" w:rsidRDefault="00AF1B01" w:rsidP="00D51F71">
      <w:pPr>
        <w:pStyle w:val="NormalHanging12a"/>
      </w:pPr>
      <w:r w:rsidRPr="00085117">
        <w:t>2</w:t>
      </w:r>
      <w:r w:rsidR="0065127E">
        <w:t>6</w:t>
      </w:r>
      <w:r w:rsidRPr="00085117">
        <w:t>.</w:t>
      </w:r>
      <w:r w:rsidRPr="00085117">
        <w:tab/>
        <w:t xml:space="preserve">vyzývá ukrajinské orgány, aby prosazovaly parlamentní pluralitu jako úhelný kámen </w:t>
      </w:r>
      <w:r w:rsidRPr="00085117">
        <w:lastRenderedPageBreak/>
        <w:t>demokratické správy věcí veřejných a zajistily konstruktivní a smysluplnou spolupráci se všemi parlamentními politickými silami zastoupenými v Nejvyšší radě Ukrajiny;</w:t>
      </w:r>
    </w:p>
    <w:p w14:paraId="4AE0812A" w14:textId="37B486BF" w:rsidR="0044094F" w:rsidRPr="0044094F" w:rsidRDefault="0044094F" w:rsidP="00D51F71">
      <w:pPr>
        <w:pStyle w:val="NormalHanging12a"/>
        <w:rPr>
          <w:bCs/>
          <w:iCs/>
        </w:rPr>
      </w:pPr>
      <w:r w:rsidRPr="005B17A6">
        <w:rPr>
          <w:bCs/>
          <w:iCs/>
        </w:rPr>
        <w:t>2</w:t>
      </w:r>
      <w:r w:rsidR="00EC1B56">
        <w:rPr>
          <w:bCs/>
          <w:iCs/>
        </w:rPr>
        <w:t>7</w:t>
      </w:r>
      <w:r w:rsidRPr="005B17A6">
        <w:rPr>
          <w:bCs/>
          <w:iCs/>
        </w:rPr>
        <w:t>.</w:t>
      </w:r>
      <w:r w:rsidRPr="0044094F">
        <w:rPr>
          <w:bCs/>
          <w:iCs/>
        </w:rPr>
        <w:tab/>
      </w:r>
      <w:r w:rsidRPr="005B17A6">
        <w:rPr>
          <w:bCs/>
          <w:iCs/>
        </w:rPr>
        <w:t>oceňuje mimořádně důležitou práci, kterou v průběhu války každodenně vykonávají ukrajinské zdravotnické služby, zejména zdravotní sestry; v této souvislosti zdůrazňuje důležitou práci ukrajinského zdravotnického hnutí „Buď jak my“ – spontánního hnutí tvořeného většinou zdravotními sestrami, které vystupuje na podporu zdravotnických pracovníků a jejich práv;</w:t>
      </w:r>
    </w:p>
    <w:p w14:paraId="24E240ED" w14:textId="2879F2D5" w:rsidR="00AF1B01" w:rsidRPr="00085117" w:rsidRDefault="00AF1B01" w:rsidP="00D51F71">
      <w:pPr>
        <w:pStyle w:val="NormalHanging12a"/>
      </w:pPr>
      <w:r w:rsidRPr="00085117">
        <w:t>2</w:t>
      </w:r>
      <w:r w:rsidR="00EC1B56">
        <w:t>8</w:t>
      </w:r>
      <w:r w:rsidRPr="00085117">
        <w:t>.</w:t>
      </w:r>
      <w:r w:rsidRPr="00085117">
        <w:tab/>
        <w:t>bere na vědomí neochvějný závazek většiny členských států EU vůči Ukrajině, zdůrazňuje však svou nespokojenost s těmi členskými státy, které blokují nebo aktivně oslabují postoje a politiky EU; připomíná zásadu loajální spolupráce podle čl. 4 odst. 3 Smlouvy o Evropské unii, která vyžaduje, aby se členské státy zdržely jakýchkoli opatření, která by mohla ohrozit splnění cílů EU; vyzývá Radu, aby urychleně vyřešila patovou situaci, která brání zprovoznění Fondu pomoci Ukrajině v rámci Evropského mírového nástroje, jenž má zásadní význam pro plnění dlouhodobých bezpečnostních závazků EU vůči Ukrajině;</w:t>
      </w:r>
    </w:p>
    <w:p w14:paraId="63A69E68" w14:textId="6965A447" w:rsidR="00E365E1" w:rsidRPr="00085117" w:rsidRDefault="00AF1B01" w:rsidP="00D51F71">
      <w:pPr>
        <w:pStyle w:val="NormalHanging12a"/>
      </w:pPr>
      <w:r w:rsidRPr="00085117">
        <w:t>2</w:t>
      </w:r>
      <w:r w:rsidR="00EC1B56">
        <w:t>9</w:t>
      </w:r>
      <w:r w:rsidRPr="00085117">
        <w:t>.</w:t>
      </w:r>
      <w:r w:rsidRPr="00085117">
        <w:tab/>
        <w:t>pověřuje svou předsedkyni, aby předala toto usnesení Radě, Komisi, místopředsedkyni Komise, vysoké představitelce Unie pro zahraniční věci a bezpečnostní politiku, vládám a parlamentům členských států, prezidentovi, vládě a Nejvyšší radě Ukrajiny, generálnímu tajemníkovi Organizace spojených národů, Kongresu Spojených států, ruským orgánům a orgánům ostatních států zmíněných v tomto usnesení.</w:t>
      </w:r>
    </w:p>
    <w:sectPr w:rsidR="00E365E1" w:rsidRPr="00085117" w:rsidSect="000851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67A96" w14:textId="77777777" w:rsidR="00642A97" w:rsidRPr="00085117" w:rsidRDefault="00642A97">
      <w:r w:rsidRPr="00085117">
        <w:separator/>
      </w:r>
    </w:p>
  </w:endnote>
  <w:endnote w:type="continuationSeparator" w:id="0">
    <w:p w14:paraId="0C148BBE" w14:textId="77777777" w:rsidR="00642A97" w:rsidRPr="00085117" w:rsidRDefault="00642A97">
      <w:r w:rsidRPr="000851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B4745" w14:textId="77777777" w:rsidR="00064002" w:rsidRPr="000851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B15A" w14:textId="77777777" w:rsidR="00064002" w:rsidRPr="000851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18EA1" w14:textId="77777777" w:rsidR="00064002" w:rsidRPr="000851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5423E" w14:textId="77777777" w:rsidR="00642A97" w:rsidRPr="00085117" w:rsidRDefault="00642A97">
      <w:r w:rsidRPr="00085117">
        <w:separator/>
      </w:r>
    </w:p>
  </w:footnote>
  <w:footnote w:type="continuationSeparator" w:id="0">
    <w:p w14:paraId="1ABA1232" w14:textId="77777777" w:rsidR="00642A97" w:rsidRPr="00085117" w:rsidRDefault="00642A97">
      <w:r w:rsidRPr="00085117">
        <w:continuationSeparator/>
      </w:r>
    </w:p>
  </w:footnote>
  <w:footnote w:id="1">
    <w:p w14:paraId="199E55E9" w14:textId="10AB0A69" w:rsidR="00AF1B01" w:rsidRPr="00085117" w:rsidRDefault="00AF1B01" w:rsidP="00085117">
      <w:pPr>
        <w:pStyle w:val="FootnoteText"/>
        <w:ind w:left="567" w:hanging="567"/>
        <w:rPr>
          <w:sz w:val="24"/>
          <w:lang w:val="cs-CZ"/>
        </w:rPr>
      </w:pPr>
      <w:r w:rsidRPr="00085117">
        <w:rPr>
          <w:rStyle w:val="FootnoteReference"/>
          <w:sz w:val="24"/>
          <w:lang w:val="cs-CZ"/>
        </w:rPr>
        <w:footnoteRef/>
      </w:r>
      <w:r w:rsidR="00085117" w:rsidRPr="00085117">
        <w:rPr>
          <w:sz w:val="24"/>
          <w:lang w:val="cs-CZ"/>
        </w:rPr>
        <w:t xml:space="preserve"> </w:t>
      </w:r>
      <w:r w:rsidR="00085117" w:rsidRPr="00085117">
        <w:rPr>
          <w:sz w:val="24"/>
          <w:lang w:val="cs-CZ"/>
        </w:rPr>
        <w:tab/>
      </w:r>
      <w:r w:rsidRPr="00085117">
        <w:rPr>
          <w:sz w:val="24"/>
          <w:lang w:val="cs-CZ"/>
        </w:rPr>
        <w:t>Návrh nařízení Evropského parlamentu a Rady, kterým se provádí posílená spolupráce za účelem zřízení půjčky na podporu Ukrajiny na období 2026–2027 a který dne 14.</w:t>
      </w:r>
      <w:r w:rsidR="00825817" w:rsidRPr="00085117">
        <w:rPr>
          <w:sz w:val="24"/>
          <w:lang w:val="cs-CZ"/>
        </w:rPr>
        <w:t> </w:t>
      </w:r>
      <w:r w:rsidRPr="00085117">
        <w:rPr>
          <w:sz w:val="24"/>
          <w:lang w:val="cs-CZ"/>
        </w:rPr>
        <w:t>ledna 2026 předložila Komise (</w:t>
      </w:r>
      <w:proofErr w:type="gramStart"/>
      <w:r w:rsidRPr="00085117">
        <w:rPr>
          <w:sz w:val="24"/>
          <w:lang w:val="cs-CZ"/>
        </w:rPr>
        <w:t>COM(</w:t>
      </w:r>
      <w:proofErr w:type="gramEnd"/>
      <w:r w:rsidRPr="00085117">
        <w:rPr>
          <w:sz w:val="24"/>
          <w:lang w:val="cs-CZ"/>
        </w:rPr>
        <w:t>2026)0020).</w:t>
      </w:r>
    </w:p>
  </w:footnote>
  <w:footnote w:id="2">
    <w:p w14:paraId="6A527FDE" w14:textId="04AC9D10" w:rsidR="00AF1B01" w:rsidRPr="00085117" w:rsidRDefault="00AF1B01" w:rsidP="00085117">
      <w:pPr>
        <w:pStyle w:val="FootnoteText"/>
        <w:ind w:left="567" w:hanging="567"/>
        <w:rPr>
          <w:sz w:val="24"/>
          <w:lang w:val="cs-CZ"/>
        </w:rPr>
      </w:pPr>
      <w:r w:rsidRPr="00085117">
        <w:rPr>
          <w:rStyle w:val="FootnoteReference"/>
          <w:sz w:val="24"/>
          <w:lang w:val="cs-CZ"/>
        </w:rPr>
        <w:footnoteRef/>
      </w:r>
      <w:r w:rsidR="00085117" w:rsidRPr="00085117">
        <w:rPr>
          <w:sz w:val="24"/>
          <w:lang w:val="cs-CZ"/>
        </w:rPr>
        <w:t xml:space="preserve"> </w:t>
      </w:r>
      <w:r w:rsidR="00085117" w:rsidRPr="00085117">
        <w:rPr>
          <w:sz w:val="24"/>
          <w:lang w:val="cs-CZ"/>
        </w:rPr>
        <w:tab/>
      </w:r>
      <w:r w:rsidRPr="00085117">
        <w:rPr>
          <w:sz w:val="24"/>
          <w:lang w:val="cs-CZ"/>
        </w:rPr>
        <w:t>Nařízení Evropského parlamentu a Rady (EU) 2026/261 ze dne 26. ledna 2026 o postupném ukončení dovozu ruského zemního plynu a přípravě postupného ukončení dovozu ropy, zlepšení monitorování potenciálních energetických závislostí a o změně nařízení (EU) 2017/1938 (</w:t>
      </w:r>
      <w:proofErr w:type="spellStart"/>
      <w:r w:rsidRPr="00085117">
        <w:rPr>
          <w:sz w:val="24"/>
          <w:lang w:val="cs-CZ"/>
        </w:rPr>
        <w:t>Úř</w:t>
      </w:r>
      <w:proofErr w:type="spellEnd"/>
      <w:r w:rsidRPr="00085117">
        <w:rPr>
          <w:sz w:val="24"/>
          <w:lang w:val="cs-CZ"/>
        </w:rPr>
        <w:t>. </w:t>
      </w:r>
      <w:proofErr w:type="spellStart"/>
      <w:r w:rsidRPr="00085117">
        <w:rPr>
          <w:sz w:val="24"/>
          <w:lang w:val="cs-CZ"/>
        </w:rPr>
        <w:t>věst</w:t>
      </w:r>
      <w:proofErr w:type="spellEnd"/>
      <w:r w:rsidRPr="00085117">
        <w:rPr>
          <w:sz w:val="24"/>
          <w:lang w:val="cs-CZ"/>
        </w:rPr>
        <w:t xml:space="preserve">. L, 2026/261, 2.2.2026, ELI: </w:t>
      </w:r>
      <w:hyperlink r:id="rId1" w:history="1">
        <w:r w:rsidRPr="00085117">
          <w:rPr>
            <w:rStyle w:val="Hyperlink"/>
            <w:sz w:val="24"/>
            <w:lang w:val="cs-CZ"/>
          </w:rPr>
          <w:t>http://data.europa.eu/eli/reg/2026/261/oj</w:t>
        </w:r>
      </w:hyperlink>
      <w:r w:rsidRPr="00085117">
        <w:rPr>
          <w:sz w:val="24"/>
          <w:lang w:val="cs-CZ"/>
        </w:rPr>
        <w:t>).</w:t>
      </w:r>
    </w:p>
  </w:footnote>
  <w:footnote w:id="3">
    <w:p w14:paraId="5FA7B7BC" w14:textId="0E73E8E3" w:rsidR="0044094F" w:rsidRPr="005B17A6" w:rsidRDefault="0044094F" w:rsidP="005B17A6">
      <w:pPr>
        <w:pStyle w:val="FootnoteText"/>
        <w:ind w:left="567" w:hanging="567"/>
        <w:rPr>
          <w:sz w:val="24"/>
          <w:szCs w:val="24"/>
          <w:lang w:val="cs-CZ"/>
        </w:rPr>
      </w:pPr>
      <w:r w:rsidRPr="005B17A6">
        <w:rPr>
          <w:rStyle w:val="FootnoteReference"/>
          <w:sz w:val="24"/>
          <w:szCs w:val="24"/>
        </w:rPr>
        <w:footnoteRef/>
      </w:r>
      <w:r w:rsidRPr="005B17A6">
        <w:rPr>
          <w:sz w:val="24"/>
          <w:szCs w:val="24"/>
          <w:lang w:val="cs-CZ"/>
        </w:rPr>
        <w:t xml:space="preserve"> </w:t>
      </w:r>
      <w:r w:rsidRPr="005B17A6">
        <w:rPr>
          <w:sz w:val="24"/>
          <w:szCs w:val="24"/>
          <w:lang w:val="cs-CZ"/>
        </w:rPr>
        <w:tab/>
        <w:t>Směrnice Rady 2001/55/ES ze dne 20. července 2001 o minimálních normách pro</w:t>
      </w:r>
      <w:r w:rsidR="00E12EA2" w:rsidRPr="00E12EA2">
        <w:rPr>
          <w:lang w:val="cs-CZ"/>
        </w:rPr>
        <w:t> </w:t>
      </w:r>
      <w:r w:rsidRPr="005B17A6">
        <w:rPr>
          <w:sz w:val="24"/>
          <w:szCs w:val="24"/>
          <w:lang w:val="cs-CZ"/>
        </w:rPr>
        <w:t>poskytování dočasné ochrany v případě hromadného přílivu vysídlených osob a o</w:t>
      </w:r>
      <w:r w:rsidR="00E12EA2" w:rsidRPr="00E12EA2">
        <w:rPr>
          <w:lang w:val="cs-CZ"/>
        </w:rPr>
        <w:t> </w:t>
      </w:r>
      <w:r w:rsidRPr="005B17A6">
        <w:rPr>
          <w:sz w:val="24"/>
          <w:szCs w:val="24"/>
          <w:lang w:val="cs-CZ"/>
        </w:rPr>
        <w:t>opatřeních k zajištění rovnováhy mezi členskými státy při vynakládání úsilí v</w:t>
      </w:r>
      <w:r w:rsidR="00E12EA2" w:rsidRPr="00E12EA2">
        <w:rPr>
          <w:lang w:val="cs-CZ"/>
        </w:rPr>
        <w:t> </w:t>
      </w:r>
      <w:r w:rsidRPr="005B17A6">
        <w:rPr>
          <w:sz w:val="24"/>
          <w:szCs w:val="24"/>
          <w:lang w:val="cs-CZ"/>
        </w:rPr>
        <w:t>souvislosti s přijetím těchto osob a s následky z toho plynoucími (</w:t>
      </w:r>
      <w:proofErr w:type="spellStart"/>
      <w:r w:rsidRPr="005B17A6">
        <w:rPr>
          <w:sz w:val="24"/>
          <w:szCs w:val="24"/>
          <w:lang w:val="cs-CZ"/>
        </w:rPr>
        <w:t>Úř</w:t>
      </w:r>
      <w:proofErr w:type="spellEnd"/>
      <w:r w:rsidRPr="005B17A6">
        <w:rPr>
          <w:sz w:val="24"/>
          <w:szCs w:val="24"/>
          <w:lang w:val="cs-CZ"/>
        </w:rPr>
        <w:t xml:space="preserve">. </w:t>
      </w:r>
      <w:proofErr w:type="spellStart"/>
      <w:r w:rsidRPr="005B17A6">
        <w:rPr>
          <w:sz w:val="24"/>
          <w:szCs w:val="24"/>
          <w:lang w:val="cs-CZ"/>
        </w:rPr>
        <w:t>věst</w:t>
      </w:r>
      <w:proofErr w:type="spellEnd"/>
      <w:r w:rsidRPr="005B17A6">
        <w:rPr>
          <w:sz w:val="24"/>
          <w:szCs w:val="24"/>
          <w:lang w:val="cs-CZ"/>
        </w:rPr>
        <w:t xml:space="preserve">. L 212, 7.8.2001, s. 12, ELI: </w:t>
      </w:r>
      <w:hyperlink r:id="rId2" w:history="1">
        <w:r w:rsidRPr="005B17A6">
          <w:rPr>
            <w:rStyle w:val="Hyperlink"/>
            <w:sz w:val="24"/>
            <w:szCs w:val="24"/>
            <w:lang w:val="cs-CZ"/>
          </w:rPr>
          <w:t>http://data.europa.eu/eli/dir/2001/55/oj</w:t>
        </w:r>
      </w:hyperlink>
      <w:r w:rsidRPr="005B17A6">
        <w:rPr>
          <w:sz w:val="24"/>
          <w:szCs w:val="24"/>
          <w:lang w:val="cs-CZ"/>
        </w:rPr>
        <w:t>).</w:t>
      </w:r>
    </w:p>
  </w:footnote>
  <w:footnote w:id="4">
    <w:p w14:paraId="7604B095" w14:textId="70ADDE9C" w:rsidR="0044094F" w:rsidRPr="005B17A6" w:rsidRDefault="0044094F" w:rsidP="005B17A6">
      <w:pPr>
        <w:pStyle w:val="FootnoteText"/>
        <w:ind w:left="567" w:hanging="567"/>
        <w:rPr>
          <w:lang w:val="cs-CZ"/>
        </w:rPr>
      </w:pPr>
      <w:r w:rsidRPr="005B17A6">
        <w:rPr>
          <w:rStyle w:val="FootnoteReference"/>
          <w:sz w:val="24"/>
          <w:szCs w:val="24"/>
        </w:rPr>
        <w:footnoteRef/>
      </w:r>
      <w:r w:rsidRPr="005B17A6">
        <w:rPr>
          <w:sz w:val="24"/>
          <w:szCs w:val="24"/>
          <w:lang w:val="cs-CZ"/>
        </w:rPr>
        <w:t xml:space="preserve"> </w:t>
      </w:r>
      <w:r w:rsidRPr="005B17A6">
        <w:rPr>
          <w:sz w:val="24"/>
          <w:szCs w:val="24"/>
          <w:lang w:val="cs-CZ"/>
        </w:rPr>
        <w:tab/>
        <w:t>Usnesení Evropského parlamentu ze dne 29. února 2024 o potřebě neochvějné podpory EU Ukrajině dva roky od začátku útočné války Ruska proti Ukrajině (</w:t>
      </w:r>
      <w:proofErr w:type="spellStart"/>
      <w:r w:rsidRPr="005B17A6">
        <w:rPr>
          <w:sz w:val="24"/>
          <w:szCs w:val="24"/>
          <w:lang w:val="cs-CZ"/>
        </w:rPr>
        <w:t>Úř</w:t>
      </w:r>
      <w:proofErr w:type="spellEnd"/>
      <w:r w:rsidRPr="005B17A6">
        <w:rPr>
          <w:sz w:val="24"/>
          <w:szCs w:val="24"/>
          <w:lang w:val="cs-CZ"/>
        </w:rPr>
        <w:t xml:space="preserve">. </w:t>
      </w:r>
      <w:proofErr w:type="spellStart"/>
      <w:r w:rsidRPr="005B17A6">
        <w:rPr>
          <w:sz w:val="24"/>
          <w:szCs w:val="24"/>
          <w:lang w:val="cs-CZ"/>
        </w:rPr>
        <w:t>věst</w:t>
      </w:r>
      <w:proofErr w:type="spellEnd"/>
      <w:r w:rsidRPr="005B17A6">
        <w:rPr>
          <w:sz w:val="24"/>
          <w:szCs w:val="24"/>
          <w:lang w:val="cs-CZ"/>
        </w:rPr>
        <w:t xml:space="preserve">. </w:t>
      </w:r>
      <w:r w:rsidRPr="005B17A6">
        <w:rPr>
          <w:sz w:val="24"/>
          <w:szCs w:val="24"/>
          <w:lang w:val="fi-FI"/>
        </w:rPr>
        <w:t xml:space="preserve">C, C/2024/6745, 26.11.2024, ELI: </w:t>
      </w:r>
      <w:hyperlink r:id="rId3" w:history="1">
        <w:r w:rsidRPr="005B17A6">
          <w:rPr>
            <w:rStyle w:val="Hyperlink"/>
            <w:color w:val="2E74B5" w:themeColor="accent1" w:themeShade="BF"/>
            <w:sz w:val="24"/>
            <w:szCs w:val="24"/>
            <w:lang w:val="fi-FI"/>
          </w:rPr>
          <w:t>http://data.europa.eu/eli/C/2024/6745/oj</w:t>
        </w:r>
      </w:hyperlink>
      <w:r w:rsidRPr="005B17A6">
        <w:rPr>
          <w:color w:val="2E74B5" w:themeColor="accent1" w:themeShade="BF"/>
          <w:sz w:val="24"/>
          <w:szCs w:val="24"/>
          <w:lang w:val="fi-FI"/>
        </w:rPr>
        <w:t>).</w:t>
      </w:r>
    </w:p>
  </w:footnote>
  <w:footnote w:id="5">
    <w:p w14:paraId="7A0058A3" w14:textId="6E4F64CF" w:rsidR="00AF1B01" w:rsidRPr="00085117" w:rsidRDefault="00AF1B01" w:rsidP="00085117">
      <w:pPr>
        <w:pStyle w:val="FootnoteText"/>
        <w:ind w:left="567" w:hanging="567"/>
        <w:rPr>
          <w:sz w:val="24"/>
          <w:lang w:val="cs-CZ"/>
        </w:rPr>
      </w:pPr>
      <w:r w:rsidRPr="00085117">
        <w:rPr>
          <w:rStyle w:val="FootnoteReference"/>
          <w:sz w:val="24"/>
          <w:lang w:val="cs-CZ"/>
        </w:rPr>
        <w:footnoteRef/>
      </w:r>
      <w:r w:rsidR="00085117" w:rsidRPr="00085117">
        <w:rPr>
          <w:sz w:val="24"/>
          <w:lang w:val="cs-CZ"/>
        </w:rPr>
        <w:t xml:space="preserve"> </w:t>
      </w:r>
      <w:r w:rsidR="00085117" w:rsidRPr="00085117">
        <w:rPr>
          <w:sz w:val="24"/>
          <w:lang w:val="cs-CZ"/>
        </w:rPr>
        <w:tab/>
      </w:r>
      <w:proofErr w:type="spellStart"/>
      <w:r w:rsidRPr="00085117">
        <w:rPr>
          <w:sz w:val="24"/>
          <w:lang w:val="cs-CZ"/>
        </w:rPr>
        <w:t>Úř</w:t>
      </w:r>
      <w:proofErr w:type="spellEnd"/>
      <w:r w:rsidRPr="00085117">
        <w:rPr>
          <w:sz w:val="24"/>
          <w:lang w:val="cs-CZ"/>
        </w:rPr>
        <w:t xml:space="preserve">. </w:t>
      </w:r>
      <w:proofErr w:type="spellStart"/>
      <w:r w:rsidRPr="00085117">
        <w:rPr>
          <w:sz w:val="24"/>
          <w:lang w:val="cs-CZ"/>
        </w:rPr>
        <w:t>věst</w:t>
      </w:r>
      <w:proofErr w:type="spellEnd"/>
      <w:r w:rsidRPr="00085117">
        <w:rPr>
          <w:sz w:val="24"/>
          <w:lang w:val="cs-CZ"/>
        </w:rPr>
        <w:t xml:space="preserve">. L 344, 28.12.2001, s. 93, ELI: </w:t>
      </w:r>
      <w:hyperlink r:id="rId4" w:history="1">
        <w:r w:rsidRPr="00085117">
          <w:rPr>
            <w:rStyle w:val="Hyperlink"/>
            <w:sz w:val="24"/>
            <w:lang w:val="cs-CZ"/>
          </w:rPr>
          <w:t>http://data.europa.eu/eli/compos/2001/931/oj</w:t>
        </w:r>
      </w:hyperlink>
      <w:r w:rsidRPr="00085117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F9D9E" w14:textId="77777777" w:rsidR="00064002" w:rsidRPr="000851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5579B" w14:textId="77777777" w:rsidR="00064002" w:rsidRPr="000851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57F0A" w14:textId="77777777" w:rsidR="00064002" w:rsidRPr="000851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1241774">
    <w:abstractNumId w:val="9"/>
  </w:num>
  <w:num w:numId="2" w16cid:durableId="841238386">
    <w:abstractNumId w:val="9"/>
  </w:num>
  <w:num w:numId="3" w16cid:durableId="1322082413">
    <w:abstractNumId w:val="7"/>
  </w:num>
  <w:num w:numId="4" w16cid:durableId="290133023">
    <w:abstractNumId w:val="7"/>
  </w:num>
  <w:num w:numId="5" w16cid:durableId="1291546438">
    <w:abstractNumId w:val="6"/>
  </w:num>
  <w:num w:numId="6" w16cid:durableId="1783450231">
    <w:abstractNumId w:val="6"/>
  </w:num>
  <w:num w:numId="7" w16cid:durableId="872227370">
    <w:abstractNumId w:val="5"/>
  </w:num>
  <w:num w:numId="8" w16cid:durableId="1681616020">
    <w:abstractNumId w:val="5"/>
  </w:num>
  <w:num w:numId="9" w16cid:durableId="1653751100">
    <w:abstractNumId w:val="4"/>
  </w:num>
  <w:num w:numId="10" w16cid:durableId="542207714">
    <w:abstractNumId w:val="4"/>
  </w:num>
  <w:num w:numId="11" w16cid:durableId="1871993129">
    <w:abstractNumId w:val="8"/>
  </w:num>
  <w:num w:numId="12" w16cid:durableId="586230840">
    <w:abstractNumId w:val="8"/>
  </w:num>
  <w:num w:numId="13" w16cid:durableId="368382975">
    <w:abstractNumId w:val="3"/>
  </w:num>
  <w:num w:numId="14" w16cid:durableId="657612128">
    <w:abstractNumId w:val="3"/>
  </w:num>
  <w:num w:numId="15" w16cid:durableId="1838112564">
    <w:abstractNumId w:val="2"/>
  </w:num>
  <w:num w:numId="16" w16cid:durableId="740325186">
    <w:abstractNumId w:val="2"/>
  </w:num>
  <w:num w:numId="17" w16cid:durableId="84496698">
    <w:abstractNumId w:val="1"/>
  </w:num>
  <w:num w:numId="18" w16cid:durableId="544948016">
    <w:abstractNumId w:val="1"/>
  </w:num>
  <w:num w:numId="19" w16cid:durableId="610163973">
    <w:abstractNumId w:val="0"/>
  </w:num>
  <w:num w:numId="20" w16cid:durableId="180975185">
    <w:abstractNumId w:val="0"/>
  </w:num>
  <w:num w:numId="21" w16cid:durableId="1935287444">
    <w:abstractNumId w:val="9"/>
  </w:num>
  <w:num w:numId="22" w16cid:durableId="767967753">
    <w:abstractNumId w:val="7"/>
  </w:num>
  <w:num w:numId="23" w16cid:durableId="1088968837">
    <w:abstractNumId w:val="6"/>
  </w:num>
  <w:num w:numId="24" w16cid:durableId="1211308020">
    <w:abstractNumId w:val="5"/>
  </w:num>
  <w:num w:numId="25" w16cid:durableId="1229072843">
    <w:abstractNumId w:val="4"/>
  </w:num>
  <w:num w:numId="26" w16cid:durableId="1722053813">
    <w:abstractNumId w:val="8"/>
  </w:num>
  <w:num w:numId="27" w16cid:durableId="1616450445">
    <w:abstractNumId w:val="3"/>
  </w:num>
  <w:num w:numId="28" w16cid:durableId="821701490">
    <w:abstractNumId w:val="2"/>
  </w:num>
  <w:num w:numId="29" w16cid:durableId="288823466">
    <w:abstractNumId w:val="1"/>
  </w:num>
  <w:num w:numId="30" w16cid:durableId="1619097556">
    <w:abstractNumId w:val="0"/>
  </w:num>
  <w:num w:numId="31" w16cid:durableId="708072370">
    <w:abstractNumId w:val="9"/>
  </w:num>
  <w:num w:numId="32" w16cid:durableId="1259410385">
    <w:abstractNumId w:val="7"/>
  </w:num>
  <w:num w:numId="33" w16cid:durableId="625162861">
    <w:abstractNumId w:val="6"/>
  </w:num>
  <w:num w:numId="34" w16cid:durableId="930166971">
    <w:abstractNumId w:val="5"/>
  </w:num>
  <w:num w:numId="35" w16cid:durableId="860095605">
    <w:abstractNumId w:val="4"/>
  </w:num>
  <w:num w:numId="36" w16cid:durableId="1892114181">
    <w:abstractNumId w:val="8"/>
  </w:num>
  <w:num w:numId="37" w16cid:durableId="2035883257">
    <w:abstractNumId w:val="3"/>
  </w:num>
  <w:num w:numId="38" w16cid:durableId="1422679027">
    <w:abstractNumId w:val="2"/>
  </w:num>
  <w:num w:numId="39" w16cid:durableId="1212696277">
    <w:abstractNumId w:val="1"/>
  </w:num>
  <w:num w:numId="40" w16cid:durableId="1545556358">
    <w:abstractNumId w:val="0"/>
  </w:num>
  <w:num w:numId="41" w16cid:durableId="1001591071">
    <w:abstractNumId w:val="10"/>
  </w:num>
  <w:num w:numId="42" w16cid:durableId="1728449958">
    <w:abstractNumId w:val="10"/>
  </w:num>
  <w:num w:numId="43" w16cid:durableId="1565020731">
    <w:abstractNumId w:val="10"/>
  </w:num>
  <w:num w:numId="44" w16cid:durableId="8405088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43/2026"/>
    <w:docVar w:name="dvlangue" w:val="CS"/>
    <w:docVar w:name="dvnumam" w:val="0"/>
    <w:docVar w:name="dvpe" w:val="782.958"/>
    <w:docVar w:name="dvtitre" w:val="Usnesení Evropského parlamentu ze dne 24. února 2026 o čtyřech letech útočné války Ruska proti Ukrajině a způsobu, jak může Evropa přispět ke spravedlivému míru a trvalé bezpečnosti na Ukrajině(2026/2599(RSP))"/>
  </w:docVars>
  <w:rsids>
    <w:rsidRoot w:val="00642A97"/>
    <w:rsid w:val="00002272"/>
    <w:rsid w:val="00064002"/>
    <w:rsid w:val="000677B9"/>
    <w:rsid w:val="000831BA"/>
    <w:rsid w:val="00085117"/>
    <w:rsid w:val="000A42CC"/>
    <w:rsid w:val="000E7DD9"/>
    <w:rsid w:val="0010095E"/>
    <w:rsid w:val="00125B37"/>
    <w:rsid w:val="0018692C"/>
    <w:rsid w:val="00187494"/>
    <w:rsid w:val="00193EBF"/>
    <w:rsid w:val="001F32AE"/>
    <w:rsid w:val="002767FF"/>
    <w:rsid w:val="002973B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94F"/>
    <w:rsid w:val="00471C19"/>
    <w:rsid w:val="004867E3"/>
    <w:rsid w:val="00494A28"/>
    <w:rsid w:val="004C0004"/>
    <w:rsid w:val="004C5D52"/>
    <w:rsid w:val="0050519A"/>
    <w:rsid w:val="005072A1"/>
    <w:rsid w:val="00514517"/>
    <w:rsid w:val="0053593D"/>
    <w:rsid w:val="00545827"/>
    <w:rsid w:val="00560270"/>
    <w:rsid w:val="005B17A6"/>
    <w:rsid w:val="005C2568"/>
    <w:rsid w:val="005F1B17"/>
    <w:rsid w:val="006037C0"/>
    <w:rsid w:val="00631D3D"/>
    <w:rsid w:val="00642A97"/>
    <w:rsid w:val="0065127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81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FB4"/>
    <w:rsid w:val="00A778C7"/>
    <w:rsid w:val="00AB441E"/>
    <w:rsid w:val="00AB6293"/>
    <w:rsid w:val="00AE0928"/>
    <w:rsid w:val="00AF1B01"/>
    <w:rsid w:val="00AF3B82"/>
    <w:rsid w:val="00B12E95"/>
    <w:rsid w:val="00B22876"/>
    <w:rsid w:val="00B558F0"/>
    <w:rsid w:val="00BD48FE"/>
    <w:rsid w:val="00BD7BD8"/>
    <w:rsid w:val="00BE6ADC"/>
    <w:rsid w:val="00BE7A73"/>
    <w:rsid w:val="00C05BFE"/>
    <w:rsid w:val="00C212F6"/>
    <w:rsid w:val="00C23CD4"/>
    <w:rsid w:val="00C61C0C"/>
    <w:rsid w:val="00C941CB"/>
    <w:rsid w:val="00CC2357"/>
    <w:rsid w:val="00CF071A"/>
    <w:rsid w:val="00D058B8"/>
    <w:rsid w:val="00D51F71"/>
    <w:rsid w:val="00D56C11"/>
    <w:rsid w:val="00D73E40"/>
    <w:rsid w:val="00D834A0"/>
    <w:rsid w:val="00D872DF"/>
    <w:rsid w:val="00D91E21"/>
    <w:rsid w:val="00DA7FCD"/>
    <w:rsid w:val="00E12EA2"/>
    <w:rsid w:val="00E365E1"/>
    <w:rsid w:val="00E820A4"/>
    <w:rsid w:val="00EB006A"/>
    <w:rsid w:val="00EB4772"/>
    <w:rsid w:val="00EC1B56"/>
    <w:rsid w:val="00ED169E"/>
    <w:rsid w:val="00ED4235"/>
    <w:rsid w:val="00F04346"/>
    <w:rsid w:val="00F075DC"/>
    <w:rsid w:val="00F149E9"/>
    <w:rsid w:val="00F444C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66E25"/>
  <w15:chartTrackingRefBased/>
  <w15:docId w15:val="{A646B6E9-E1AA-43ED-977B-46718BA7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1B01"/>
    <w:pPr>
      <w:spacing w:after="240"/>
      <w:ind w:left="567" w:hanging="567"/>
    </w:pPr>
  </w:style>
  <w:style w:type="paragraph" w:customStyle="1" w:styleId="EPComma">
    <w:name w:val="EPComma"/>
    <w:basedOn w:val="Normal"/>
    <w:rsid w:val="00AF1B01"/>
    <w:pPr>
      <w:spacing w:before="480" w:after="240"/>
    </w:pPr>
  </w:style>
  <w:style w:type="character" w:styleId="Hyperlink">
    <w:name w:val="Hyperlink"/>
    <w:basedOn w:val="DefaultParagraphFont"/>
    <w:rsid w:val="00AF1B0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F1B01"/>
    <w:rPr>
      <w:sz w:val="24"/>
      <w:lang w:val="cs-CZ"/>
    </w:rPr>
  </w:style>
  <w:style w:type="paragraph" w:styleId="Revision">
    <w:name w:val="Revision"/>
    <w:hidden/>
    <w:uiPriority w:val="99"/>
    <w:semiHidden/>
    <w:rsid w:val="00825817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440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4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5/oj" TargetMode="External"/><Relationship Id="rId2" Type="http://schemas.openxmlformats.org/officeDocument/2006/relationships/hyperlink" Target="http://data.europa.eu/eli/dir/2001/55/oj" TargetMode="External"/><Relationship Id="rId1" Type="http://schemas.openxmlformats.org/officeDocument/2006/relationships/hyperlink" Target="http://data.europa.eu/eli/reg/2026/261/oj" TargetMode="External"/><Relationship Id="rId4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3345</Words>
  <Characters>20162</Characters>
  <Application>Microsoft Office Word</Application>
  <DocSecurity>0</DocSecurity>
  <Lines>168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2026-02-24T11:48:00Z</dcterms:created>
  <dcterms:modified xsi:type="dcterms:W3CDTF">2026-02-24T11:48:00Z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B10-0143/2026</vt:lpwstr>
  </property>
  <property fmtid="{D5CDD505-2E9C-101B-9397-08002B2CF9AE}" pid="4" name="&lt;Type&gt;">
    <vt:lpwstr>RR</vt:lpwstr>
  </property>
</Properties>
</file>