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14E4" w14:paraId="50E2CC70" w14:textId="77777777" w:rsidTr="0010095E">
        <w:trPr>
          <w:trHeight w:hRule="exact" w:val="1418"/>
        </w:trPr>
        <w:tc>
          <w:tcPr>
            <w:tcW w:w="6804" w:type="dxa"/>
            <w:shd w:val="clear" w:color="auto" w:fill="auto"/>
            <w:vAlign w:val="center"/>
          </w:tcPr>
          <w:p w14:paraId="7D1B4537" w14:textId="3ED6BA6B" w:rsidR="00751A4A" w:rsidRPr="005614E4" w:rsidRDefault="00F70F39" w:rsidP="0010095E">
            <w:pPr>
              <w:pStyle w:val="EPName"/>
            </w:pPr>
            <w:r w:rsidRPr="005614E4">
              <w:t>Europa-Parlamentet</w:t>
            </w:r>
          </w:p>
          <w:p w14:paraId="1A3B4898" w14:textId="77777777" w:rsidR="00751A4A" w:rsidRPr="005614E4" w:rsidRDefault="005F1B17" w:rsidP="005F1B17">
            <w:pPr>
              <w:pStyle w:val="EPTerm"/>
              <w:rPr>
                <w:rStyle w:val="HideTWBExt"/>
                <w:noProof w:val="0"/>
                <w:vanish w:val="0"/>
                <w:color w:val="auto"/>
              </w:rPr>
            </w:pPr>
            <w:r w:rsidRPr="005614E4">
              <w:t>2024</w:t>
            </w:r>
            <w:r w:rsidR="00817416" w:rsidRPr="005614E4">
              <w:t>-202</w:t>
            </w:r>
            <w:r w:rsidRPr="005614E4">
              <w:t>9</w:t>
            </w:r>
          </w:p>
        </w:tc>
        <w:tc>
          <w:tcPr>
            <w:tcW w:w="2268" w:type="dxa"/>
            <w:shd w:val="clear" w:color="auto" w:fill="auto"/>
          </w:tcPr>
          <w:p w14:paraId="6F5CA996" w14:textId="77777777" w:rsidR="00751A4A" w:rsidRPr="005614E4" w:rsidRDefault="00187494" w:rsidP="0010095E">
            <w:pPr>
              <w:pStyle w:val="EPLogo"/>
            </w:pPr>
            <w:r w:rsidRPr="005614E4">
              <w:rPr>
                <w:noProof/>
                <w:lang w:eastAsia="ja-JP"/>
              </w:rPr>
              <w:drawing>
                <wp:inline distT="0" distB="0" distL="0" distR="0" wp14:anchorId="4BFCD289" wp14:editId="3D25B5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C9C2B9" w14:textId="77777777" w:rsidR="00D058B8" w:rsidRPr="005614E4" w:rsidRDefault="00D058B8" w:rsidP="004C5D52">
      <w:pPr>
        <w:pStyle w:val="LineTop"/>
      </w:pPr>
    </w:p>
    <w:p w14:paraId="02400B7A" w14:textId="63EDE6D6" w:rsidR="00680577" w:rsidRPr="005614E4" w:rsidRDefault="00F70F39" w:rsidP="00680577">
      <w:pPr>
        <w:pStyle w:val="EPBodyTA1"/>
      </w:pPr>
      <w:r w:rsidRPr="005614E4">
        <w:t>VEDTAGNE TEKSTER</w:t>
      </w:r>
    </w:p>
    <w:p w14:paraId="6E04F9BF" w14:textId="77777777" w:rsidR="00D058B8" w:rsidRPr="005614E4" w:rsidRDefault="00D058B8" w:rsidP="00D058B8">
      <w:pPr>
        <w:pStyle w:val="LineBottom"/>
      </w:pPr>
    </w:p>
    <w:p w14:paraId="1A9CC54C" w14:textId="38F03EEB" w:rsidR="00F70F39" w:rsidRPr="005614E4" w:rsidRDefault="00F70F39" w:rsidP="00F70F39">
      <w:pPr>
        <w:pStyle w:val="ATHeading1"/>
      </w:pPr>
      <w:bookmarkStart w:id="0" w:name="TANumber"/>
      <w:r w:rsidRPr="005614E4">
        <w:t>P10_</w:t>
      </w:r>
      <w:proofErr w:type="gramStart"/>
      <w:r w:rsidRPr="005614E4">
        <w:t>TA(</w:t>
      </w:r>
      <w:proofErr w:type="gramEnd"/>
      <w:r w:rsidRPr="005614E4">
        <w:t>2026)00</w:t>
      </w:r>
      <w:r w:rsidR="006C296F">
        <w:t>56</w:t>
      </w:r>
      <w:bookmarkEnd w:id="0"/>
    </w:p>
    <w:p w14:paraId="7FD23F7D" w14:textId="760E891C" w:rsidR="00F70F39" w:rsidRPr="005614E4" w:rsidRDefault="00F70F39" w:rsidP="00F70F39">
      <w:pPr>
        <w:pStyle w:val="ATHeading2"/>
      </w:pPr>
      <w:bookmarkStart w:id="1" w:name="title"/>
      <w:r w:rsidRPr="005614E4">
        <w:t>Fire</w:t>
      </w:r>
      <w:r w:rsidR="00296EB4">
        <w:t xml:space="preserve"> </w:t>
      </w:r>
      <w:r w:rsidRPr="005614E4">
        <w:t>år med Ruslands angrebskrig mod Ukraine og europæiske bidrag til en retfærdig fred og vedvarende sikkerhed for Ukraine</w:t>
      </w:r>
      <w:bookmarkEnd w:id="1"/>
    </w:p>
    <w:p w14:paraId="6647FBA7" w14:textId="70DE97F3" w:rsidR="00F70F39" w:rsidRPr="005614E4" w:rsidRDefault="00F70F39" w:rsidP="00F70F39">
      <w:pPr>
        <w:rPr>
          <w:i/>
          <w:vanish/>
        </w:rPr>
      </w:pPr>
      <w:r w:rsidRPr="005614E4">
        <w:rPr>
          <w:i/>
        </w:rPr>
        <w:fldChar w:fldCharType="begin"/>
      </w:r>
      <w:r w:rsidRPr="005614E4">
        <w:rPr>
          <w:i/>
        </w:rPr>
        <w:instrText xml:space="preserve"> TC"(</w:instrText>
      </w:r>
      <w:bookmarkStart w:id="2" w:name="DocNumber"/>
      <w:r w:rsidRPr="005614E4">
        <w:rPr>
          <w:i/>
        </w:rPr>
        <w:instrText>B10-0143</w:instrText>
      </w:r>
      <w:r w:rsidR="00296EB4">
        <w:rPr>
          <w:i/>
        </w:rPr>
        <w:instrText>, 0144, 0145, 0146 og 0147</w:instrText>
      </w:r>
      <w:r w:rsidRPr="005614E4">
        <w:rPr>
          <w:i/>
        </w:rPr>
        <w:instrText>/2026</w:instrText>
      </w:r>
      <w:bookmarkEnd w:id="2"/>
      <w:r w:rsidRPr="005614E4">
        <w:rPr>
          <w:i/>
        </w:rPr>
        <w:instrText xml:space="preserve">)"\l3 \n&gt; \* MERGEFORMAT </w:instrText>
      </w:r>
      <w:r w:rsidRPr="005614E4">
        <w:rPr>
          <w:i/>
        </w:rPr>
        <w:fldChar w:fldCharType="end"/>
      </w:r>
    </w:p>
    <w:p w14:paraId="6B55F9CC" w14:textId="77777777" w:rsidR="00F70F39" w:rsidRPr="005614E4" w:rsidRDefault="00F70F39" w:rsidP="00F70F39">
      <w:pPr>
        <w:rPr>
          <w:vanish/>
        </w:rPr>
      </w:pPr>
      <w:bookmarkStart w:id="3" w:name="PE"/>
      <w:r w:rsidRPr="005614E4">
        <w:rPr>
          <w:vanish/>
        </w:rPr>
        <w:t>PE782.958</w:t>
      </w:r>
      <w:bookmarkEnd w:id="3"/>
    </w:p>
    <w:p w14:paraId="20F62FA9" w14:textId="522C5934" w:rsidR="00F70F39" w:rsidRPr="005614E4" w:rsidRDefault="00F70F39" w:rsidP="00F70F39">
      <w:pPr>
        <w:pStyle w:val="ATHeading3"/>
      </w:pPr>
      <w:bookmarkStart w:id="4" w:name="Sujet"/>
      <w:r w:rsidRPr="005614E4">
        <w:t>Europa-Parlamentets beslutning af 24. februar 2026 om fire</w:t>
      </w:r>
      <w:r w:rsidR="00056E18">
        <w:t xml:space="preserve"> </w:t>
      </w:r>
      <w:r w:rsidRPr="005614E4">
        <w:t>år med Ruslands angrebskrig mod Ukraine og europæiske bidrag til en retfærdig fred og vedvarende sikkerhed for Ukraine</w:t>
      </w:r>
      <w:bookmarkEnd w:id="4"/>
      <w:r w:rsidRPr="005614E4">
        <w:t xml:space="preserve"> </w:t>
      </w:r>
      <w:bookmarkStart w:id="5" w:name="References"/>
      <w:r w:rsidRPr="005614E4">
        <w:t>(2026/2599(RSP))</w:t>
      </w:r>
      <w:bookmarkEnd w:id="5"/>
    </w:p>
    <w:p w14:paraId="00A941E3" w14:textId="77777777" w:rsidR="00D02B17" w:rsidRPr="005614E4" w:rsidRDefault="00D02B17" w:rsidP="00D02B17">
      <w:pPr>
        <w:pStyle w:val="EPComma"/>
      </w:pPr>
      <w:bookmarkStart w:id="6" w:name="TextBodyBegin"/>
      <w:bookmarkEnd w:id="6"/>
      <w:r w:rsidRPr="005614E4">
        <w:rPr>
          <w:i/>
          <w:iCs/>
        </w:rPr>
        <w:t>Europa-Parlamentet</w:t>
      </w:r>
      <w:r w:rsidRPr="005614E4">
        <w:t>,</w:t>
      </w:r>
    </w:p>
    <w:p w14:paraId="785152B1" w14:textId="77777777" w:rsidR="00D02B17" w:rsidRPr="005614E4" w:rsidRDefault="00D02B17" w:rsidP="00D02B17">
      <w:pPr>
        <w:pStyle w:val="NormalHanging12a"/>
      </w:pPr>
      <w:r w:rsidRPr="005614E4">
        <w:t>–</w:t>
      </w:r>
      <w:r w:rsidRPr="005614E4">
        <w:tab/>
        <w:t>der henviser til sine tidligere beslutninger om Ukraine og Rusland,</w:t>
      </w:r>
    </w:p>
    <w:p w14:paraId="62DE371A" w14:textId="77777777" w:rsidR="00D02B17" w:rsidRPr="005614E4" w:rsidRDefault="00D02B17" w:rsidP="00D02B17">
      <w:pPr>
        <w:pStyle w:val="NormalHanging12a"/>
      </w:pPr>
      <w:r w:rsidRPr="005614E4">
        <w:t>–</w:t>
      </w:r>
      <w:r w:rsidRPr="005614E4">
        <w:tab/>
        <w:t>der henviser til forretningsordenens artikel 167, stk. 2, og artikel 136, stk. 4,</w:t>
      </w:r>
    </w:p>
    <w:p w14:paraId="01F4CDEB" w14:textId="77777777" w:rsidR="00D02B17" w:rsidRPr="005614E4" w:rsidRDefault="00D02B17" w:rsidP="00D02B17">
      <w:pPr>
        <w:pStyle w:val="NormalHanging12a"/>
      </w:pPr>
      <w:r w:rsidRPr="005614E4">
        <w:t>A.</w:t>
      </w:r>
      <w:r w:rsidRPr="005614E4">
        <w:tab/>
        <w:t xml:space="preserve">der henviser til, at Den Russiske Føderation for fire år siden, den 24. februar 2022, indledte en brutal, uprovokeret, uberettiget og ulovlig angrebskrig mod Ukraine; der henviser til, at Ruslands aggression mod Ukraine begyndte i 2014 med besættelsen af dele af </w:t>
      </w:r>
      <w:proofErr w:type="spellStart"/>
      <w:r w:rsidRPr="005614E4">
        <w:t>Donbas</w:t>
      </w:r>
      <w:proofErr w:type="spellEnd"/>
      <w:r w:rsidRPr="005614E4">
        <w:t>-regionen og annekteringen af Krim;</w:t>
      </w:r>
    </w:p>
    <w:p w14:paraId="278C724F" w14:textId="77777777" w:rsidR="00D02B17" w:rsidRPr="005614E4" w:rsidRDefault="00D02B17" w:rsidP="00D02B17">
      <w:pPr>
        <w:pStyle w:val="NormalHanging12a"/>
      </w:pPr>
      <w:r w:rsidRPr="005614E4">
        <w:t>B.</w:t>
      </w:r>
      <w:r w:rsidRPr="005614E4">
        <w:tab/>
        <w:t xml:space="preserve">der henviser til, at Rusland på trods af bred international fordømmelse og hidtil usete sanktioner optrapper sin krigsindsats gennem målrettede angreb på kritisk energiinfrastruktur, beboelsesejendomme og civil infrastruktur; der henviser til, at millioner af mennesker i Ukraine forsøger at overleve isnende vintertemperaturer med begrænset elektricitet, opvarmning og rindende vand; der henviser til, at de </w:t>
      </w:r>
      <w:proofErr w:type="spellStart"/>
      <w:r w:rsidRPr="005614E4">
        <w:t>miljøskader</w:t>
      </w:r>
      <w:proofErr w:type="spellEnd"/>
      <w:r w:rsidRPr="005614E4">
        <w:t>, som Rusland har forårsaget i løbet af de seneste fire år, også har haft ødelæggende konsekvenser for Ukraines naturressourcer og kritiske økosystemer og for befolkningens sundhed, levebrød og sikkerhed;</w:t>
      </w:r>
    </w:p>
    <w:p w14:paraId="520A148C" w14:textId="77777777" w:rsidR="00D02B17" w:rsidRPr="005614E4" w:rsidRDefault="00D02B17" w:rsidP="00D02B17">
      <w:pPr>
        <w:pStyle w:val="NormalHanging12a"/>
      </w:pPr>
      <w:r w:rsidRPr="005614E4">
        <w:t>C.</w:t>
      </w:r>
      <w:r w:rsidRPr="005614E4">
        <w:tab/>
        <w:t>der henviser til, at Iran, Nordkorea og Belarus har forsynet Rusland med omfattende leverancer af våben og ammunition, og at Belarus har givet Rusland adgang til at anvende sit territorium til at angribe Ukraine, hvilket i henhold til folkeretten udgør en krigshandling; der henviser til, at Kina i kraft af sin økonomiske og forsvarsindustrielle støtte til Rusland er blevet en strategisk katalysator i den russiske krigsføring; der henviser til, at tusindvis af cubanske og andre udenlandske statsborgere kæmper sammen med russiske tropper i Ukraine; der henviser til, at der sammen med lejesoldater og frivillige rekrutter angiveligt er over 1 400 borgere fra 36 afrikanske nationer, der kæmper for Rusland;</w:t>
      </w:r>
    </w:p>
    <w:p w14:paraId="67C31327" w14:textId="77777777" w:rsidR="00D02B17" w:rsidRPr="005614E4" w:rsidRDefault="00D02B17" w:rsidP="00D02B17">
      <w:pPr>
        <w:pStyle w:val="NormalHanging12a"/>
      </w:pPr>
      <w:r w:rsidRPr="005614E4">
        <w:t>D.</w:t>
      </w:r>
      <w:r w:rsidRPr="005614E4">
        <w:tab/>
        <w:t xml:space="preserve">der henviser til, at Wagnergruppen og dens efterfølgere systematisk har begået tortur og </w:t>
      </w:r>
      <w:r w:rsidRPr="005614E4">
        <w:lastRenderedPageBreak/>
        <w:t>udenretlige henrettelser, anvendt seksuel vold som krigsvåben og udført destabiliseringsoperationer i hele Ukraine; der henviser til, at EU's sanktioner mod enkeltpersoner og enheder med tilknytning til Wagnergruppen fortsat er utilstrækkelige til at retsforfølge rekrutteringsagenter, kombattanter og tilhængere, som ikke risikerer strafferetlige sanktioner i henhold til de nuværende foranstaltninger;</w:t>
      </w:r>
    </w:p>
    <w:p w14:paraId="41C2A645" w14:textId="77777777" w:rsidR="00D02B17" w:rsidRPr="005614E4" w:rsidRDefault="00D02B17" w:rsidP="00D02B17">
      <w:pPr>
        <w:pStyle w:val="NormalHanging12a"/>
      </w:pPr>
      <w:r w:rsidRPr="005614E4">
        <w:t>E.</w:t>
      </w:r>
      <w:r w:rsidRPr="005614E4">
        <w:tab/>
        <w:t>der henviser til, at Ukraine og internationale organer har dokumenteret hundredvis af russiske styrkers henrettelser af ukrainske krigsfanger; der henviser til, at sådanne henrettelser udgør alvorlige krænkelser af folkeretten og menneskerettighederne og udtrykkeligt anerkendes som krigsforbrydelser i henhold til Genèvekonventionerne og Romstatutten for Den Internationale Straffedomstol;</w:t>
      </w:r>
    </w:p>
    <w:p w14:paraId="63717C82" w14:textId="77777777" w:rsidR="00D02B17" w:rsidRPr="005614E4" w:rsidRDefault="00D02B17" w:rsidP="00D02B17">
      <w:pPr>
        <w:pStyle w:val="NormalHanging12a"/>
      </w:pPr>
      <w:r w:rsidRPr="005614E4">
        <w:t>F.</w:t>
      </w:r>
      <w:r w:rsidRPr="005614E4">
        <w:tab/>
        <w:t xml:space="preserve">der henviser til, at Rusland gentagne gange har været involveret i hybrid krigsførelse i hele EU, herunder gennem </w:t>
      </w:r>
      <w:proofErr w:type="spellStart"/>
      <w:r w:rsidRPr="005614E4">
        <w:t>cyberangreb</w:t>
      </w:r>
      <w:proofErr w:type="spellEnd"/>
      <w:r w:rsidRPr="005614E4">
        <w:t>, desinformationskampagner og indblanding i valg, samt i militære provokationer, herunder jagerflys og langtrækkende angrebsdroners krænkelser af luftrummet;</w:t>
      </w:r>
    </w:p>
    <w:p w14:paraId="13C26018" w14:textId="77777777" w:rsidR="00D02B17" w:rsidRPr="005614E4" w:rsidRDefault="00D02B17" w:rsidP="00D02B17">
      <w:pPr>
        <w:pStyle w:val="NormalHanging12a"/>
        <w:rPr>
          <w:bCs/>
        </w:rPr>
      </w:pPr>
      <w:r w:rsidRPr="005614E4">
        <w:t>G.</w:t>
      </w:r>
      <w:r w:rsidRPr="005614E4">
        <w:tab/>
        <w:t>der henviser til, at den russiske angrebskrig mod Ukraine i alvorlig grad har undergravet den europæiske og globale sikkerhed og indgår i en bredere imperialistisk og ekspansionistisk dagsorden; der henviser til, at en fredsaftale skal understøttes af troværdige og solide sikkerhedsgarantier for at forhindre og straks modvirke eventuel fornyet russisk aggression;</w:t>
      </w:r>
    </w:p>
    <w:p w14:paraId="22ED3C88" w14:textId="77777777" w:rsidR="00D02B17" w:rsidRPr="005614E4" w:rsidRDefault="00D02B17" w:rsidP="00D02B17">
      <w:pPr>
        <w:pStyle w:val="NormalHanging12a"/>
      </w:pPr>
      <w:r w:rsidRPr="005614E4">
        <w:t>H.</w:t>
      </w:r>
      <w:r w:rsidRPr="005614E4">
        <w:tab/>
        <w:t>der henviser til, at mindst 20 000 og muligvis op til 35 000 ukrainske børn er blevet tvangsdeporteret til Rusland og Belarus eller tilbageholdt i midlertidigt besatte ukrainske områder;</w:t>
      </w:r>
    </w:p>
    <w:p w14:paraId="0237EFA6" w14:textId="77777777" w:rsidR="00D02B17" w:rsidRPr="005614E4" w:rsidRDefault="00D02B17" w:rsidP="00D02B17">
      <w:pPr>
        <w:pStyle w:val="NormalHanging12a"/>
      </w:pPr>
      <w:r w:rsidRPr="005614E4">
        <w:t>I.</w:t>
      </w:r>
      <w:r w:rsidRPr="005614E4">
        <w:tab/>
        <w:t>der henviser til, at militærpolitiet under det russiske forsvarsministerium, den føderale sikkerhedstjeneste og det føderale fængselsvæsen tilbageholder et ubestemt antal ukrainske krigsfanger og civile i isolation, og at ukrainske menneskerettighedsorganisationer anslår, at op mod 16 000 ukrainske civile er blevet ulovligt frihedsberøvet;</w:t>
      </w:r>
    </w:p>
    <w:p w14:paraId="36F1564C" w14:textId="77777777" w:rsidR="00D02B17" w:rsidRPr="005614E4" w:rsidRDefault="00D02B17" w:rsidP="00D02B17">
      <w:pPr>
        <w:pStyle w:val="NormalHanging12a"/>
      </w:pPr>
      <w:r w:rsidRPr="005614E4">
        <w:t>J.</w:t>
      </w:r>
      <w:r w:rsidRPr="005614E4">
        <w:tab/>
        <w:t>der henviser til, at nogle medlemsstater stadig betaler Rusland for fossile brændstoffer hver eneste måned, hvor de alene i december 2025 aftog russiske fossile brændstoffer for 1,3 mio. EUR; der henviser til, at EU fortsat er den største aftager af russisk flydende naturgas (LNG) og rørledningsgas, og at EU tegner sig for næsten halvdelen (49 %) af Ruslands samlede LNG-eksport og 35 % af Ruslands eksport af rørledningsgas;</w:t>
      </w:r>
    </w:p>
    <w:p w14:paraId="638874C8" w14:textId="77777777" w:rsidR="00D02B17" w:rsidRPr="005614E4" w:rsidRDefault="00D02B17" w:rsidP="00D02B17">
      <w:pPr>
        <w:pStyle w:val="NormalHanging12a"/>
      </w:pPr>
      <w:r w:rsidRPr="005614E4">
        <w:t>1.</w:t>
      </w:r>
      <w:r w:rsidRPr="005614E4">
        <w:tab/>
        <w:t>hylder de tusinder, der har ofret deres liv for et frit og demokratisk Ukraine og til forsvar for vores fælles europæiske værdier i løbet af de fire år, Ruslands angrebskrig har stået på; understreger, at Ukraines standhaftighed er og bliver et varigt vidnesbyrd om demokratiets styrke, når det er oppe imod tyranni; bekræfter på ny sin urokkelige solidaritet med det ukrainske folk og sin støtte til Ukraines uafhængighed, suverænitet og territoriale integritet inden for dets internationalt anerkendte grænser; gentager sin fulde støtte til en retfærdig, omfattende og varig fred i Ukraine på vilkår, som er fastsat af Ukraine og acceptable for landets befolkning; indskærper på det kraftigste, at Ukraine er i sin fulde ret til at forsvare sig i overensstemmelse med artikel 51 i FN-pagten; gentager sin faste overbevisning om, at Ruslands aggression skal mislykkes og Ukraine sejre;</w:t>
      </w:r>
    </w:p>
    <w:p w14:paraId="04F4FEF7" w14:textId="77777777" w:rsidR="00D02B17" w:rsidRPr="005614E4" w:rsidRDefault="00D02B17" w:rsidP="00D02B17">
      <w:pPr>
        <w:pStyle w:val="NormalHanging12a"/>
      </w:pPr>
      <w:r w:rsidRPr="005614E4">
        <w:t>2.</w:t>
      </w:r>
      <w:r w:rsidRPr="005614E4">
        <w:tab/>
        <w:t xml:space="preserve">understreger, at Ruslands ulovlige, uprovokerede og uberettigede angrebskrig mod Ukraine udgør en åbenlys krænkelse af folkeretten og af FN-pagten såvel som et hidtil uset angreb på den europæiske sikkerhedsstruktur; understreger, at Rusland, dets ledelse og dets allierede – såsom det </w:t>
      </w:r>
      <w:proofErr w:type="spellStart"/>
      <w:r w:rsidRPr="005614E4">
        <w:t>belarusiske</w:t>
      </w:r>
      <w:proofErr w:type="spellEnd"/>
      <w:r w:rsidRPr="005614E4">
        <w:t xml:space="preserve"> regime – bærer det fulde ansvar for krigen, krigsforbrydelserne og aggressionsforbrydelsen, og opfordrer til, at de drages fuldt ud til ansvar;</w:t>
      </w:r>
    </w:p>
    <w:p w14:paraId="45E60932" w14:textId="77777777" w:rsidR="00D02B17" w:rsidRPr="005614E4" w:rsidRDefault="00D02B17" w:rsidP="00D02B17">
      <w:pPr>
        <w:pStyle w:val="NormalHanging12a"/>
      </w:pPr>
      <w:r w:rsidRPr="005614E4">
        <w:t>3.</w:t>
      </w:r>
      <w:r w:rsidRPr="005614E4">
        <w:tab/>
        <w:t>gentager på det kraftigste sin fordømmelse af Ruslands brutale angrebskrig mod Ukraine og af Nordkoreas og Irans medvirken heri; kræver, at Rusland og dets stedfortræderstyrker øjeblikkeligt, fuldstændigt og betingelsesløst indstiller alle militære aktioner i Ukraine, indstiller alle angreb på beboelsesområder og civil infrastruktur, trækker alle militære styrker, stedfortrædere og al militært udstyr tilbage fra hele Ukraines internationalt anerkendte territorium, løslader og tilbageleverer alle krigsfanger, politiske fanger, bortførte børn og civile og permanent ophører med at krænke eller true Ukraines suverænitet, uafhængighed og territoriale integritet; gentager, at EU fortsat ikke vil anerkende de midlertidigt besatte områder i Ukraine som russisk territorium;</w:t>
      </w:r>
    </w:p>
    <w:p w14:paraId="24FB973C" w14:textId="77777777" w:rsidR="00D02B17" w:rsidRPr="005614E4" w:rsidRDefault="00D02B17" w:rsidP="00D02B17">
      <w:pPr>
        <w:pStyle w:val="NormalHanging12a"/>
      </w:pPr>
      <w:r w:rsidRPr="005614E4">
        <w:t>4.</w:t>
      </w:r>
      <w:r w:rsidRPr="005614E4">
        <w:tab/>
        <w:t>bekræfter på ny, at Ukraines fremtid ligger i EU; anerkender Ukraines europæiske integration som en strategisk prioritet for EU og opfordrer EU og medlemsstaterne til at forberede sig på fremtidige udvidelser ved at gennemføre interne reformer og udvikle en klar udvidelsesstrategi; understreger betydningen af at fremskynde Ukraines gradvise integration i EU's indre marked;</w:t>
      </w:r>
    </w:p>
    <w:p w14:paraId="62E5AAFE" w14:textId="77777777" w:rsidR="00D02B17" w:rsidRDefault="00D02B17" w:rsidP="00D02B17">
      <w:pPr>
        <w:pStyle w:val="NormalHanging12a"/>
      </w:pPr>
      <w:r w:rsidRPr="005614E4">
        <w:t>5.</w:t>
      </w:r>
      <w:r w:rsidRPr="005614E4">
        <w:tab/>
        <w:t>opfordrer indtrængende EU og medlemsstaterne til at påtage sig et større ansvar for sikkerheden på det europæiske kontinent og til fortsat at yde urokkelig støtte til Ukraine; fremhæver, at enhver aftale, der har til formål at bringe Ruslands angrebskrig mod Ukraine til ophør, rækker langt ud over Rusland og Ukraine og har vidtgående konsekvenser for den europæiske sikkerhedsorden som helhed; insisterer på, at ingen beslutning om Ukraine må træffes uden om Ukraine, og at ingen beslutning om Europa må træffes uden om Europa;</w:t>
      </w:r>
    </w:p>
    <w:p w14:paraId="626CDBBF" w14:textId="02DA5162" w:rsidR="00796B93" w:rsidRPr="005614E4" w:rsidRDefault="00482BB4" w:rsidP="00D02B17">
      <w:pPr>
        <w:pStyle w:val="NormalHanging12a"/>
      </w:pPr>
      <w:r>
        <w:t>6</w:t>
      </w:r>
      <w:r w:rsidR="00796B93" w:rsidRPr="00796B93">
        <w:t>.</w:t>
      </w:r>
      <w:r w:rsidR="00796B93" w:rsidRPr="00796B93">
        <w:tab/>
        <w:t xml:space="preserve">glæder sig over vedtagelsen af den lov, der vil gøre det muligt for ortodokse sogne fra Ukraine at bryde med Moskvapatriarkatets jurisdiktion og frit beslutte deres nye hierarkiske tilhørsforhold; bemærker, at rumænske ortodokse sogne i Ukraine i august 2024 indgav en anmodning om anerkendelse af den "rumænske ortodokse kirke i Ukraine" som en religiøs </w:t>
      </w:r>
      <w:r w:rsidR="00185FA3">
        <w:t>sammenslutning</w:t>
      </w:r>
      <w:r w:rsidR="00796B93" w:rsidRPr="00796B93">
        <w:t xml:space="preserve">, </w:t>
      </w:r>
      <w:proofErr w:type="gramStart"/>
      <w:r w:rsidR="00796B93" w:rsidRPr="00796B93">
        <w:t>således at</w:t>
      </w:r>
      <w:proofErr w:type="gramEnd"/>
      <w:r w:rsidR="00796B93" w:rsidRPr="00796B93">
        <w:t xml:space="preserve"> rumænske ortodokse sogne, der har brudt med Moskvapatriarkatets jurisdiktion, kan tilslutte sig den;</w:t>
      </w:r>
    </w:p>
    <w:p w14:paraId="1FDDB615" w14:textId="0C70BF4C" w:rsidR="00D02B17" w:rsidRPr="005614E4" w:rsidRDefault="00482BB4" w:rsidP="00D02B17">
      <w:pPr>
        <w:pStyle w:val="NormalHanging12a"/>
      </w:pPr>
      <w:r>
        <w:t>7</w:t>
      </w:r>
      <w:r w:rsidR="00D02B17" w:rsidRPr="005614E4">
        <w:t>.</w:t>
      </w:r>
      <w:r w:rsidR="00D02B17" w:rsidRPr="005614E4">
        <w:tab/>
        <w:t>opfordrer EU, medlemsstaterne, deres transatlantiske allierede og internationale partnere til at gøre en endnu mere effektiv militær, politisk og diplomatisk indsats og navnlig til massivt at øge deres militære støtte til Ukraine og øge det omfattende pres på Rusland i betydelig grad med henblik på definitivt at standse Ruslands angrebskrig og gøre det muligt for Ukraine at befri hele sit folk og genetablere fuld kontrol over hele sit område inden for dets internationalt anerkendte grænser;</w:t>
      </w:r>
    </w:p>
    <w:p w14:paraId="179EF502" w14:textId="5C677DE8" w:rsidR="00D02B17" w:rsidRPr="005614E4" w:rsidRDefault="00482BB4" w:rsidP="00D02B17">
      <w:pPr>
        <w:pStyle w:val="NormalHanging12a"/>
      </w:pPr>
      <w:r>
        <w:t>8</w:t>
      </w:r>
      <w:r w:rsidR="00D02B17" w:rsidRPr="005614E4">
        <w:t>.</w:t>
      </w:r>
      <w:r w:rsidR="00D02B17" w:rsidRPr="005614E4">
        <w:tab/>
        <w:t>glæder sig over konklusionerne fra mødet i "koalitionen</w:t>
      </w:r>
      <w:r w:rsidR="00296EB4">
        <w:t xml:space="preserve"> </w:t>
      </w:r>
      <w:r w:rsidR="00D02B17" w:rsidRPr="005614E4">
        <w:t>af</w:t>
      </w:r>
      <w:r w:rsidR="00296EB4">
        <w:t xml:space="preserve"> </w:t>
      </w:r>
      <w:r w:rsidR="00D02B17" w:rsidRPr="005614E4">
        <w:t>villige" i Paris den 6. januar 2026; glæder sig meget over forslaget om en multinational "sikringsstyrke" for Ukraine; glæder sig over aftalen om at færdiggøre bindende politiske og juridiske tilsagn om at genoprette fred og sikkerhed i tilfælde af et fremtidigt væbnet angreb fra Ruslands side efter indgåelse af en våbenhvile, kombineret med en klar ramme for støtte til Ukraine, herunder opretholdelse af dets langsigtede militære kapaciteter og et uddybet forsvarssamarbejde; beklager imidlertid, at disse sikkerhedsgarantier først vil blive gennemført, når der er indgået en våbenhvile; tager til efterretning, at der føres drøftelser om en mekanisme til overvågning og kontrol af våbenhvilen; understreger, at det er nødvendigt at følge op på disse ambitiøse forslag;</w:t>
      </w:r>
    </w:p>
    <w:p w14:paraId="482A1C1A" w14:textId="09562011" w:rsidR="00D02B17" w:rsidRPr="005614E4" w:rsidRDefault="00482BB4" w:rsidP="00D02B17">
      <w:pPr>
        <w:pStyle w:val="NormalHanging12a"/>
      </w:pPr>
      <w:r>
        <w:t>9</w:t>
      </w:r>
      <w:r w:rsidR="00D02B17" w:rsidRPr="005614E4">
        <w:t>.</w:t>
      </w:r>
      <w:r w:rsidR="00D02B17" w:rsidRPr="005614E4">
        <w:tab/>
        <w:t xml:space="preserve">understreger, at ingen fredsaftale må begrænse Ukraines evne til at forsvare sig selv og skal være baseret på fuld respekt for folkerettens principper, ansvarsplacering for krigsforbrydelser, forbrydelser mod menneskeheden og aggressionsforbrydelsen samt på russiske </w:t>
      </w:r>
      <w:proofErr w:type="spellStart"/>
      <w:r w:rsidR="00D02B17" w:rsidRPr="005614E4">
        <w:t>krigsskadeerstatninger</w:t>
      </w:r>
      <w:proofErr w:type="spellEnd"/>
      <w:r w:rsidR="00D02B17" w:rsidRPr="005614E4">
        <w:t xml:space="preserve"> for de massive skader, der er forvoldt i Ukraine; indskærper, at enhver sådan fredsaftale skal suppleres af solide og troværdige sikkerhedsgarantier til Ukraine, der svarer til niveauet i artikel 5 i Washingtontraktaten og til artikel 42, stk. 7, i traktaten om Den Europæiske Union, og så der undgås en gentagelse af Budapestmemorandummet fra 1994; bekræfter på ny, at Ukraine er frit stillet til selv at vælge sine sikkerhedsmæssige og politiske alliancer uden nogen form for russisk veto; indskærper, at enhver aftale med Rusland bør indebære et tilsagn fra russisk side om øjeblikkeligt at indstille sin hybridkrig mod EU og dens partnere, herunder Ukraine; insisterer på, at "koalitionen af villige" og USA skal stille solide sikkerhedsgarantier, der forhindrer og straks modvirker enhver fornyet russisk aggression;</w:t>
      </w:r>
    </w:p>
    <w:p w14:paraId="1284EB23" w14:textId="4818DADB" w:rsidR="00D02B17" w:rsidRPr="005614E4" w:rsidRDefault="00482BB4" w:rsidP="00D02B17">
      <w:pPr>
        <w:pStyle w:val="NormalHanging12a"/>
      </w:pPr>
      <w:r>
        <w:t>10</w:t>
      </w:r>
      <w:r w:rsidR="00D02B17" w:rsidRPr="005614E4">
        <w:t>.</w:t>
      </w:r>
      <w:r w:rsidR="00D02B17" w:rsidRPr="005614E4">
        <w:tab/>
        <w:t>noterer sig den amerikanske regerings bestræbelser på at bringe Ruslands angrebskrig mod Ukraine til ophør, men udtrykker bekymring over USA's tilgang til fredsforhandlingerne, som synes at prioritere kortsigtet indgåelse af aftaler og bevarelse af "strategisk stabilitet" med Rusland frem for reelle fredsforhandlinger, der fører til en omfattende, retfærdig og varig fred baseret på folkerettens principper; opfordrer derfor indtrængende EU og medlemsstaterne til fortsat at samarbejde med USA og ligesindede partnere for at sikre, at forhandlingerne om en retfærdig og varig fred for Ukraine foregår i god tro og med det formål definitivt at bringe Ruslands aggressioner mod Ukraine som en suveræn europæisk nation til ophør; understreger, at Ruslands fortsatte angreb tyder på, at Rusland ikke er indstillet på reelle fredsforhandlinger; fremhæver den negative indvirkning på Ukraine af uovervejede løfter om at gennemføre en fredsproces inden for en bestemt tidsramme;</w:t>
      </w:r>
    </w:p>
    <w:p w14:paraId="103D6174" w14:textId="7C90E39D" w:rsidR="00D02B17" w:rsidRPr="005614E4" w:rsidRDefault="00482BB4" w:rsidP="00D02B17">
      <w:pPr>
        <w:pStyle w:val="NormalHanging12a"/>
      </w:pPr>
      <w:r>
        <w:t>11</w:t>
      </w:r>
      <w:r w:rsidR="00D02B17" w:rsidRPr="005614E4">
        <w:t>.</w:t>
      </w:r>
      <w:r w:rsidR="00D02B17" w:rsidRPr="005614E4">
        <w:tab/>
        <w:t xml:space="preserve">fastholder, at ingen sanktioner bør blive ophævet, førend en fredsaftale er forhandlet på plads og holdbart gennemført; opfordrer EU til at indføre yderligere betydelige sanktioner – såsom et omfattende forbud mod den resterende import af russiske og </w:t>
      </w:r>
      <w:proofErr w:type="spellStart"/>
      <w:r w:rsidR="00D02B17" w:rsidRPr="005614E4">
        <w:t>belarusiske</w:t>
      </w:r>
      <w:proofErr w:type="spellEnd"/>
      <w:r w:rsidR="00D02B17" w:rsidRPr="005614E4">
        <w:t xml:space="preserve"> varer – der navnlig er rettet mod ikkesanktionerede råstoffer; glæder sig over de igangværende drøftelser mellem EU og G7 om muligheden af et forbud mod maritime tjenesteydelser for al russisk energieksport, men opfordrer indtrængende EU og medlemsstaterne til at fortsætte ad denne vej selv uden støtte fra andre G7-lande og til at forbyde handel og kommercielle aktiviteter med Rusland og Belarus med særligt fokus på eventuelle produkter med dobbelt anvendelse; opfordrer Rådet til sammen med sine amerikanske partnere at anvende en lignende sanktionspolitik over for alle stater, der muliggør Ruslands krigsføring, heriblandt Belarus, Iran og Nordkorea, og til at sanktionere kinesiske aktører, som leverer produkter med dobbelt anvendelse og militære produkter, som er afgørende for fremstillingen af droner og missiler; opfordrer til, at der vedtages yderligere sanktioner mod Ruslands skyggeflåde, og at disse håndhæves strengt, herunder gennem forbud; opfordrer til, at samarbejdet med Rosatom og </w:t>
      </w:r>
      <w:bookmarkStart w:id="7" w:name="_Hlk221696446"/>
      <w:r w:rsidR="00D02B17" w:rsidRPr="005614E4">
        <w:t>Roscosmos</w:t>
      </w:r>
      <w:bookmarkEnd w:id="7"/>
      <w:r w:rsidR="00D02B17" w:rsidRPr="005614E4">
        <w:t xml:space="preserve"> bringes til ophør, og til, at der vedtages sanktioner mod dem; opfordrer Rådet til systematisk at bekæmpe omgåelse af sanktioner; understreger, at sanktionerne har en klar indvirkning på den russiske økonomi, men gentager, at sanktionsordningen skal være bredere og gennemføres på strengere vis, hvis den skal have den nødvendige virkning i form af at begrænse Ruslands midler til dets angrebskrig; glæder sig over den kommende vedtagelse af den 20. pakke af sanktioner mod Rusland;</w:t>
      </w:r>
    </w:p>
    <w:p w14:paraId="1DD05A69" w14:textId="731D3AF7" w:rsidR="00D02B17" w:rsidRPr="005614E4" w:rsidRDefault="00482BB4" w:rsidP="00D02B17">
      <w:pPr>
        <w:pStyle w:val="NormalHanging12a"/>
      </w:pPr>
      <w:bookmarkStart w:id="8" w:name="_Hlk222816958"/>
      <w:r>
        <w:t>12</w:t>
      </w:r>
      <w:r w:rsidR="00D02B17" w:rsidRPr="005614E4">
        <w:t>.</w:t>
      </w:r>
      <w:r w:rsidR="00D02B17" w:rsidRPr="005614E4">
        <w:tab/>
        <w:t>bifalder Det Europæiske Råds beslutning af 18. december 2025 om at stille en finansiel bistandspakke på 90 mia. EUR til rådighed for Ukraine i form af EU-støttede lån; opfordrer til en hurtig gennemførelse af støttelånet til Ukraine og understreger, at det er nødvendigt at reagere hensigtsmæssigt på Ukraines skiftende behov; glæder sig over, at der er medtaget den fornødne fleksibilitet i pakken under den undtagelsesordning, der er fastsat i artikel 13, stk. 5, i den foreslåede forordning om oprettelse af støttelånet</w:t>
      </w:r>
      <w:r w:rsidR="00D02B17" w:rsidRPr="005614E4">
        <w:rPr>
          <w:rStyle w:val="FootnoteReference"/>
        </w:rPr>
        <w:footnoteReference w:id="1"/>
      </w:r>
      <w:r w:rsidR="00D02B17" w:rsidRPr="005614E4">
        <w:t>;</w:t>
      </w:r>
      <w:bookmarkEnd w:id="8"/>
    </w:p>
    <w:p w14:paraId="5D293B9E" w14:textId="43906C26" w:rsidR="00D02B17" w:rsidRPr="005614E4" w:rsidRDefault="00482BB4" w:rsidP="00D02B17">
      <w:pPr>
        <w:pStyle w:val="NormalHanging12a"/>
      </w:pPr>
      <w:r>
        <w:t>13</w:t>
      </w:r>
      <w:r w:rsidR="00D02B17" w:rsidRPr="005614E4">
        <w:t>.</w:t>
      </w:r>
      <w:r w:rsidR="00D02B17" w:rsidRPr="005614E4">
        <w:tab/>
        <w:t>gentager sin faste overbevisning om, at Rusland skal betale for de massive skader, der er forvoldt i Ukraine, og opfordrer endnu en gang EU til at anvende de kontante midler fra russiske statslige aktiver, der er immobiliseret i henhold til EU's sanktioner, som forstærkning af et krigsskadeserstatningslån, der vil fungere som støtte af Ukraines forsvar og genopbygning og øge presset på Rusland for at bringe dets angrebskrig til ophør; støtter kraftigt Rådets konklusion om, at fælleslovgiverne bør fortsætte arbejdet med Kommissionens forslag om et erstatningslån;</w:t>
      </w:r>
    </w:p>
    <w:p w14:paraId="11E11590" w14:textId="1691D941" w:rsidR="00D02B17" w:rsidRPr="005614E4" w:rsidRDefault="00482BB4" w:rsidP="00D02B17">
      <w:pPr>
        <w:pStyle w:val="NormalHanging12a"/>
      </w:pPr>
      <w:r>
        <w:t>14</w:t>
      </w:r>
      <w:r w:rsidR="00D02B17" w:rsidRPr="005614E4">
        <w:t>.</w:t>
      </w:r>
      <w:r w:rsidR="00D02B17" w:rsidRPr="005614E4">
        <w:tab/>
        <w:t xml:space="preserve">opfordrer indtrængende EU til i samarbejde med NATO at støtte styrkelsen af Ukraines forsvarskapaciteter ved at udvikle et dybere industrielt partnerskab, der muliggør overførsel af teknologi og kundskaber, og til at bistå med at integrere Ukraines forsvarsteknologiske og forsvarsindustrielle base i den europæiske forsvarsteknologiske og forsvarsindustrielle base (EDTIB) og samtidig støtte </w:t>
      </w:r>
      <w:proofErr w:type="spellStart"/>
      <w:r w:rsidR="00D02B17" w:rsidRPr="005614E4">
        <w:t>EDTIB's</w:t>
      </w:r>
      <w:proofErr w:type="spellEnd"/>
      <w:r w:rsidR="00D02B17" w:rsidRPr="005614E4">
        <w:t xml:space="preserve"> aktiviteter i Ukraine; opfordrer indtrængende medlemsstaterne og deres forsvarsindustrier til at foretage yderligere investeringer og indgå partnerskaber med Ukraine med henblik på i fællesskab at udvikle forsvarsprodukter i EU og ukrainsk produktion i EU; roser den danske model for støtte til Ukraine og opfordrer til at styrke incitamenterne til tættere samarbejde mellem og integration af EDTIB og Ukraines forsvarsindustrielle base; opfordrer indtrængende de medlemsstater, der er leveringsdygtige i sådanne våben, til at levere luftforsvarssystemer til Ukraine, således at landet bliver i stand til at beskytte mere af sin kritiske infrastruktur, og til at levere langtrækkende missilsystemer til Ukraine, således at landet kan angribe militær og strategisk infrastruktur; opfordrer indtrængende til at ophæve de resterende restriktioner, der forhindrer anvendelsen af de vestlige våbensystemer, som er leveret til Ukraine med henblik på at ramme de militære mål på russisk territorium, der er ansvarlige for angreb på Ukraines befolkning og kritiske civile infrastruktur; understreger betydningen af at sikre, at ukrainsk militært personel uddannes korrekt under EU's militære bistandsmission til støtte for Ukraine (EUMAM Ukraine), og opfordrer til en udvidelse af EUMAM Ukraines mandat, herunder muligheden for at udvide uddannelsesaktiviteterne til ukrainsk område efter en våbenhvile, med henblik på at styrke Ukraines nationale uddannelseskapacitet;</w:t>
      </w:r>
    </w:p>
    <w:p w14:paraId="0304DDC7" w14:textId="74485838" w:rsidR="00D02B17" w:rsidRPr="005614E4" w:rsidRDefault="00482BB4" w:rsidP="00D02B17">
      <w:pPr>
        <w:pStyle w:val="NormalHanging12a"/>
      </w:pPr>
      <w:r>
        <w:t>15</w:t>
      </w:r>
      <w:r w:rsidR="00D02B17" w:rsidRPr="005614E4">
        <w:t>.</w:t>
      </w:r>
      <w:r w:rsidR="00D02B17" w:rsidRPr="005614E4">
        <w:tab/>
        <w:t>opfordrer til at inkludere Ukraine i EU's militære mobilitetskorridorer; gentager vigtigheden af at kunne sikre hurtig transport af udstyr eller tropper fra vest mod øst og at tage ved lære af de ukrainske væbnede styrkers erfaringer;</w:t>
      </w:r>
    </w:p>
    <w:p w14:paraId="6CBCD210" w14:textId="166D52BC" w:rsidR="00D02B17" w:rsidRPr="005614E4" w:rsidRDefault="00482BB4" w:rsidP="00D02B17">
      <w:pPr>
        <w:pStyle w:val="NormalHanging12a"/>
      </w:pPr>
      <w:r>
        <w:t>16</w:t>
      </w:r>
      <w:r w:rsidR="00D02B17" w:rsidRPr="005614E4">
        <w:t>.</w:t>
      </w:r>
      <w:r w:rsidR="00D02B17" w:rsidRPr="005614E4">
        <w:tab/>
        <w:t>glæder sig over vedtagelsen af forordning (EU) 2026/261 om udfasning af importen af russisk naturgas og forberedelse af udfasningen af importen af russisk olie</w:t>
      </w:r>
      <w:r w:rsidR="00D02B17" w:rsidRPr="005614E4">
        <w:rPr>
          <w:rStyle w:val="FootnoteReference"/>
        </w:rPr>
        <w:footnoteReference w:id="2"/>
      </w:r>
      <w:r w:rsidR="00D02B17" w:rsidRPr="005614E4">
        <w:t xml:space="preserve">; opfordrer indtrængende Kommissionen til at fremskynde udfasningen af andre russiske energikilder, herunder olie og alle olieprodukter, uran, beriget uran og nukleart brændsel og nukleare tjenester, i overensstemmelse med de forpligtelser, der er indgået i </w:t>
      </w:r>
      <w:proofErr w:type="spellStart"/>
      <w:r w:rsidR="00D02B17" w:rsidRPr="005614E4">
        <w:t>REPowerEU</w:t>
      </w:r>
      <w:proofErr w:type="spellEnd"/>
      <w:r w:rsidR="00D02B17" w:rsidRPr="005614E4">
        <w:t>-køreplanen; understreger, at dette er et afgørende skridt i retning af at bringe EU's afhængighed af russiske fossile brændstoffer til ophør og lægge yderligere pres på den russiske økonomi; beklager, at syv EU-medlemsstater importerede mere russisk energi i 2025 end i 2024; indskærper, at rørledningerne Nord Stream 1 og 2 aldrig mere må tages i brug, og opfordrer til at tage dem permanent ud af drift af hensyn til den strategiske sikkerhed; minder medlemsstaterne om at afholde sig fra at træffe enhver form for foranstaltning, der kan bringe virkeliggørelsen af Unionens mål i fare;</w:t>
      </w:r>
    </w:p>
    <w:p w14:paraId="22D3A78D" w14:textId="7B0BA978" w:rsidR="00D02B17" w:rsidRDefault="00482BB4" w:rsidP="00D02B17">
      <w:pPr>
        <w:pStyle w:val="NormalHanging12a"/>
      </w:pPr>
      <w:r>
        <w:t>17</w:t>
      </w:r>
      <w:r w:rsidR="00D02B17" w:rsidRPr="005614E4">
        <w:t>.</w:t>
      </w:r>
      <w:r w:rsidR="00D02B17" w:rsidRPr="005614E4">
        <w:tab/>
        <w:t>fordømmer på det kraftigste Den Russiske Føderations systematiske deportation, tvangsforflyttelse og forsøg på assimilering af ukrainske børn; opfordrer til et øjeblikkelig og betingelsesløs ophør af disse metoder og til, at samtlige deporterede ukrainske børn trygt og uhindret kan vende tilbage til Ukraine eller rejse til et sikkert tredjeland; udtrykker sin støtte til de organisationer og personer, der er involveret i at hente disse børn tilbage, og til initiativet "Bring Kids Back UA" (bring børn tilbage UA); glæder sig over arbejdet i den internationale koalition for ukrainske børns tilbagevenden som en central platform for en koordineret international indsats, herunder opsporing af deporterede børn, kontrol af deres identitet, retlige status og opholdssted, sikring af deres tilbagevenden og at de ansvarlige drages til ansvar;</w:t>
      </w:r>
    </w:p>
    <w:p w14:paraId="11CB24A6" w14:textId="0310BB67" w:rsidR="00796B93" w:rsidRDefault="00482BB4" w:rsidP="00D02B17">
      <w:pPr>
        <w:pStyle w:val="NormalHanging12a"/>
      </w:pPr>
      <w:r>
        <w:t>18</w:t>
      </w:r>
      <w:r w:rsidR="00796B93" w:rsidRPr="00796B93">
        <w:t>.</w:t>
      </w:r>
      <w:r w:rsidR="00796B93" w:rsidRPr="00796B93">
        <w:tab/>
        <w:t>fordømmer på det kraftigste brugen af seksuel og kønsbaseret vold som krigsvåben og understreger, at dette udgør en krigsforbrydelse; fordømmer også seksuel og kønsbaseret vold i transitcentrene i Ukraine og i hele EU; beklager, at direktivet om midlertidig beskyttelse</w:t>
      </w:r>
      <w:r w:rsidR="00796B93">
        <w:rPr>
          <w:rStyle w:val="FootnoteReference"/>
        </w:rPr>
        <w:footnoteReference w:id="3"/>
      </w:r>
      <w:r w:rsidR="00796B93" w:rsidRPr="00796B93">
        <w:t xml:space="preserve"> fortolkes så snævert, at mange kvinder, der er flygtet fra Ruslands angrebskrig, ikke kan få adgang til abort eller andre seksuelle og reproduktive sundhedsbehandlinger, herunder behandling for seksuelle overgreb;</w:t>
      </w:r>
      <w:r w:rsidR="00796B93">
        <w:t xml:space="preserve"> </w:t>
      </w:r>
      <w:r w:rsidR="00796B93" w:rsidRPr="00796B93">
        <w:t>gentager sin opfordring i sin beslutning af 29. februar 2024 til Kommissionen om at revidere direktivet for at sikre, at alle medlemsstater forpligte</w:t>
      </w:r>
      <w:r w:rsidR="00185FA3">
        <w:t>s</w:t>
      </w:r>
      <w:r w:rsidR="00796B93" w:rsidRPr="00796B93">
        <w:t xml:space="preserve"> til at tilbyde den samme pleje, som kvinder ellers k</w:t>
      </w:r>
      <w:r w:rsidR="00185FA3">
        <w:t xml:space="preserve">an få </w:t>
      </w:r>
      <w:r w:rsidR="00796B93" w:rsidRPr="00796B93">
        <w:t>i Ukraine</w:t>
      </w:r>
      <w:r w:rsidR="00796B93">
        <w:rPr>
          <w:rStyle w:val="FootnoteReference"/>
        </w:rPr>
        <w:footnoteReference w:id="4"/>
      </w:r>
      <w:r w:rsidR="00796B93" w:rsidRPr="00796B93">
        <w:t>;</w:t>
      </w:r>
    </w:p>
    <w:p w14:paraId="7CF31177" w14:textId="03817663" w:rsidR="00796B93" w:rsidRPr="005614E4" w:rsidRDefault="00482BB4" w:rsidP="00D02B17">
      <w:pPr>
        <w:pStyle w:val="NormalHanging12a"/>
      </w:pPr>
      <w:r>
        <w:t>19</w:t>
      </w:r>
      <w:r w:rsidR="00796B93" w:rsidRPr="00796B93">
        <w:t>.</w:t>
      </w:r>
      <w:r w:rsidR="00796B93" w:rsidRPr="00796B93">
        <w:tab/>
        <w:t>understreger, at antallet af ukrainere, der i Den Europæiske Union er identificeret som ofre for menneskehandel, er alarmerende højt, og at det er steget siden Ruslands omfattende invasion; opfordrer medlemsstaterne til at øge deres støtte, herunder gennem økonomiske midler, til ofrene og til forebyggende foranstaltninger;</w:t>
      </w:r>
    </w:p>
    <w:p w14:paraId="2CCFA0D1" w14:textId="33F209A7" w:rsidR="00D02B17" w:rsidRPr="005614E4" w:rsidRDefault="00482BB4" w:rsidP="00D02B17">
      <w:pPr>
        <w:pStyle w:val="NormalHanging12a"/>
      </w:pPr>
      <w:r>
        <w:t>20</w:t>
      </w:r>
      <w:r w:rsidR="00D02B17" w:rsidRPr="005614E4">
        <w:t>.</w:t>
      </w:r>
      <w:r w:rsidR="00D02B17" w:rsidRPr="005614E4">
        <w:tab/>
        <w:t>opfordrer EU og medlemsstaterne til at indføre sanktioner mod det russiske forsvarsministeriums militærpoliti, den føderale sikkerhedstjeneste og det føderale fængselsvæsen for deres systematiske meddelagtighed i at begå krigsforbrydelser og forbrydelser mod menneskeheden, herunder tvungne forsvindinger, vilkårlige tilbageholdelser, tortur og tilbageholdelse i isolation; opfordrer endvidere EU og medlemsstaterne til at indføre personlige sanktioner mod alle ansvarshavende og andre russiske myndighedspersoner i russiske fængsler, hvor ukrainske civile tilbageholdes ulovligt; opfordrer EU og medlemsstaterne til at forbyde indrejse i Schengenområdet for russisk militærpersonel, der har deltaget i angrebskrigen mod Ukraine; opfordrer indtrængende medlemsstaterne til systematisk at håndtere spørgsmålet om omgåelse af sanktioner og sikre fuld og effektiv gennemførelse;</w:t>
      </w:r>
    </w:p>
    <w:p w14:paraId="34594E8A" w14:textId="67691E17" w:rsidR="00D02B17" w:rsidRPr="005614E4" w:rsidRDefault="00482BB4" w:rsidP="00D02B17">
      <w:pPr>
        <w:pStyle w:val="NormalHanging12a"/>
      </w:pPr>
      <w:r>
        <w:t>21</w:t>
      </w:r>
      <w:r w:rsidR="00D02B17" w:rsidRPr="005614E4">
        <w:t>.</w:t>
      </w:r>
      <w:r w:rsidR="00D02B17" w:rsidRPr="005614E4">
        <w:tab/>
        <w:t>opfordrer Rådet til at opføre Wagnergruppen og dens efterfølgere på listen over terrororganisationer i henhold til Rådets fælles holdning 2001/931/FUSP af 27. december 2001 om anvendelse af specifikke foranstaltninger til bekæmpelse af terrorisme</w:t>
      </w:r>
      <w:r w:rsidR="00D02B17" w:rsidRPr="005614E4">
        <w:rPr>
          <w:rStyle w:val="FootnoteReference"/>
        </w:rPr>
        <w:footnoteReference w:id="5"/>
      </w:r>
      <w:r w:rsidR="00D02B17" w:rsidRPr="005614E4">
        <w:t>; understreger, at opførelsen af disse enheder på listen over terrororganisationer ud over den indefrysning af aktiver, der i øjeblikket gælder for dem, gør det muligt at retsforfølge rekrutteringsagenter, kombattanter og tilhængere og anvende strafferetlige sanktioner mod dem;</w:t>
      </w:r>
    </w:p>
    <w:p w14:paraId="6126CB17" w14:textId="46B441B4" w:rsidR="00D02B17" w:rsidRPr="005614E4" w:rsidRDefault="00482BB4" w:rsidP="00D02B17">
      <w:pPr>
        <w:pStyle w:val="NormalHanging12a"/>
      </w:pPr>
      <w:r>
        <w:t>22</w:t>
      </w:r>
      <w:r w:rsidR="00D02B17" w:rsidRPr="005614E4">
        <w:t>.</w:t>
      </w:r>
      <w:r w:rsidR="00D02B17" w:rsidRPr="005614E4">
        <w:tab/>
        <w:t>fremhæver det foruroligende forhold, at et stigende antal udenlandske krigere i den russiske hær blev bragt til Rusland eller til fronten i Ukraine under falske forudsætninger; opfordrer indtrængende regeringerne i Sydafrika, Ghana, Kenya, Botswana og andre afrikanske nationer til at slå ned på den vildledende rekruttering, hvorigennem deres unge mænd bliver frontsoldater sammen med russiske styrker; opfordrer de pågældende lande til proaktivt at advare deres borgere om farerne ved at rejse til Rusland i forbindelse med jobtilbud, der enten direkte eller indirekte er knyttet til den russiske hær; opfordrer sociale medieplatforme til at træffe foranstaltninger til at forhindre misbrug af deres tjenester med henblik på at gennemføre disse vildledende rekrutteringskampagner; fordømmer de politikker, der føres af regeringerne i eksempelvis Cuba eller visse centralasiatiske lande, der ikke forhindrer deres borgeres deltagelse i Ruslands angrebskrig eller endda går så vidt som til at fremme en sådan deltagelse;</w:t>
      </w:r>
    </w:p>
    <w:p w14:paraId="284A0BB9" w14:textId="0C497F12" w:rsidR="00D02B17" w:rsidRPr="005614E4" w:rsidRDefault="00482BB4" w:rsidP="00D02B17">
      <w:pPr>
        <w:pStyle w:val="NormalHanging12a"/>
      </w:pPr>
      <w:r>
        <w:t>23</w:t>
      </w:r>
      <w:r w:rsidR="00D02B17" w:rsidRPr="005614E4">
        <w:t>.</w:t>
      </w:r>
      <w:r w:rsidR="00D02B17" w:rsidRPr="005614E4">
        <w:tab/>
        <w:t>indskærper, at Ruslands ubønhørlige angreb på Ukraines energiinfrastruktur ikke blot er folkeretsstridige, men også udgør en bevidst strategi til at nedbryde civilbefolkningens modstandskraft, skabe kaos i de ramte regioner og instrumentalisere energiforsyningen som et tvangsmiddel; opfordrer EU og medlemsstaterne til at øge og institutionalisere energibistanden til Ukraine; indskærper, hvor altafgørende det er, at EU og medlemsstaterne fortsætter og øger deres humanitære bistand til Ukraine som reaktion på den akutte humanitære krise, der er forårsaget af Ruslands systematiske angreb på Ukraines byer og kritiske civile infrastruktur;</w:t>
      </w:r>
    </w:p>
    <w:p w14:paraId="3BB06DEE" w14:textId="7A9C7F7F" w:rsidR="00D02B17" w:rsidRDefault="00482BB4" w:rsidP="00D02B17">
      <w:pPr>
        <w:pStyle w:val="NormalHanging12a"/>
      </w:pPr>
      <w:r>
        <w:t>24</w:t>
      </w:r>
      <w:r w:rsidR="00D02B17" w:rsidRPr="005614E4">
        <w:t>.</w:t>
      </w:r>
      <w:r w:rsidR="00D02B17" w:rsidRPr="005614E4">
        <w:tab/>
        <w:t xml:space="preserve">opfordrer indtrængende Kommissionen til aktivt at støtte internationale </w:t>
      </w:r>
      <w:proofErr w:type="spellStart"/>
      <w:r w:rsidR="00D02B17" w:rsidRPr="005614E4">
        <w:t>retsmekanismer</w:t>
      </w:r>
      <w:proofErr w:type="spellEnd"/>
      <w:r w:rsidR="00D02B17" w:rsidRPr="005614E4">
        <w:t xml:space="preserve"> og sikre, at de ansvarlige drages til ansvar og at der bliver udbetalt krigsskadeserstatninger og erstatninger for aggressionsforbrydelsen; tilskynder EU og medlemsstaterne til at støtte oprettelsen af et særligt tribunal til at retsforfølge Rusland for dets aggressionsforbrydelse mod Ukraine;</w:t>
      </w:r>
    </w:p>
    <w:p w14:paraId="141DDFA1" w14:textId="49EC003A" w:rsidR="00796B93" w:rsidRPr="005614E4" w:rsidRDefault="00482BB4" w:rsidP="00D02B17">
      <w:pPr>
        <w:pStyle w:val="NormalHanging12a"/>
      </w:pPr>
      <w:r>
        <w:t>25</w:t>
      </w:r>
      <w:r w:rsidR="00796B93" w:rsidRPr="00796B93">
        <w:t>.</w:t>
      </w:r>
      <w:r w:rsidR="00796B93" w:rsidRPr="00796B93">
        <w:tab/>
        <w:t>glæder sig over Ukraines tiltrædelse af Den Internationale Straffedomstol (ICC); bekræfter på ny sin stærke støtte til ICC's efterforskning i Ukraine og dens overordnede bestræbelser på at retsforfølge personer, der er ansvarlige for folkedrab, krigsforbrydelser, forbrydelser mod menneskeheden og aggressionsforbrydelser; udtrykker sin dybeste bekymring over USA's sanktioner mod ICC, dens anklagere, dommere og personale; opfordrer Kommissionen til at aktivere statutten om spærring for at beskytte ICC mod ekstraterritoriale sanktioner;</w:t>
      </w:r>
    </w:p>
    <w:p w14:paraId="7A76265D" w14:textId="60D4208C" w:rsidR="00D02B17" w:rsidRDefault="00482BB4" w:rsidP="00D02B17">
      <w:pPr>
        <w:pStyle w:val="NormalHanging12a"/>
      </w:pPr>
      <w:r>
        <w:t>26</w:t>
      </w:r>
      <w:r w:rsidR="00D02B17" w:rsidRPr="005614E4">
        <w:t>.</w:t>
      </w:r>
      <w:r w:rsidR="00D02B17" w:rsidRPr="005614E4">
        <w:tab/>
        <w:t xml:space="preserve">opfordrer de ukrainske myndigheder til at opretholde parlamentarisk pluralisme som en hjørnesten i demokratisk regeringsførelse og til at sikre et konstruktivt og meningsfuldt samarbejde med alle parlamentariske politiske kræfter, der er repræsenteret i </w:t>
      </w:r>
      <w:proofErr w:type="spellStart"/>
      <w:r w:rsidR="00D02B17" w:rsidRPr="005614E4">
        <w:t>Verkhovna</w:t>
      </w:r>
      <w:proofErr w:type="spellEnd"/>
      <w:r w:rsidR="00D02B17" w:rsidRPr="005614E4">
        <w:t> </w:t>
      </w:r>
      <w:proofErr w:type="spellStart"/>
      <w:r w:rsidR="00D02B17" w:rsidRPr="005614E4">
        <w:t>Rada</w:t>
      </w:r>
      <w:proofErr w:type="spellEnd"/>
      <w:r w:rsidR="00D02B17" w:rsidRPr="005614E4">
        <w:t>;</w:t>
      </w:r>
    </w:p>
    <w:p w14:paraId="088F8EDD" w14:textId="5C3C58FE" w:rsidR="00796B93" w:rsidRPr="005614E4" w:rsidRDefault="00482BB4" w:rsidP="00D02B17">
      <w:pPr>
        <w:pStyle w:val="NormalHanging12a"/>
      </w:pPr>
      <w:r>
        <w:t>27</w:t>
      </w:r>
      <w:r w:rsidR="00796B93" w:rsidRPr="00796B93">
        <w:t>.</w:t>
      </w:r>
      <w:r w:rsidR="00796B93" w:rsidRPr="00796B93">
        <w:tab/>
        <w:t xml:space="preserve">roser det altafgørende arbejde, der dagligt udføres af ukrainske sundhedstjenester, og navnlig af ukrainske sygeplejersker, under krigen; fremhæver på denne baggrund det vigtige arbejde, der udføres af den ukrainske medicinske bevægelse "Be Like </w:t>
      </w:r>
      <w:proofErr w:type="spellStart"/>
      <w:r w:rsidR="00796B93" w:rsidRPr="00796B93">
        <w:t>We</w:t>
      </w:r>
      <w:proofErr w:type="spellEnd"/>
      <w:r w:rsidR="00796B93" w:rsidRPr="00796B93">
        <w:t xml:space="preserve"> Are" (vær som os), en græsrodsbevægelse hovedsagelig bestå</w:t>
      </w:r>
      <w:r w:rsidR="00562F49">
        <w:t>ende</w:t>
      </w:r>
      <w:r w:rsidR="00796B93" w:rsidRPr="00796B93">
        <w:t xml:space="preserve"> af sygeplejersker, for at støtte sundhedsprofessionelle og forsvare deres rettigheder;</w:t>
      </w:r>
    </w:p>
    <w:p w14:paraId="21AAB500" w14:textId="122EDCCC" w:rsidR="00D02B17" w:rsidRPr="005614E4" w:rsidRDefault="00482BB4" w:rsidP="00D02B17">
      <w:pPr>
        <w:pStyle w:val="NormalHanging12a"/>
      </w:pPr>
      <w:r>
        <w:t>28</w:t>
      </w:r>
      <w:r w:rsidR="00D02B17" w:rsidRPr="005614E4">
        <w:t>.</w:t>
      </w:r>
      <w:r w:rsidR="00D02B17" w:rsidRPr="005614E4">
        <w:tab/>
        <w:t>noterer sig de fleste EU-medlemsstaters urokkelige opbakning til Ukraine, men understreger sin utilfredshed med de medlemsstater, der hindrer eller aktivt underminerer EU's holdninger og politikker; minder om, at princippet om loyalt samarbejde i artikel 4, stk. 3, i traktaten om Den Europæiske Union, hvorved medlemsstaterne afholder sig fra at træffe foranstaltninger, der kan bringe virkeliggørelsen af Unionens mål i fare; opfordrer Rådet til hurtigst muligt at løse det dødvande, der forhindrer operationaliseringen af Bistandsfonden for Ukraine under den europæiske fredsfacilitet, som er afgørende for gennemførelsen af EU's langsigtede sikkerhedsmæssige forpligtelser over for Ukraine;</w:t>
      </w:r>
    </w:p>
    <w:p w14:paraId="57CB2A20" w14:textId="2AD94465" w:rsidR="00E365E1" w:rsidRPr="005614E4" w:rsidRDefault="00482BB4" w:rsidP="00296EB4">
      <w:pPr>
        <w:ind w:left="567" w:hanging="567"/>
      </w:pPr>
      <w:r>
        <w:t>29</w:t>
      </w:r>
      <w:r w:rsidR="00D02B17" w:rsidRPr="005614E4">
        <w:t>.</w:t>
      </w:r>
      <w:r w:rsidR="00D02B17" w:rsidRPr="005614E4">
        <w:tab/>
        <w:t xml:space="preserve">pålægger sin formand at sende denne beslutning til Rådet, Kommissionen, næstformanden for Kommissionen/Unionens højtstående repræsentant for udenrigsanliggender og sikkerhedspolitik, medlemsstaternes regeringer og parlamenter, Ukraines præsident, regering og </w:t>
      </w:r>
      <w:proofErr w:type="spellStart"/>
      <w:r w:rsidR="00D02B17" w:rsidRPr="005614E4">
        <w:t>Verkhovna</w:t>
      </w:r>
      <w:proofErr w:type="spellEnd"/>
      <w:r w:rsidR="00D02B17" w:rsidRPr="005614E4">
        <w:t> </w:t>
      </w:r>
      <w:proofErr w:type="spellStart"/>
      <w:r w:rsidR="00D02B17" w:rsidRPr="005614E4">
        <w:t>Rada</w:t>
      </w:r>
      <w:proofErr w:type="spellEnd"/>
      <w:r w:rsidR="00D02B17" w:rsidRPr="005614E4">
        <w:t>, FN's generalsekretær, den amerikanske Kongres, de russiske myndigheder og myndighederne i de øvrige lande, der er omtalt i denne beslutning.</w:t>
      </w:r>
    </w:p>
    <w:sectPr w:rsidR="00E365E1" w:rsidRPr="005614E4" w:rsidSect="005614E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65FA5" w14:textId="77777777" w:rsidR="00F70F39" w:rsidRPr="005614E4" w:rsidRDefault="00F70F39">
      <w:r w:rsidRPr="005614E4">
        <w:separator/>
      </w:r>
    </w:p>
  </w:endnote>
  <w:endnote w:type="continuationSeparator" w:id="0">
    <w:p w14:paraId="427A4BD6" w14:textId="77777777" w:rsidR="00F70F39" w:rsidRPr="005614E4" w:rsidRDefault="00F70F39">
      <w:r w:rsidRPr="005614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D2161" w14:textId="77777777" w:rsidR="00F70F39" w:rsidRPr="005614E4" w:rsidRDefault="00F70F39">
      <w:r w:rsidRPr="005614E4">
        <w:separator/>
      </w:r>
    </w:p>
  </w:footnote>
  <w:footnote w:type="continuationSeparator" w:id="0">
    <w:p w14:paraId="21B46E9D" w14:textId="77777777" w:rsidR="00F70F39" w:rsidRPr="005614E4" w:rsidRDefault="00F70F39">
      <w:r w:rsidRPr="005614E4">
        <w:continuationSeparator/>
      </w:r>
    </w:p>
  </w:footnote>
  <w:footnote w:id="1">
    <w:p w14:paraId="52EBBE82" w14:textId="43E0DBB6" w:rsidR="00D02B17" w:rsidRPr="00796B93" w:rsidRDefault="00D02B17" w:rsidP="005614E4">
      <w:pPr>
        <w:pStyle w:val="FootnoteText"/>
        <w:ind w:left="567" w:hanging="567"/>
        <w:rPr>
          <w:sz w:val="24"/>
          <w:lang w:val="da-DK"/>
        </w:rPr>
      </w:pPr>
      <w:r w:rsidRPr="00796B93">
        <w:rPr>
          <w:rStyle w:val="FootnoteReference"/>
          <w:sz w:val="24"/>
          <w:lang w:val="da-DK"/>
        </w:rPr>
        <w:footnoteRef/>
      </w:r>
      <w:r w:rsidR="005614E4" w:rsidRPr="00796B93">
        <w:rPr>
          <w:sz w:val="24"/>
          <w:lang w:val="da-DK"/>
        </w:rPr>
        <w:t xml:space="preserve"> </w:t>
      </w:r>
      <w:r w:rsidR="005614E4" w:rsidRPr="00796B93">
        <w:rPr>
          <w:sz w:val="24"/>
          <w:lang w:val="da-DK"/>
        </w:rPr>
        <w:tab/>
      </w:r>
      <w:r w:rsidRPr="00796B93">
        <w:rPr>
          <w:sz w:val="24"/>
          <w:lang w:val="da-DK"/>
        </w:rPr>
        <w:t>Kommissionens forslag af 14. januar 2026 til Europa-Parlamentets og Rådets forordning om gennemførelse af et forstærket samarbejde om oprettelsen af støttelånet til Ukraine for 2026 og 2027 (</w:t>
      </w:r>
      <w:proofErr w:type="gramStart"/>
      <w:r w:rsidRPr="00796B93">
        <w:rPr>
          <w:sz w:val="24"/>
          <w:lang w:val="da-DK"/>
        </w:rPr>
        <w:t>COM(</w:t>
      </w:r>
      <w:proofErr w:type="gramEnd"/>
      <w:r w:rsidRPr="00796B93">
        <w:rPr>
          <w:sz w:val="24"/>
          <w:lang w:val="da-DK"/>
        </w:rPr>
        <w:t>2026)0020).</w:t>
      </w:r>
    </w:p>
  </w:footnote>
  <w:footnote w:id="2">
    <w:p w14:paraId="38F86B1A" w14:textId="1F9C9E8C" w:rsidR="00D02B17" w:rsidRPr="00796B93" w:rsidRDefault="00D02B17" w:rsidP="005614E4">
      <w:pPr>
        <w:pStyle w:val="FootnoteText"/>
        <w:ind w:left="567" w:hanging="567"/>
        <w:rPr>
          <w:sz w:val="24"/>
          <w:lang w:val="da-DK"/>
        </w:rPr>
      </w:pPr>
      <w:r w:rsidRPr="00796B93">
        <w:rPr>
          <w:rStyle w:val="FootnoteReference"/>
          <w:sz w:val="24"/>
          <w:lang w:val="da-DK"/>
        </w:rPr>
        <w:footnoteRef/>
      </w:r>
      <w:r w:rsidR="005614E4" w:rsidRPr="00796B93">
        <w:rPr>
          <w:sz w:val="24"/>
          <w:lang w:val="da-DK"/>
        </w:rPr>
        <w:t xml:space="preserve"> </w:t>
      </w:r>
      <w:r w:rsidR="005614E4" w:rsidRPr="00796B93">
        <w:rPr>
          <w:sz w:val="24"/>
          <w:lang w:val="da-DK"/>
        </w:rPr>
        <w:tab/>
      </w:r>
      <w:r w:rsidRPr="00796B93">
        <w:rPr>
          <w:sz w:val="24"/>
          <w:lang w:val="da-DK"/>
        </w:rPr>
        <w:t xml:space="preserve">Europa-Parlamentets og Rådets forordning (EU) 2026/261 af 26. januar 2026 om udfasning af importen af russisk naturgas og forberedelse af udfasning af russisk olieimport, forbedring af overvågningen af potentiel energiafhængighed og ændring af forordning (EU) 2017/1938 (EUT L, 2026/261, 2.2.2026, ELI: </w:t>
      </w:r>
      <w:hyperlink r:id="rId1" w:history="1">
        <w:r w:rsidRPr="00796B93">
          <w:rPr>
            <w:rStyle w:val="Hyperlink"/>
            <w:sz w:val="24"/>
            <w:lang w:val="da-DK"/>
          </w:rPr>
          <w:t>http://data.europa.eu/eli/reg/2026/261/oj</w:t>
        </w:r>
      </w:hyperlink>
      <w:r w:rsidRPr="00796B93">
        <w:rPr>
          <w:sz w:val="24"/>
          <w:lang w:val="da-DK"/>
        </w:rPr>
        <w:t>).</w:t>
      </w:r>
    </w:p>
  </w:footnote>
  <w:footnote w:id="3">
    <w:p w14:paraId="57C0D8DA" w14:textId="77E89075" w:rsidR="00796B93" w:rsidRPr="00DA6528" w:rsidRDefault="00796B93" w:rsidP="00DA6528">
      <w:pPr>
        <w:pStyle w:val="FootnoteText"/>
        <w:ind w:left="567" w:hanging="567"/>
        <w:rPr>
          <w:sz w:val="24"/>
          <w:szCs w:val="24"/>
          <w:lang w:val="da-DK"/>
        </w:rPr>
      </w:pPr>
      <w:r w:rsidRPr="00DA6528">
        <w:rPr>
          <w:rStyle w:val="FootnoteReference"/>
          <w:sz w:val="24"/>
          <w:szCs w:val="24"/>
          <w:lang w:val="da-DK"/>
        </w:rPr>
        <w:footnoteRef/>
      </w:r>
      <w:r w:rsidRPr="00DA6528">
        <w:rPr>
          <w:sz w:val="24"/>
          <w:szCs w:val="24"/>
          <w:lang w:val="da-DK"/>
        </w:rPr>
        <w:t xml:space="preserve"> </w:t>
      </w:r>
      <w:r w:rsidRPr="00DA6528">
        <w:rPr>
          <w:sz w:val="24"/>
          <w:szCs w:val="24"/>
          <w:lang w:val="da-DK"/>
        </w:rPr>
        <w:tab/>
        <w:t xml:space="preserve">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 ELI: </w:t>
      </w:r>
      <w:hyperlink r:id="rId2" w:history="1">
        <w:r w:rsidRPr="00DA6528">
          <w:rPr>
            <w:rStyle w:val="Hyperlink"/>
            <w:sz w:val="24"/>
            <w:szCs w:val="24"/>
            <w:lang w:val="da-DK"/>
          </w:rPr>
          <w:t>http://data.europa.eu/eli/dir/2001/55/oj</w:t>
        </w:r>
      </w:hyperlink>
      <w:r w:rsidRPr="00DA6528">
        <w:rPr>
          <w:sz w:val="24"/>
          <w:szCs w:val="24"/>
          <w:lang w:val="da-DK"/>
        </w:rPr>
        <w:t>).</w:t>
      </w:r>
    </w:p>
  </w:footnote>
  <w:footnote w:id="4">
    <w:p w14:paraId="3514D66E" w14:textId="6C2198B3" w:rsidR="00796B93" w:rsidRPr="00DA6528" w:rsidRDefault="00796B93" w:rsidP="00DA6528">
      <w:pPr>
        <w:pStyle w:val="FootnoteText"/>
        <w:ind w:left="567" w:hanging="567"/>
        <w:rPr>
          <w:sz w:val="24"/>
          <w:szCs w:val="22"/>
          <w:lang w:val="da-DK"/>
        </w:rPr>
      </w:pPr>
      <w:r w:rsidRPr="00DA6528">
        <w:rPr>
          <w:rStyle w:val="FootnoteReference"/>
          <w:sz w:val="24"/>
          <w:szCs w:val="22"/>
          <w:lang w:val="da-DK"/>
        </w:rPr>
        <w:footnoteRef/>
      </w:r>
      <w:r w:rsidRPr="00DA6528">
        <w:rPr>
          <w:sz w:val="24"/>
          <w:szCs w:val="22"/>
          <w:lang w:val="da-DK"/>
        </w:rPr>
        <w:t xml:space="preserve"> </w:t>
      </w:r>
      <w:r w:rsidRPr="00DA6528">
        <w:rPr>
          <w:sz w:val="24"/>
          <w:szCs w:val="22"/>
          <w:lang w:val="da-DK"/>
        </w:rPr>
        <w:tab/>
        <w:t xml:space="preserve">Europa-Parlamentets beslutning af 29. februar 2024 om behovet for EU's urokkelige støtte til Ukraine efter to år med Ruslands angrebskrig mod Ukraine (EUT C, C/2024/6745, 26.11.2024, ELI: </w:t>
      </w:r>
      <w:hyperlink r:id="rId3" w:history="1">
        <w:r w:rsidRPr="00DA6528">
          <w:rPr>
            <w:rStyle w:val="Hyperlink"/>
            <w:sz w:val="24"/>
            <w:szCs w:val="22"/>
            <w:lang w:val="da-DK"/>
          </w:rPr>
          <w:t>http://data.europa.eu/eli/C/2024/6745/oj</w:t>
        </w:r>
      </w:hyperlink>
      <w:r w:rsidRPr="00DA6528">
        <w:rPr>
          <w:sz w:val="24"/>
          <w:szCs w:val="22"/>
          <w:lang w:val="da-DK"/>
        </w:rPr>
        <w:t>).</w:t>
      </w:r>
    </w:p>
  </w:footnote>
  <w:footnote w:id="5">
    <w:p w14:paraId="2D31912C" w14:textId="4FD85E96" w:rsidR="00D02B17" w:rsidRPr="00796B93" w:rsidRDefault="00D02B17" w:rsidP="005614E4">
      <w:pPr>
        <w:pStyle w:val="FootnoteText"/>
        <w:ind w:left="567" w:hanging="567"/>
        <w:rPr>
          <w:sz w:val="24"/>
          <w:lang w:val="da-DK"/>
        </w:rPr>
      </w:pPr>
      <w:r w:rsidRPr="00796B93">
        <w:rPr>
          <w:rStyle w:val="FootnoteReference"/>
          <w:sz w:val="24"/>
          <w:lang w:val="da-DK"/>
        </w:rPr>
        <w:footnoteRef/>
      </w:r>
      <w:r w:rsidR="005614E4" w:rsidRPr="00796B93">
        <w:rPr>
          <w:sz w:val="24"/>
          <w:lang w:val="da-DK"/>
        </w:rPr>
        <w:t xml:space="preserve"> </w:t>
      </w:r>
      <w:r w:rsidR="005614E4" w:rsidRPr="00796B93">
        <w:rPr>
          <w:sz w:val="24"/>
          <w:lang w:val="da-DK"/>
        </w:rPr>
        <w:tab/>
      </w:r>
      <w:r w:rsidRPr="00796B93">
        <w:rPr>
          <w:sz w:val="24"/>
          <w:lang w:val="da-DK"/>
        </w:rPr>
        <w:t xml:space="preserve">EFT L 344 af 28.12.2001, s. 93, ELI: </w:t>
      </w:r>
      <w:hyperlink r:id="rId4" w:history="1">
        <w:r w:rsidRPr="00796B93">
          <w:rPr>
            <w:rStyle w:val="Hyperlink"/>
            <w:sz w:val="24"/>
            <w:lang w:val="da-DK"/>
          </w:rPr>
          <w:t>http://data.europa.eu/eli/compos/2001/931/oj</w:t>
        </w:r>
      </w:hyperlink>
      <w:r w:rsidRPr="00796B93">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9805071">
    <w:abstractNumId w:val="9"/>
  </w:num>
  <w:num w:numId="2" w16cid:durableId="1473408685">
    <w:abstractNumId w:val="9"/>
  </w:num>
  <w:num w:numId="3" w16cid:durableId="1572694377">
    <w:abstractNumId w:val="7"/>
  </w:num>
  <w:num w:numId="4" w16cid:durableId="848642987">
    <w:abstractNumId w:val="7"/>
  </w:num>
  <w:num w:numId="5" w16cid:durableId="329255505">
    <w:abstractNumId w:val="6"/>
  </w:num>
  <w:num w:numId="6" w16cid:durableId="1162695885">
    <w:abstractNumId w:val="6"/>
  </w:num>
  <w:num w:numId="7" w16cid:durableId="1004867466">
    <w:abstractNumId w:val="5"/>
  </w:num>
  <w:num w:numId="8" w16cid:durableId="579993722">
    <w:abstractNumId w:val="5"/>
  </w:num>
  <w:num w:numId="9" w16cid:durableId="2040087910">
    <w:abstractNumId w:val="4"/>
  </w:num>
  <w:num w:numId="10" w16cid:durableId="976103149">
    <w:abstractNumId w:val="4"/>
  </w:num>
  <w:num w:numId="11" w16cid:durableId="1515607003">
    <w:abstractNumId w:val="8"/>
  </w:num>
  <w:num w:numId="12" w16cid:durableId="123928833">
    <w:abstractNumId w:val="8"/>
  </w:num>
  <w:num w:numId="13" w16cid:durableId="1193886085">
    <w:abstractNumId w:val="3"/>
  </w:num>
  <w:num w:numId="14" w16cid:durableId="358865">
    <w:abstractNumId w:val="3"/>
  </w:num>
  <w:num w:numId="15" w16cid:durableId="331179647">
    <w:abstractNumId w:val="2"/>
  </w:num>
  <w:num w:numId="16" w16cid:durableId="2007588752">
    <w:abstractNumId w:val="2"/>
  </w:num>
  <w:num w:numId="17" w16cid:durableId="1962570807">
    <w:abstractNumId w:val="1"/>
  </w:num>
  <w:num w:numId="18" w16cid:durableId="917058721">
    <w:abstractNumId w:val="1"/>
  </w:num>
  <w:num w:numId="19" w16cid:durableId="265505763">
    <w:abstractNumId w:val="0"/>
  </w:num>
  <w:num w:numId="20" w16cid:durableId="1486507230">
    <w:abstractNumId w:val="0"/>
  </w:num>
  <w:num w:numId="21" w16cid:durableId="262492681">
    <w:abstractNumId w:val="9"/>
  </w:num>
  <w:num w:numId="22" w16cid:durableId="363797026">
    <w:abstractNumId w:val="7"/>
  </w:num>
  <w:num w:numId="23" w16cid:durableId="747845889">
    <w:abstractNumId w:val="6"/>
  </w:num>
  <w:num w:numId="24" w16cid:durableId="269508194">
    <w:abstractNumId w:val="5"/>
  </w:num>
  <w:num w:numId="25" w16cid:durableId="1466387435">
    <w:abstractNumId w:val="4"/>
  </w:num>
  <w:num w:numId="26" w16cid:durableId="1744141720">
    <w:abstractNumId w:val="8"/>
  </w:num>
  <w:num w:numId="27" w16cid:durableId="1096436052">
    <w:abstractNumId w:val="3"/>
  </w:num>
  <w:num w:numId="28" w16cid:durableId="1379625841">
    <w:abstractNumId w:val="2"/>
  </w:num>
  <w:num w:numId="29" w16cid:durableId="1582831050">
    <w:abstractNumId w:val="1"/>
  </w:num>
  <w:num w:numId="30" w16cid:durableId="1835873973">
    <w:abstractNumId w:val="0"/>
  </w:num>
  <w:num w:numId="31" w16cid:durableId="1113016278">
    <w:abstractNumId w:val="9"/>
  </w:num>
  <w:num w:numId="32" w16cid:durableId="768354846">
    <w:abstractNumId w:val="7"/>
  </w:num>
  <w:num w:numId="33" w16cid:durableId="1958370385">
    <w:abstractNumId w:val="6"/>
  </w:num>
  <w:num w:numId="34" w16cid:durableId="1484665669">
    <w:abstractNumId w:val="5"/>
  </w:num>
  <w:num w:numId="35" w16cid:durableId="1668702420">
    <w:abstractNumId w:val="4"/>
  </w:num>
  <w:num w:numId="36" w16cid:durableId="1765952209">
    <w:abstractNumId w:val="8"/>
  </w:num>
  <w:num w:numId="37" w16cid:durableId="1797722282">
    <w:abstractNumId w:val="3"/>
  </w:num>
  <w:num w:numId="38" w16cid:durableId="60905672">
    <w:abstractNumId w:val="2"/>
  </w:num>
  <w:num w:numId="39" w16cid:durableId="82726529">
    <w:abstractNumId w:val="1"/>
  </w:num>
  <w:num w:numId="40" w16cid:durableId="1020476532">
    <w:abstractNumId w:val="0"/>
  </w:num>
  <w:num w:numId="41" w16cid:durableId="104279757">
    <w:abstractNumId w:val="10"/>
  </w:num>
  <w:num w:numId="42" w16cid:durableId="865748688">
    <w:abstractNumId w:val="10"/>
  </w:num>
  <w:num w:numId="43" w16cid:durableId="67968654">
    <w:abstractNumId w:val="10"/>
  </w:num>
  <w:num w:numId="44" w16cid:durableId="1635170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2026"/>
    <w:docVar w:name="dvlangue" w:val="DA"/>
    <w:docVar w:name="dvnumam" w:val="0"/>
    <w:docVar w:name="dvpe" w:val="782.958"/>
    <w:docVar w:name="dvtitre" w:val="Europa-Parlamentets beslutning af 24. februar 2026 om fire år med Ruslands angrebskrig mod Ukraine og europæiske bidrag til en retfærdig fred og vedvarende sikkerhed for Ukraine(2026/2599(RSP))"/>
  </w:docVars>
  <w:rsids>
    <w:rsidRoot w:val="00F70F39"/>
    <w:rsid w:val="00002272"/>
    <w:rsid w:val="00056E18"/>
    <w:rsid w:val="00064002"/>
    <w:rsid w:val="000677B9"/>
    <w:rsid w:val="000831BA"/>
    <w:rsid w:val="000A42CC"/>
    <w:rsid w:val="000E7DD9"/>
    <w:rsid w:val="0010095E"/>
    <w:rsid w:val="00125B37"/>
    <w:rsid w:val="00184FD6"/>
    <w:rsid w:val="00185FA3"/>
    <w:rsid w:val="00187494"/>
    <w:rsid w:val="001925CE"/>
    <w:rsid w:val="001F32AE"/>
    <w:rsid w:val="002767FF"/>
    <w:rsid w:val="00296EB4"/>
    <w:rsid w:val="002B18FE"/>
    <w:rsid w:val="002B5493"/>
    <w:rsid w:val="00343214"/>
    <w:rsid w:val="00361C00"/>
    <w:rsid w:val="00395FA1"/>
    <w:rsid w:val="003E15D4"/>
    <w:rsid w:val="00411CCE"/>
    <w:rsid w:val="0041666E"/>
    <w:rsid w:val="00421060"/>
    <w:rsid w:val="00471C19"/>
    <w:rsid w:val="00482BB4"/>
    <w:rsid w:val="004867E3"/>
    <w:rsid w:val="00494A28"/>
    <w:rsid w:val="004C0004"/>
    <w:rsid w:val="004C5D52"/>
    <w:rsid w:val="0050519A"/>
    <w:rsid w:val="005072A1"/>
    <w:rsid w:val="00514517"/>
    <w:rsid w:val="00545827"/>
    <w:rsid w:val="00560270"/>
    <w:rsid w:val="005614E4"/>
    <w:rsid w:val="00562F49"/>
    <w:rsid w:val="005C2568"/>
    <w:rsid w:val="005F1B17"/>
    <w:rsid w:val="006037C0"/>
    <w:rsid w:val="006631B6"/>
    <w:rsid w:val="00680577"/>
    <w:rsid w:val="006C296F"/>
    <w:rsid w:val="006F74FA"/>
    <w:rsid w:val="00731ADD"/>
    <w:rsid w:val="00734777"/>
    <w:rsid w:val="00747932"/>
    <w:rsid w:val="00751A4A"/>
    <w:rsid w:val="00756632"/>
    <w:rsid w:val="00762C74"/>
    <w:rsid w:val="00786EC0"/>
    <w:rsid w:val="00796B93"/>
    <w:rsid w:val="007C391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61E5"/>
    <w:rsid w:val="00B22876"/>
    <w:rsid w:val="00B558F0"/>
    <w:rsid w:val="00BA246A"/>
    <w:rsid w:val="00BD48FE"/>
    <w:rsid w:val="00BD7BD8"/>
    <w:rsid w:val="00BE6ADC"/>
    <w:rsid w:val="00C05BFE"/>
    <w:rsid w:val="00C23CD4"/>
    <w:rsid w:val="00C61C0C"/>
    <w:rsid w:val="00C941CB"/>
    <w:rsid w:val="00CC2357"/>
    <w:rsid w:val="00CF071A"/>
    <w:rsid w:val="00D02B17"/>
    <w:rsid w:val="00D058B8"/>
    <w:rsid w:val="00D56C11"/>
    <w:rsid w:val="00D834A0"/>
    <w:rsid w:val="00D872DF"/>
    <w:rsid w:val="00D91E21"/>
    <w:rsid w:val="00DA6528"/>
    <w:rsid w:val="00DA7FCD"/>
    <w:rsid w:val="00E365E1"/>
    <w:rsid w:val="00E820A4"/>
    <w:rsid w:val="00EB006A"/>
    <w:rsid w:val="00EB4772"/>
    <w:rsid w:val="00ED169E"/>
    <w:rsid w:val="00ED4235"/>
    <w:rsid w:val="00F04346"/>
    <w:rsid w:val="00F075DC"/>
    <w:rsid w:val="00F149E9"/>
    <w:rsid w:val="00F5134D"/>
    <w:rsid w:val="00F70F3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67D61D"/>
  <w15:chartTrackingRefBased/>
  <w15:docId w15:val="{F8642B00-F2E2-4E4E-8DD4-E36BAD79A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02B17"/>
    <w:pPr>
      <w:spacing w:after="240"/>
      <w:ind w:left="567" w:hanging="567"/>
    </w:pPr>
  </w:style>
  <w:style w:type="paragraph" w:customStyle="1" w:styleId="EPComma">
    <w:name w:val="EPComma"/>
    <w:basedOn w:val="Normal"/>
    <w:link w:val="EPCommaChar"/>
    <w:rsid w:val="00D02B17"/>
    <w:pPr>
      <w:spacing w:before="480" w:after="240"/>
    </w:pPr>
  </w:style>
  <w:style w:type="character" w:customStyle="1" w:styleId="EPCommaChar">
    <w:name w:val="EPComma Char"/>
    <w:basedOn w:val="DefaultParagraphFont"/>
    <w:link w:val="EPComma"/>
    <w:rsid w:val="00D02B17"/>
    <w:rPr>
      <w:sz w:val="24"/>
      <w:lang w:val="da-DK"/>
    </w:rPr>
  </w:style>
  <w:style w:type="character" w:styleId="Hyperlink">
    <w:name w:val="Hyperlink"/>
    <w:basedOn w:val="DefaultParagraphFont"/>
    <w:rsid w:val="00D02B17"/>
    <w:rPr>
      <w:color w:val="0563C1" w:themeColor="hyperlink"/>
      <w:u w:val="single"/>
    </w:rPr>
  </w:style>
  <w:style w:type="paragraph" w:styleId="Revision">
    <w:name w:val="Revision"/>
    <w:hidden/>
    <w:uiPriority w:val="99"/>
    <w:semiHidden/>
    <w:rsid w:val="00BA246A"/>
    <w:rPr>
      <w:sz w:val="24"/>
      <w:lang w:val="da-DK"/>
    </w:rPr>
  </w:style>
  <w:style w:type="character" w:styleId="UnresolvedMention">
    <w:name w:val="Unresolved Mention"/>
    <w:basedOn w:val="DefaultParagraphFont"/>
    <w:uiPriority w:val="99"/>
    <w:semiHidden/>
    <w:unhideWhenUsed/>
    <w:rsid w:val="00796B93"/>
    <w:rPr>
      <w:color w:val="605E5C"/>
      <w:shd w:val="clear" w:color="auto" w:fill="E1DFDD"/>
    </w:rPr>
  </w:style>
  <w:style w:type="character" w:styleId="CommentReference">
    <w:name w:val="annotation reference"/>
    <w:basedOn w:val="DefaultParagraphFont"/>
    <w:rsid w:val="00185FA3"/>
    <w:rPr>
      <w:sz w:val="16"/>
      <w:szCs w:val="16"/>
    </w:rPr>
  </w:style>
  <w:style w:type="paragraph" w:styleId="CommentText">
    <w:name w:val="annotation text"/>
    <w:basedOn w:val="Normal"/>
    <w:link w:val="CommentTextChar"/>
    <w:rsid w:val="00185FA3"/>
    <w:rPr>
      <w:sz w:val="20"/>
    </w:rPr>
  </w:style>
  <w:style w:type="character" w:customStyle="1" w:styleId="CommentTextChar">
    <w:name w:val="Comment Text Char"/>
    <w:basedOn w:val="DefaultParagraphFont"/>
    <w:link w:val="CommentText"/>
    <w:rsid w:val="00185FA3"/>
    <w:rPr>
      <w:lang w:val="da-DK"/>
    </w:rPr>
  </w:style>
  <w:style w:type="paragraph" w:styleId="CommentSubject">
    <w:name w:val="annotation subject"/>
    <w:basedOn w:val="CommentText"/>
    <w:next w:val="CommentText"/>
    <w:link w:val="CommentSubjectChar"/>
    <w:rsid w:val="00185FA3"/>
    <w:rPr>
      <w:b/>
      <w:bCs/>
    </w:rPr>
  </w:style>
  <w:style w:type="character" w:customStyle="1" w:styleId="CommentSubjectChar">
    <w:name w:val="Comment Subject Char"/>
    <w:basedOn w:val="CommentTextChar"/>
    <w:link w:val="CommentSubject"/>
    <w:rsid w:val="00185FA3"/>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5/oj" TargetMode="External"/><Relationship Id="rId2" Type="http://schemas.openxmlformats.org/officeDocument/2006/relationships/hyperlink" Target="http://data.europa.eu/eli/dir/2001/55/oj" TargetMode="External"/><Relationship Id="rId1" Type="http://schemas.openxmlformats.org/officeDocument/2006/relationships/hyperlink" Target="http://data.europa.eu/eli/reg/2026/261/oj" TargetMode="External"/><Relationship Id="rId4"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3573</Words>
  <Characters>21859</Characters>
  <Application>Microsoft Office Word</Application>
  <DocSecurity>0</DocSecurity>
  <Lines>182</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2026-02-24T11:36:00Z</dcterms:created>
  <dcterms:modified xsi:type="dcterms:W3CDTF">2026-02-24T11:36:00Z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P10_TA-PROV(2026)0056_B10-0143_2026_</vt:lpwstr>
  </property>
  <property fmtid="{D5CDD505-2E9C-101B-9397-08002B2CF9AE}" pid="4" name="&lt;Type&gt;">
    <vt:lpwstr>RR</vt:lpwstr>
  </property>
</Properties>
</file>