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538D" w14:paraId="60C7726B" w14:textId="77777777" w:rsidTr="0010095E">
        <w:trPr>
          <w:trHeight w:hRule="exact" w:val="1418"/>
        </w:trPr>
        <w:tc>
          <w:tcPr>
            <w:tcW w:w="6804" w:type="dxa"/>
            <w:shd w:val="clear" w:color="auto" w:fill="auto"/>
            <w:vAlign w:val="center"/>
          </w:tcPr>
          <w:p w14:paraId="15A475F7" w14:textId="77777777" w:rsidR="00751A4A" w:rsidRPr="0051538D" w:rsidRDefault="000A3244" w:rsidP="0010095E">
            <w:pPr>
              <w:pStyle w:val="EPName"/>
            </w:pPr>
            <w:r w:rsidRPr="0051538D">
              <w:t>Európai Parlament</w:t>
            </w:r>
          </w:p>
          <w:p w14:paraId="614E30B6" w14:textId="77777777" w:rsidR="00751A4A" w:rsidRPr="0051538D" w:rsidRDefault="005F1B17" w:rsidP="005F1B17">
            <w:pPr>
              <w:pStyle w:val="EPTerm"/>
              <w:rPr>
                <w:rStyle w:val="HideTWBExt"/>
                <w:noProof w:val="0"/>
                <w:vanish w:val="0"/>
                <w:color w:val="auto"/>
              </w:rPr>
            </w:pPr>
            <w:r w:rsidRPr="0051538D">
              <w:t>2024</w:t>
            </w:r>
            <w:r w:rsidR="00817416" w:rsidRPr="0051538D">
              <w:t>-202</w:t>
            </w:r>
            <w:r w:rsidRPr="0051538D">
              <w:t>9</w:t>
            </w:r>
          </w:p>
        </w:tc>
        <w:tc>
          <w:tcPr>
            <w:tcW w:w="2268" w:type="dxa"/>
            <w:shd w:val="clear" w:color="auto" w:fill="auto"/>
          </w:tcPr>
          <w:p w14:paraId="0FAFA7DD" w14:textId="77777777" w:rsidR="00751A4A" w:rsidRPr="0051538D" w:rsidRDefault="00187494" w:rsidP="0010095E">
            <w:pPr>
              <w:pStyle w:val="EPLogo"/>
            </w:pPr>
            <w:r w:rsidRPr="0051538D">
              <w:rPr>
                <w:noProof/>
                <w:lang w:eastAsia="ja-JP"/>
              </w:rPr>
              <w:drawing>
                <wp:inline distT="0" distB="0" distL="0" distR="0" wp14:anchorId="3DC3D60B" wp14:editId="1CF73D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D685B" w14:textId="77777777" w:rsidR="00D058B8" w:rsidRPr="0051538D" w:rsidRDefault="00D058B8" w:rsidP="004C5D52">
      <w:pPr>
        <w:pStyle w:val="LineTop"/>
      </w:pPr>
    </w:p>
    <w:p w14:paraId="0C196412" w14:textId="77777777" w:rsidR="00680577" w:rsidRPr="0051538D" w:rsidRDefault="000A3244" w:rsidP="00680577">
      <w:pPr>
        <w:pStyle w:val="EPBodyTA1"/>
      </w:pPr>
      <w:r w:rsidRPr="0051538D">
        <w:t>ELFOGADOTT SZÖVEGEK</w:t>
      </w:r>
    </w:p>
    <w:p w14:paraId="4520C76D" w14:textId="77777777" w:rsidR="00D058B8" w:rsidRPr="0051538D" w:rsidRDefault="00D058B8" w:rsidP="00D058B8">
      <w:pPr>
        <w:pStyle w:val="LineBottom"/>
      </w:pPr>
    </w:p>
    <w:p w14:paraId="158F85FB" w14:textId="7AC3AF56" w:rsidR="000A3244" w:rsidRPr="0051538D" w:rsidRDefault="000A3244" w:rsidP="000A3244">
      <w:pPr>
        <w:pStyle w:val="ATHeading1"/>
      </w:pPr>
      <w:bookmarkStart w:id="0" w:name="TANumber"/>
      <w:r w:rsidRPr="0051538D">
        <w:t>P10_</w:t>
      </w:r>
      <w:proofErr w:type="gramStart"/>
      <w:r w:rsidRPr="0051538D">
        <w:t>TA(</w:t>
      </w:r>
      <w:proofErr w:type="gramEnd"/>
      <w:r w:rsidRPr="0051538D">
        <w:t>2026)00</w:t>
      </w:r>
      <w:r w:rsidR="00F9725B" w:rsidRPr="0051538D">
        <w:t>56</w:t>
      </w:r>
      <w:bookmarkEnd w:id="0"/>
    </w:p>
    <w:p w14:paraId="3E139872" w14:textId="0610D925" w:rsidR="000A3244" w:rsidRPr="0051538D" w:rsidRDefault="000A3244" w:rsidP="000A3244">
      <w:pPr>
        <w:pStyle w:val="ATHeading2"/>
      </w:pPr>
      <w:bookmarkStart w:id="1" w:name="title"/>
      <w:r w:rsidRPr="0051538D">
        <w:t>Oroszország Ukrajna elleni agressz</w:t>
      </w:r>
      <w:r w:rsidR="00945938" w:rsidRPr="0051538D">
        <w:t>iós</w:t>
      </w:r>
      <w:r w:rsidRPr="0051538D">
        <w:t xml:space="preserve"> háborújának négy éve és Európa Ukrajna igazságos békéjéhez és tartós biztonságához való hozzájárulása</w:t>
      </w:r>
      <w:bookmarkEnd w:id="1"/>
    </w:p>
    <w:p w14:paraId="10CC11FA" w14:textId="77777777" w:rsidR="000A3244" w:rsidRPr="0051538D" w:rsidRDefault="000A3244" w:rsidP="000A3244">
      <w:pPr>
        <w:rPr>
          <w:i/>
          <w:vanish/>
        </w:rPr>
      </w:pPr>
      <w:r w:rsidRPr="0051538D">
        <w:rPr>
          <w:i/>
        </w:rPr>
        <w:fldChar w:fldCharType="begin"/>
      </w:r>
      <w:r w:rsidRPr="0051538D">
        <w:rPr>
          <w:i/>
        </w:rPr>
        <w:instrText xml:space="preserve"> TC"(</w:instrText>
      </w:r>
      <w:bookmarkStart w:id="2" w:name="DocNumber"/>
      <w:r w:rsidRPr="0051538D">
        <w:rPr>
          <w:i/>
        </w:rPr>
        <w:instrText>B10-0143, 0144, 0145, 0146 és 0147/2026</w:instrText>
      </w:r>
      <w:bookmarkEnd w:id="2"/>
      <w:r w:rsidRPr="0051538D">
        <w:rPr>
          <w:i/>
        </w:rPr>
        <w:instrText xml:space="preserve">)"\l3 \n&gt; \* MERGEFORMAT </w:instrText>
      </w:r>
      <w:r w:rsidRPr="0051538D">
        <w:rPr>
          <w:i/>
        </w:rPr>
        <w:fldChar w:fldCharType="end"/>
      </w:r>
    </w:p>
    <w:p w14:paraId="7FDA5F03" w14:textId="77777777" w:rsidR="000A3244" w:rsidRPr="0051538D" w:rsidRDefault="000A3244" w:rsidP="000A3244">
      <w:pPr>
        <w:rPr>
          <w:vanish/>
        </w:rPr>
      </w:pPr>
      <w:bookmarkStart w:id="3" w:name="PE"/>
      <w:r w:rsidRPr="0051538D">
        <w:rPr>
          <w:vanish/>
        </w:rPr>
        <w:t>PE782.958</w:t>
      </w:r>
      <w:bookmarkEnd w:id="3"/>
    </w:p>
    <w:p w14:paraId="777BE2F5" w14:textId="22C98CE8" w:rsidR="000A3244" w:rsidRPr="0051538D" w:rsidRDefault="000A3244" w:rsidP="000A3244">
      <w:pPr>
        <w:pStyle w:val="ATHeading3"/>
      </w:pPr>
      <w:bookmarkStart w:id="4" w:name="Sujet"/>
      <w:r w:rsidRPr="0051538D">
        <w:t xml:space="preserve">Az Európai Parlament 2026. </w:t>
      </w:r>
      <w:r w:rsidR="00945938" w:rsidRPr="0051538D">
        <w:t>február 24-</w:t>
      </w:r>
      <w:r w:rsidRPr="0051538D">
        <w:t>i állásfoglalása Oroszország Ukrajna elleni agressziós háborújának négy évéről és az Ukrajna igazságos békéjéhez és tartós biztonságához való európai hozzájárulásról</w:t>
      </w:r>
      <w:bookmarkEnd w:id="4"/>
      <w:r w:rsidRPr="0051538D">
        <w:t xml:space="preserve"> </w:t>
      </w:r>
      <w:bookmarkStart w:id="5" w:name="References"/>
      <w:r w:rsidRPr="0051538D">
        <w:t>(2026/2599(RSP))</w:t>
      </w:r>
      <w:bookmarkEnd w:id="5"/>
    </w:p>
    <w:p w14:paraId="2B4957C0" w14:textId="77777777" w:rsidR="006E0AB8" w:rsidRPr="0051538D" w:rsidRDefault="006E0AB8" w:rsidP="006E0AB8">
      <w:pPr>
        <w:pStyle w:val="EPComma"/>
      </w:pPr>
      <w:bookmarkStart w:id="6" w:name="TextBodyBegin"/>
      <w:bookmarkEnd w:id="6"/>
      <w:r w:rsidRPr="0051538D">
        <w:rPr>
          <w:i/>
          <w:iCs/>
        </w:rPr>
        <w:t>Az Európai Parlament,</w:t>
      </w:r>
    </w:p>
    <w:p w14:paraId="37B83B7D" w14:textId="77777777" w:rsidR="006E0AB8" w:rsidRPr="0051538D" w:rsidRDefault="006E0AB8" w:rsidP="006E0AB8">
      <w:pPr>
        <w:pStyle w:val="NormalHanging12a"/>
      </w:pPr>
      <w:r w:rsidRPr="0051538D">
        <w:t>–</w:t>
      </w:r>
      <w:r w:rsidRPr="0051538D">
        <w:tab/>
        <w:t>tekintettel az Ukrajnáról és Oroszországról szóló korábbi állásfoglalásaira,</w:t>
      </w:r>
    </w:p>
    <w:p w14:paraId="31CF02FA" w14:textId="77777777" w:rsidR="006E0AB8" w:rsidRPr="0051538D" w:rsidRDefault="006E0AB8" w:rsidP="006E0AB8">
      <w:pPr>
        <w:pStyle w:val="NormalHanging12a"/>
      </w:pPr>
      <w:r w:rsidRPr="0051538D">
        <w:t>–</w:t>
      </w:r>
      <w:r w:rsidRPr="0051538D">
        <w:tab/>
        <w:t>tekintettel eljárási szabályzata 167. cikkének (2) bekezdésére és 136. cikkének (4) bekezdésére,</w:t>
      </w:r>
    </w:p>
    <w:p w14:paraId="6DB1FF1E" w14:textId="77777777" w:rsidR="006E0AB8" w:rsidRPr="0051538D" w:rsidRDefault="006E0AB8" w:rsidP="006E0AB8">
      <w:pPr>
        <w:pStyle w:val="NormalHanging12a"/>
      </w:pPr>
      <w:r w:rsidRPr="0051538D">
        <w:t>A.</w:t>
      </w:r>
      <w:r w:rsidRPr="0051538D">
        <w:tab/>
        <w:t>mivel az Oroszországi Föderáció négy évvel ezelőtt, 2022. február 24-én kegyetlen, provokáció nélküli, indokolatlan és jogellenes agressziós háborút indított Ukrajna ellen; mivel az Ukrajna elleni orosz agresszió 2014-ben kezdődött a Donyec-medence térsége egyes részeinek megszállásával, valamint a Krím félsziget annektálásával;</w:t>
      </w:r>
    </w:p>
    <w:p w14:paraId="60951AFB" w14:textId="77777777" w:rsidR="006E0AB8" w:rsidRPr="0051538D" w:rsidRDefault="006E0AB8" w:rsidP="006E0AB8">
      <w:pPr>
        <w:pStyle w:val="NormalHanging12a"/>
      </w:pPr>
      <w:r w:rsidRPr="0051538D">
        <w:t>B.</w:t>
      </w:r>
      <w:r w:rsidRPr="0051538D">
        <w:tab/>
        <w:t>mivel a széles körű nemzetközi felháborodás és a példátlan szankciók ellenére Oroszország a kritikus energetikai infrastruktúra, a lakóépületek és a polgári infrastruktúra elleni célzott támadások révén fokozza háborús erőfeszítéseit; mivel Ukrajnában emberek milliói próbálják túlélni a fagyos téli hőmérsékletet korlátozott villamosenergia-, fűtés- és ivóvízellátás mellett; mivel az Oroszország által az elmúlt négy évben okozott környezeti károk pusztító következményekkel jártak Ukrajna természeti erőforrásaira, kritikus fontosságú ökoszisztémáira, valamint az emberek egészségére, megélhetésére és biztonságára nézve is;</w:t>
      </w:r>
    </w:p>
    <w:p w14:paraId="5338FD67" w14:textId="79E36156" w:rsidR="006E0AB8" w:rsidRPr="0051538D" w:rsidRDefault="006E0AB8" w:rsidP="006E0AB8">
      <w:pPr>
        <w:pStyle w:val="NormalHanging12a"/>
      </w:pPr>
      <w:r w:rsidRPr="0051538D">
        <w:t>C.</w:t>
      </w:r>
      <w:r w:rsidRPr="0051538D">
        <w:tab/>
        <w:t xml:space="preserve">mivel Irán, Észak-Korea és </w:t>
      </w:r>
      <w:proofErr w:type="spellStart"/>
      <w:r w:rsidRPr="0051538D">
        <w:t>Belarusz</w:t>
      </w:r>
      <w:proofErr w:type="spellEnd"/>
      <w:r w:rsidRPr="0051538D">
        <w:t xml:space="preserve"> jelentős fegyver- és lőszerszállítmányokat biztosított Oroszországnak, és </w:t>
      </w:r>
      <w:proofErr w:type="spellStart"/>
      <w:r w:rsidRPr="0051538D">
        <w:t>Belarusz</w:t>
      </w:r>
      <w:proofErr w:type="spellEnd"/>
      <w:r w:rsidRPr="0051538D">
        <w:t xml:space="preserve"> lehetővé tette Oroszország számára, hogy területét Ukrajna megtámadására használja, ami a nemzetközi jog értelmében agressziós cselekménynek minősül; mivel Kína gazdasági és védelmi-ipari támogatása révén az orosz háborús erőfeszítések kulcsfontosságú elősegítőjévé vált; mivel kubai és más külföldi állampolgárok ezrei harcolnak az orosz csapatok mellett Ukrajnában; mivel a zsoldosokkal és önkéntesekkel együtt a jelentések szerint 36 afrikai nemzet több mint 1</w:t>
      </w:r>
      <w:r w:rsidR="00945938" w:rsidRPr="0051538D">
        <w:t> </w:t>
      </w:r>
      <w:r w:rsidRPr="0051538D">
        <w:t>400 polgára harcol Oroszország oldalán;</w:t>
      </w:r>
    </w:p>
    <w:p w14:paraId="4C5E39AD" w14:textId="77777777" w:rsidR="006E0AB8" w:rsidRPr="0051538D" w:rsidRDefault="006E0AB8" w:rsidP="006E0AB8">
      <w:pPr>
        <w:pStyle w:val="NormalHanging12a"/>
      </w:pPr>
      <w:r w:rsidRPr="0051538D">
        <w:t>D.</w:t>
      </w:r>
      <w:r w:rsidRPr="0051538D">
        <w:tab/>
        <w:t xml:space="preserve">mivel a Wagner Csoport és utódszervezetei szisztematikusan emberkínzást és statáriális </w:t>
      </w:r>
      <w:r w:rsidRPr="0051538D">
        <w:lastRenderedPageBreak/>
        <w:t>kivégzéseket követtek el, háborús fegyverként alkalmazták a szexuális erőszakot, és Ukrajna-szerte destabilizációs műveleteket hajtottak végre; mivel a Wagner Csoporttal kapcsolatban álló személyekkel és szervezetekkel szembeni uniós szankciók továbbra sem elegendőek a toborzók, a harcosok és a támogatók büntetőeljárás alá vonásához, akiket a jelenlegi intézkedések értelmében nem sújtanak büntetőjogi szankciók;</w:t>
      </w:r>
    </w:p>
    <w:p w14:paraId="55D772D8" w14:textId="77777777" w:rsidR="006E0AB8" w:rsidRPr="0051538D" w:rsidRDefault="006E0AB8" w:rsidP="006E0AB8">
      <w:pPr>
        <w:pStyle w:val="NormalHanging12a"/>
      </w:pPr>
      <w:r w:rsidRPr="0051538D">
        <w:t>E.</w:t>
      </w:r>
      <w:r w:rsidRPr="0051538D">
        <w:tab/>
        <w:t>mivel Ukrajna és nemzetközi szervek több száz ukrán hadifogoly orosz erők általi kivégzését dokumentálták; mivel az ilyen kivégzések a nemzetközi jog és az emberi jogok súlyos megsértésének minősülnek, és azokat a genfi egyezmények és a Nemzetközi Büntetőbíróság Római Statútuma kifejezetten háborús bűncselekményeknek nyilvánítják;</w:t>
      </w:r>
    </w:p>
    <w:p w14:paraId="455DAFDF" w14:textId="77777777" w:rsidR="006E0AB8" w:rsidRPr="0051538D" w:rsidRDefault="006E0AB8" w:rsidP="006E0AB8">
      <w:pPr>
        <w:pStyle w:val="NormalHanging12a"/>
      </w:pPr>
      <w:r w:rsidRPr="0051538D">
        <w:t>F.</w:t>
      </w:r>
      <w:r w:rsidRPr="0051538D">
        <w:tab/>
        <w:t xml:space="preserve">mivel Oroszország Unió-szerte többször is hibrid hadviselési cselekményeket folytatott, többek között </w:t>
      </w:r>
      <w:proofErr w:type="spellStart"/>
      <w:r w:rsidRPr="0051538D">
        <w:t>kibertámadások</w:t>
      </w:r>
      <w:proofErr w:type="spellEnd"/>
      <w:r w:rsidRPr="0051538D">
        <w:t>, dezinformációs kampányok és választási beavatkozás révén, valamint katonai provokációkkal, beleértve a légtér vadászrepülőgépek és nagy hatótávolságú csapásmérő drónok általi megsértését is;</w:t>
      </w:r>
    </w:p>
    <w:p w14:paraId="3630CAF7" w14:textId="77777777" w:rsidR="006E0AB8" w:rsidRPr="0051538D" w:rsidRDefault="006E0AB8" w:rsidP="006E0AB8">
      <w:pPr>
        <w:pStyle w:val="NormalHanging12a"/>
        <w:rPr>
          <w:bCs/>
        </w:rPr>
      </w:pPr>
      <w:r w:rsidRPr="0051538D">
        <w:t>G.</w:t>
      </w:r>
      <w:r w:rsidRPr="0051538D">
        <w:tab/>
        <w:t>mivel Oroszország Ukrajna elleni agressziós háborúja súlyosan aláásta az európai és globális biztonságot, és egy szélesebb körű imperialista és terjeszkedési menetrend részét képezi; mivel a békemegállapodást hiteles és szilárd biztonsági garanciákkal kell alátámasztani, hogy megelőzzék az esetleges újabb orosz agressziót, és ha mégis bekövetkezne, arra azonnali választ adjanak;</w:t>
      </w:r>
    </w:p>
    <w:p w14:paraId="08E72E1D" w14:textId="77777777" w:rsidR="006E0AB8" w:rsidRPr="0051538D" w:rsidRDefault="006E0AB8" w:rsidP="006E0AB8">
      <w:pPr>
        <w:pStyle w:val="NormalHanging12a"/>
      </w:pPr>
      <w:r w:rsidRPr="0051538D">
        <w:t>H.</w:t>
      </w:r>
      <w:r w:rsidRPr="0051538D">
        <w:tab/>
        <w:t xml:space="preserve">mivel legalább 20 000, esetleg akár 35 000 ukrán gyermeket hurcoltak erőszakkal Oroszországba és </w:t>
      </w:r>
      <w:proofErr w:type="spellStart"/>
      <w:r w:rsidRPr="0051538D">
        <w:t>Belaruszba</w:t>
      </w:r>
      <w:proofErr w:type="spellEnd"/>
      <w:r w:rsidRPr="0051538D">
        <w:t>, vagy vettek őrizetbe ideiglenesen megszállt ukrán területeken;</w:t>
      </w:r>
    </w:p>
    <w:p w14:paraId="27E0D3D8" w14:textId="77777777" w:rsidR="006E0AB8" w:rsidRPr="0051538D" w:rsidRDefault="006E0AB8" w:rsidP="006E0AB8">
      <w:pPr>
        <w:pStyle w:val="NormalHanging12a"/>
      </w:pPr>
      <w:r w:rsidRPr="0051538D">
        <w:t>I.</w:t>
      </w:r>
      <w:r w:rsidRPr="0051538D">
        <w:tab/>
        <w:t>mivel az orosz védelmi minisztérium katonai rendőrsége, a Szövetségi Biztonsági Szolgálat és a Szövetségi Büntetés-végrehajtási Szolgálat meghatározatlan számú ukrán hadifoglyot és polgári személyt tart teljes elkülönítésben, és az ukrán emberi jogi szervezetek becslése szerint mintegy 16 000 ukrán polgári személyt fosztottak meg jogellenesen szabadságától;</w:t>
      </w:r>
    </w:p>
    <w:p w14:paraId="772BDFFB" w14:textId="1C12F044" w:rsidR="006E0AB8" w:rsidRPr="0051538D" w:rsidRDefault="006E0AB8" w:rsidP="006E0AB8">
      <w:pPr>
        <w:pStyle w:val="NormalHanging12a"/>
      </w:pPr>
      <w:r w:rsidRPr="0051538D">
        <w:t>J.</w:t>
      </w:r>
      <w:r w:rsidRPr="0051538D">
        <w:tab/>
        <w:t>mivel egyes tagállamok továbbra is havi rendszerességgel fizetnek Oroszországnak fosszilis tüzelőanyagokért, és csak 2025 decemberében 1,3 milliárd EUR-t költöttek orosz fosszilis tüzelőanyagokra; mivel az EU továbbra is az orosz cseppfolyósított földgáz (LNG) és vezetékes gáz legnagyobb felvásárlója, amely Oroszország teljes LNG-exportjának közel felét (49%-át) és vezetékes gázexportjának 35%-át teszi ki;</w:t>
      </w:r>
    </w:p>
    <w:p w14:paraId="693C8A34" w14:textId="77777777" w:rsidR="006E0AB8" w:rsidRPr="0051538D" w:rsidRDefault="006E0AB8" w:rsidP="006E0AB8">
      <w:pPr>
        <w:pStyle w:val="NormalHanging12a"/>
      </w:pPr>
      <w:r w:rsidRPr="0051538D">
        <w:t>1.</w:t>
      </w:r>
      <w:r w:rsidRPr="0051538D">
        <w:tab/>
        <w:t xml:space="preserve">tisztelettel adózik az előtt a több ezer ember előtt, akik Oroszország agressziós háborújának négy éve alatt életüket áldozták egy szabad és demokratikus Ukrajnáért és közös európai értékeink védelméért; hangsúlyozza, hogy Ukrajna </w:t>
      </w:r>
      <w:proofErr w:type="spellStart"/>
      <w:r w:rsidRPr="0051538D">
        <w:t>rezilienciája</w:t>
      </w:r>
      <w:proofErr w:type="spellEnd"/>
      <w:r w:rsidRPr="0051538D">
        <w:t xml:space="preserve"> a zsarnoksággal szembesülő demokrácia erejét példázza; újfent töretlen szolidaritásáról biztosítja Ukrajna népét, és továbbra is támogatja Ukrajna függetlenségét, szuverenitását és nemzetközileg elismert határain belüli területi integritását; ismételten megerősíti, hogy teljes mértékben támogatja az Ukrajna által meghatározott és az ukrán nép számára elfogadható feltételeken alapuló igazságos, átfogó és tartós ukrajnai békét; nyomatékosan hangsúlyozza, hogy az ENSZ Alapokmányának 51. cikkével összhangban Ukrajnának természetes joga van az önvédelemhez; megismétli azon szilárd meggyőződését, hogy Oroszország agressziójának kudarcot kell vallania, és Ukrajnának kell győzedelmeskednie;</w:t>
      </w:r>
    </w:p>
    <w:p w14:paraId="528EEDFE" w14:textId="77777777" w:rsidR="006E0AB8" w:rsidRPr="0051538D" w:rsidRDefault="006E0AB8" w:rsidP="006E0AB8">
      <w:pPr>
        <w:pStyle w:val="NormalHanging12a"/>
      </w:pPr>
      <w:r w:rsidRPr="0051538D">
        <w:lastRenderedPageBreak/>
        <w:t>2.</w:t>
      </w:r>
      <w:r w:rsidRPr="0051538D">
        <w:tab/>
        <w:t xml:space="preserve">hangsúlyozza, hogy Oroszország Ukrajna ellen provokáció nélkül indított jogellenes és indokolatlan agressziós háborúja a nemzetközi jog és az ENSZ Alapokmányának nyilvánvaló megsértését képezi, valamint példátlan támadást jelent az európai biztonsági architektúra ellen; hangsúlyozza, hogy Oroszország, annak vezetése és szövetségesei, például a </w:t>
      </w:r>
      <w:proofErr w:type="spellStart"/>
      <w:r w:rsidRPr="0051538D">
        <w:t>belarusz</w:t>
      </w:r>
      <w:proofErr w:type="spellEnd"/>
      <w:r w:rsidRPr="0051538D">
        <w:t xml:space="preserve"> rezsim teljes mértékben felelősek a háborúért, a háborús bűncselekményekért és az agresszió bűntettéért, és teljes elszámoltatást szorgalmaz;</w:t>
      </w:r>
    </w:p>
    <w:p w14:paraId="504D01D7" w14:textId="77777777" w:rsidR="006E0AB8" w:rsidRPr="0051538D" w:rsidRDefault="006E0AB8" w:rsidP="006E0AB8">
      <w:pPr>
        <w:pStyle w:val="NormalHanging12a"/>
      </w:pPr>
      <w:r w:rsidRPr="0051538D">
        <w:t>3.</w:t>
      </w:r>
      <w:r w:rsidRPr="0051538D">
        <w:tab/>
        <w:t xml:space="preserve">ismételten a lehető leghatározottabban elítéli Oroszország Ukrajna elleni brutális agressziós háborúját, valamint Észak-Korea és Irán abban való részvételét; követeli, hogy Oroszország és a nevében harcoló erők haladéktalanul, teljes mértékben és feltétel nélkül vessenek véget minden ukrajnai katonai fellépésnek, hagyjanak fel a lakóövezetek és a polgári infrastruktúra elleni támadásokkal, vonják ki az összes katonai erőt, helyettesítő erőt és katonai felszerelést Ukrajna teljes nemzetközileg elismert területéről, </w:t>
      </w:r>
      <w:proofErr w:type="spellStart"/>
      <w:r w:rsidRPr="0051538D">
        <w:t>bocsássák</w:t>
      </w:r>
      <w:proofErr w:type="spellEnd"/>
      <w:r w:rsidRPr="0051538D">
        <w:t xml:space="preserve"> szabadon és küldjék haza az összes hadifoglyot, politikai foglyot, elrabolt gyermeket és polgári személyt, és véglegesen hagyjanak fel Ukrajna szuverenitásának, függetlenségének és területi integritásának megsértésével vagy fenyegetésével; megismétli, hogy az EU továbbra sem ismeri el orosz területként Ukrajna ideiglenesen megszállt területeit;</w:t>
      </w:r>
    </w:p>
    <w:p w14:paraId="354C6368" w14:textId="77777777" w:rsidR="006E0AB8" w:rsidRPr="0051538D" w:rsidRDefault="006E0AB8" w:rsidP="006E0AB8">
      <w:pPr>
        <w:pStyle w:val="NormalHanging12a"/>
      </w:pPr>
      <w:r w:rsidRPr="0051538D">
        <w:t>4.</w:t>
      </w:r>
      <w:r w:rsidRPr="0051538D">
        <w:tab/>
        <w:t>megerősíti, hogy Ukrajna jövője az EU-ban van; elismeri, hogy Ukrajna európai integrációja stratégiai prioritás az EU számára, és felhívja az EU-t és tagállamait, hogy belső reformok végrehajtásával és egyértelmű bővítési stratégia kidolgozásával készüljenek fel a jövőbeli bővítésre; hangsúlyozza annak fontosságát, hogy felgyorsítsák Ukrajna fokozatos integrációját az EU egységes piacába;</w:t>
      </w:r>
    </w:p>
    <w:p w14:paraId="4E8E5F80" w14:textId="77777777" w:rsidR="006E0AB8" w:rsidRPr="0051538D" w:rsidRDefault="006E0AB8" w:rsidP="006E0AB8">
      <w:pPr>
        <w:pStyle w:val="NormalHanging12a"/>
      </w:pPr>
      <w:r w:rsidRPr="0051538D">
        <w:t>5.</w:t>
      </w:r>
      <w:r w:rsidRPr="0051538D">
        <w:tab/>
        <w:t>sürgeti az EU-t és tagállamait, hogy vállaljanak nagyobb felelősséget az európai kontinens biztonságáért, és továbbra is kitartóan nyújtsanak támogatást Ukrajnának; kiemeli, hogy minden olyan megállapodás, amely Oroszország Ukrajna elleni agressziós háborújának befejezésére irányul, jóval túlmutat Oroszországon és Ukrajnán, és mélyreható következményekkel jár az európai biztonsági rend egészére nézve; kitart amellett, hogy Ukrajnáról nem szabad dönteni Ukrajna nélkül, és Európáról sem Európa nélkül;</w:t>
      </w:r>
    </w:p>
    <w:p w14:paraId="1E7870DB" w14:textId="2F8E9C83" w:rsidR="00470265" w:rsidRPr="0051538D" w:rsidRDefault="00470265" w:rsidP="006E0AB8">
      <w:pPr>
        <w:pStyle w:val="NormalHanging12a"/>
      </w:pPr>
      <w:r w:rsidRPr="0051538D">
        <w:t>6.</w:t>
      </w:r>
      <w:r w:rsidRPr="0051538D">
        <w:tab/>
      </w:r>
      <w:bookmarkStart w:id="7" w:name="_Hlk222477716"/>
      <w:r w:rsidRPr="0051538D">
        <w:rPr>
          <w:bCs/>
          <w:iCs/>
        </w:rPr>
        <w:t xml:space="preserve">üdvözli annak a törvénynek az elfogadását, amely lehetővé teszi az ukrajnai ortodox egyházközségek számára, hogy kilépjenek a moszkvai patriarchátus joghatósága alól, és szabadon döntsenek új hierarchikus hovatartozásukról; megjegyzi, hogy 2024 augusztusában az ukrajnai román ortodox egyházközségek kérelmet nyújtottak be az „ukrajnai román ortodox egyház” vallási egyesületként való elismerése iránt, így a moszkvai patriarchátus joghatósága alól kilépő román ortodox egyházközségek ehhez csatlakozhatnak; </w:t>
      </w:r>
      <w:bookmarkEnd w:id="7"/>
    </w:p>
    <w:p w14:paraId="46F29FB8" w14:textId="414AFF11" w:rsidR="006E0AB8" w:rsidRPr="0051538D" w:rsidRDefault="003E566B" w:rsidP="006E0AB8">
      <w:pPr>
        <w:pStyle w:val="NormalHanging12a"/>
      </w:pPr>
      <w:r w:rsidRPr="0051538D">
        <w:t>7</w:t>
      </w:r>
      <w:r w:rsidR="006E0AB8" w:rsidRPr="0051538D">
        <w:t>.</w:t>
      </w:r>
      <w:r w:rsidR="006E0AB8" w:rsidRPr="0051538D">
        <w:tab/>
        <w:t>felszólítja az EU-t, annak tagállamait, transzatlanti szövetségeseit és nemzetközi partnereit, hogy tegyenek még hatékonyabb katonai, politikai és diplomáciai erőfeszítéseket, és különösen jelentősen növeljék az Ukrajnának nyújtott katonai támogatásukat, továbbá érdemben fokozzák az Oroszországra gyakorolt átfogó nyomást annak érdekében, hogy véglegesen megállítsák Oroszország agressziós háborúját, és lehetővé tegyék Ukrajna számára, hogy felszabadítsa népét, és visszaállítsa a teljes ellenőrzést a nemzetközileg elismert határain belüli teljes területe felett;</w:t>
      </w:r>
    </w:p>
    <w:p w14:paraId="64E63719" w14:textId="7527FB86" w:rsidR="006E0AB8" w:rsidRPr="0051538D" w:rsidRDefault="003E566B" w:rsidP="006E0AB8">
      <w:pPr>
        <w:pStyle w:val="NormalHanging12a"/>
      </w:pPr>
      <w:r w:rsidRPr="0051538D">
        <w:t>8</w:t>
      </w:r>
      <w:r w:rsidR="006E0AB8" w:rsidRPr="0051538D">
        <w:t>.</w:t>
      </w:r>
      <w:r w:rsidR="006E0AB8" w:rsidRPr="0051538D">
        <w:tab/>
        <w:t xml:space="preserve">üdvözli a „tettre készek koalíciója” 2026. január 6-án Párizsban tartott ülésének következtetéseit; határozottan üdvözli egy multinacionális „biztosító erő” Ukrajna </w:t>
      </w:r>
      <w:r w:rsidR="006E0AB8" w:rsidRPr="0051538D">
        <w:lastRenderedPageBreak/>
        <w:t xml:space="preserve">számára való létrehozására irányuló javaslatot; üdvözli azt a megállapodást, miszerint politikailag és jogilag kötelező </w:t>
      </w:r>
      <w:proofErr w:type="spellStart"/>
      <w:r w:rsidR="006E0AB8" w:rsidRPr="0051538D">
        <w:t>erejű</w:t>
      </w:r>
      <w:proofErr w:type="spellEnd"/>
      <w:r w:rsidR="006E0AB8" w:rsidRPr="0051538D">
        <w:t xml:space="preserve"> kötelezettségvállalásokat véglegesítenek a béke és a biztonság helyreállítására egy Oroszország általi jövőbeli, a tűzszünetet követő, fegyveres támadás esetén, valamint véglegesítik az Ukrajnának nyújtott támogatás egyértelmű keretét, beleértve hosszú távú katonai képességeinek fenntartását és az elmélyített védelmi együttműködést; sajnálatát fejezi ki azonban amiatt, hogy ezeket a biztonsági garanciákat csak a tűzszünetről való megállapodást követően hajtanák végre; tudomásul veszi a tűzszünet nyomon követésére és ellenőrzésére szolgáló mechanizmusról szóló tárgyalásokat; hangsúlyozza, hogy végre kell hajtani ezeket az ambiciózus javaslatokat;</w:t>
      </w:r>
    </w:p>
    <w:p w14:paraId="6EDCB171" w14:textId="19E94768" w:rsidR="006E0AB8" w:rsidRPr="0051538D" w:rsidRDefault="003E566B" w:rsidP="006E0AB8">
      <w:pPr>
        <w:pStyle w:val="NormalHanging12a"/>
      </w:pPr>
      <w:r w:rsidRPr="0051538D">
        <w:t>9</w:t>
      </w:r>
      <w:r w:rsidR="006E0AB8" w:rsidRPr="0051538D">
        <w:t>.</w:t>
      </w:r>
      <w:r w:rsidR="006E0AB8" w:rsidRPr="0051538D">
        <w:tab/>
        <w:t>hangsúlyozza, hogy semmilyen békemegállapodás nem korlátozhatja Ukrajna önvédelmi képességét, és annak a nemzetközi jog elveinek teljes körű tiszteletben tartásán, a háborús bűncselekményekkel, az emberiesség elleni bűncselekményekkel és az agresszió bűntettével kapcsolatos elszámoltathatóságon, valamint az Ukrajnában okozott súlyos károk Oroszország általi jóvátételén kell alapulnia; hangsúlyozza, hogy minden ilyen megállapodásnak a Washingtoni Szerződés 5. cikkével és az Európai Unióról szóló szerződés 42. cikkének (7) bekezdésével egyenértékű szilárd és hiteles biztonsági garanciákat kell kínálnia Ukrajna számára, elkerülve a biztonsági garanciákról szóló 1994. évi budapesti megállapodás megismétlődését; ismételten megerősíti, hogy Ukrajna szabadon, orosz vétótól mentesen választhatja meg biztonsági és politikai szövetségeit; hangsúlyozza, hogy bármely Oroszországgal kötött megállapodásnak tartalmaznia kell Oroszország arra vonatkozó kötelezettségvállalását, hogy haladéktalanul beszünteti hibrid hadviselését az EU és partnerei, köztük Ukrajna ellen; kitart amellett, hogy a „tettre készek koalíciójának” és az Egyesült Államoknak olyan szilárd biztonsági garanciákat kell nyújtaniuk, amelyek megakadályozzák az újabb orosz agressziót, illetve azonnal reagálnak arra;</w:t>
      </w:r>
    </w:p>
    <w:p w14:paraId="23902374" w14:textId="256520D9" w:rsidR="006E0AB8" w:rsidRPr="0051538D" w:rsidRDefault="003E566B" w:rsidP="006E0AB8">
      <w:pPr>
        <w:pStyle w:val="NormalHanging12a"/>
      </w:pPr>
      <w:r w:rsidRPr="0051538D">
        <w:t>10</w:t>
      </w:r>
      <w:r w:rsidR="006E0AB8" w:rsidRPr="0051538D">
        <w:t>.</w:t>
      </w:r>
      <w:r w:rsidR="006E0AB8" w:rsidRPr="0051538D">
        <w:tab/>
        <w:t>tudomásul veszi az Egyesült Államok kormányának arra irányuló erőfeszítéseit, hogy véget vessen Oroszország Ukrajna elleni agressziós háborújának, de aggodalmát fejezi ki az Egyesült Államok béketárgyalásokkal kapcsolatos megközelítése miatt, amely a jelek szerint előnyben részesíti a rövid távú megállapodásokat és az Oroszországgal való „stratégiai stabilitás” megőrzését a nemzetközi jog elvein alapuló átfogó, igazságos és tartós békéhez vezető valódi béketárgyalásokkal szemben; ezért felhívja az EU-t és tagállamait, hogy folytassák az együttműködést az Egyesült Államokkal és a hasonlóan gondolkodó partnerekkel annak biztosítása érdekében, hogy az Ukrajna számára igazságos és tartós békéről szóló tárgyalásokra jóhiszeműen és azzal a céllal kerüljön sor, hogy véglegesen véget vessenek Oroszország Ukrajna elleni agressziójának; hangsúlyozza, hogy Oroszország folyamatos támadásai azt jelzik, hogy nem áll készen a valódi béketárgyalásokra; kiemeli a békefolyamat meghatározott időn belüli megvalósítására vonatkozó, átgondolatlan ígéretek Ukrajnára gyakorolt negatív hatását;</w:t>
      </w:r>
    </w:p>
    <w:p w14:paraId="6BACE617" w14:textId="33A9E3EC" w:rsidR="006E0AB8" w:rsidRPr="0051538D" w:rsidRDefault="003E566B" w:rsidP="006E0AB8">
      <w:pPr>
        <w:pStyle w:val="NormalHanging12a"/>
      </w:pPr>
      <w:r w:rsidRPr="0051538D">
        <w:t>11</w:t>
      </w:r>
      <w:r w:rsidR="006E0AB8" w:rsidRPr="0051538D">
        <w:t>.</w:t>
      </w:r>
      <w:r w:rsidR="006E0AB8" w:rsidRPr="0051538D">
        <w:tab/>
        <w:t xml:space="preserve">kitart amellett, hogy a békemegállapodás megtárgyalása és tartós végrehajtása előtt nem kerülhet sor egyetlen szankció feloldására sem; felhívja az EU-t, hogy vezessen be további jelentős szankciókat, például a fennmaradó orosz és </w:t>
      </w:r>
      <w:proofErr w:type="spellStart"/>
      <w:r w:rsidR="006E0AB8" w:rsidRPr="0051538D">
        <w:t>belarusz</w:t>
      </w:r>
      <w:proofErr w:type="spellEnd"/>
      <w:r w:rsidR="006E0AB8" w:rsidRPr="0051538D">
        <w:t xml:space="preserve"> behozatal átfogó tilalmát, különösen a nem szankcionált nyersanyagokat célozva; üdvözli az EU és a G7-ek között folyamatban lévő megbeszéléseket a tengeri szolgáltatások valamennyi orosz energiaexportra vonatkozó tilalmának vizsgálatáról, de sürgeti az EU-t és tagállamait, hogy a többi G7-ország támogatása nélkül is tegyenek lépéseket, és tiltsák be az Oroszországgal és </w:t>
      </w:r>
      <w:proofErr w:type="spellStart"/>
      <w:r w:rsidR="006E0AB8" w:rsidRPr="0051538D">
        <w:t>Belarusszal</w:t>
      </w:r>
      <w:proofErr w:type="spellEnd"/>
      <w:r w:rsidR="006E0AB8" w:rsidRPr="0051538D">
        <w:t xml:space="preserve"> folytatott kereskedelmi és üzleti tevékenységeket, különös figyelmet fordítva az esetleges kettős felhasználású termékekre; felhívja a Tanácsot, hogy amerikai partnereivel együtt alkalmazzon hasonló szankciós politikát </w:t>
      </w:r>
      <w:r w:rsidR="006E0AB8" w:rsidRPr="0051538D">
        <w:lastRenderedPageBreak/>
        <w:t xml:space="preserve">valamennyi támogató állammal, köztük </w:t>
      </w:r>
      <w:proofErr w:type="spellStart"/>
      <w:r w:rsidR="006E0AB8" w:rsidRPr="0051538D">
        <w:t>Belarusszal</w:t>
      </w:r>
      <w:proofErr w:type="spellEnd"/>
      <w:r w:rsidR="006E0AB8" w:rsidRPr="0051538D">
        <w:t xml:space="preserve">, Iránnal és Észak-Koreával szemben is, és sújtsa szankciókkal a drónok és rakéták gyártásához elengedhetetlen kettős felhasználású termékeket és katonai termékeket szállító kínai vállalatokat; kéri, hogy fogadjanak el további szankciókat Oroszország árnyékflottájával szemben, és ezeket szigorúan hajtsák végre, többek között lefogás útján; szorgalmazza a </w:t>
      </w:r>
      <w:proofErr w:type="spellStart"/>
      <w:r w:rsidR="006E0AB8" w:rsidRPr="0051538D">
        <w:t>Roszatommal</w:t>
      </w:r>
      <w:proofErr w:type="spellEnd"/>
      <w:r w:rsidR="006E0AB8" w:rsidRPr="0051538D">
        <w:t xml:space="preserve"> és a </w:t>
      </w:r>
      <w:bookmarkStart w:id="8" w:name="_Hlk221696446"/>
      <w:proofErr w:type="spellStart"/>
      <w:r w:rsidR="006E0AB8" w:rsidRPr="0051538D">
        <w:t>Roszkoszmosszal</w:t>
      </w:r>
      <w:bookmarkEnd w:id="8"/>
      <w:proofErr w:type="spellEnd"/>
      <w:r w:rsidR="006E0AB8" w:rsidRPr="0051538D">
        <w:t xml:space="preserve"> való együttműködés megszüntetését és szankciók elfogadását velük szemben; felszólítja a Tanácsot, hogy módszeresen foglalkozzon a szankciók kijátszásának problémájával; hangsúlyozza, hogy a szankciók egyértelmű hatást gyakorolnak az orosz gazdaságra, de megismétli, hogy a szankciórendszert ki kell bővíteni, végrehajtását pedig meg kell szigorítani ahhoz, hogy elérje azt az elvárt hatást, hogy korlátozza Oroszország agressziós háborújára szánt forrásait; üdvözli az Oroszországgal szembeni 15. szankciócsomag közelgő elfogadását;</w:t>
      </w:r>
    </w:p>
    <w:p w14:paraId="6303EF19" w14:textId="1799AC54" w:rsidR="006E0AB8" w:rsidRPr="0051538D" w:rsidRDefault="003E566B" w:rsidP="006E0AB8">
      <w:pPr>
        <w:pStyle w:val="NormalHanging12a"/>
      </w:pPr>
      <w:r w:rsidRPr="0051538D">
        <w:t>12</w:t>
      </w:r>
      <w:r w:rsidR="006E0AB8" w:rsidRPr="0051538D">
        <w:t>.</w:t>
      </w:r>
      <w:r w:rsidR="006E0AB8" w:rsidRPr="0051538D">
        <w:tab/>
        <w:t>üdvözli az Európai Tanács 2025. december 18-i határozatát, amely 90 milliárd EUR összegű pénzügyi támogatási csomagot biztosít Ukrajna számára az EU által támogatott hitelek formájában; felszólít az Ukrajnának nyújtott támogatási hitel gyors folyósítására, és hangsúlyozza, hogy megfelelő választ kell adni Ukrajna változó szükségleteire; üdvözli a csomagon belül a támogatási hitel létrehozásáról szóló rendeletjavaslat</w:t>
      </w:r>
      <w:r w:rsidR="006E0AB8" w:rsidRPr="0051538D">
        <w:rPr>
          <w:rStyle w:val="FootnoteReference"/>
        </w:rPr>
        <w:footnoteReference w:id="1"/>
      </w:r>
      <w:r w:rsidR="006E0AB8" w:rsidRPr="0051538D">
        <w:t xml:space="preserve"> 13. cikkének (5) bekezdésében meghatározott eltérési rendszer keretében biztosított szükséges rugalmasságot;</w:t>
      </w:r>
    </w:p>
    <w:p w14:paraId="28F87DE8" w14:textId="7D74D2F3" w:rsidR="006E0AB8" w:rsidRPr="0051538D" w:rsidRDefault="003E566B" w:rsidP="006E0AB8">
      <w:pPr>
        <w:pStyle w:val="NormalHanging12a"/>
      </w:pPr>
      <w:r w:rsidRPr="0051538D">
        <w:t>13</w:t>
      </w:r>
      <w:r w:rsidR="006E0AB8" w:rsidRPr="0051538D">
        <w:t>.</w:t>
      </w:r>
      <w:r w:rsidR="006E0AB8" w:rsidRPr="0051538D">
        <w:tab/>
        <w:t xml:space="preserve">ismételten hangot ad azon szilárd meggyőződésének, hogy Oroszországnak meg kell fizetnie az Ukrajnában okozott hatalmas károkat, és újra felhívja az EU-t, hogy az uniós szankciók alapján </w:t>
      </w:r>
      <w:proofErr w:type="spellStart"/>
      <w:r w:rsidR="006E0AB8" w:rsidRPr="0051538D">
        <w:t>immobilizált</w:t>
      </w:r>
      <w:proofErr w:type="spellEnd"/>
      <w:r w:rsidR="006E0AB8" w:rsidRPr="0051538D">
        <w:t xml:space="preserve"> orosz állami vagyoni eszközökhöz kapcsolódó készpénzegyenlegeket használja fel egy olyan jóvátételi hitel garantálására, amely Ukrajna védelmének és újjáépítésének támogatását szolgálná, és fokozná az Oroszországra annak érdekében gyakorolt nyomást, hogy véget vessen agressz</w:t>
      </w:r>
      <w:r w:rsidR="00945938" w:rsidRPr="0051538D">
        <w:t>iós</w:t>
      </w:r>
      <w:r w:rsidR="006E0AB8" w:rsidRPr="0051538D">
        <w:t xml:space="preserve"> háborújának; határozottan támogatja a Tanács azon következtetését, hogy a társjogalkotóknak folytatniuk kell a Bizottság jóvátételi hitelre irányuló javaslatával kapcsolatos munkát;</w:t>
      </w:r>
    </w:p>
    <w:p w14:paraId="6002EF5E" w14:textId="05CDBC93" w:rsidR="006E0AB8" w:rsidRPr="0051538D" w:rsidRDefault="003E566B" w:rsidP="006E0AB8">
      <w:pPr>
        <w:pStyle w:val="NormalHanging12a"/>
      </w:pPr>
      <w:r w:rsidRPr="0051538D">
        <w:t>14</w:t>
      </w:r>
      <w:r w:rsidR="006E0AB8" w:rsidRPr="0051538D">
        <w:t>.</w:t>
      </w:r>
      <w:r w:rsidR="006E0AB8" w:rsidRPr="0051538D">
        <w:tab/>
        <w:t xml:space="preserve">sürgeti az EU-t, hogy a NATO-val együttműködve támogassa Ukrajna védelmi képességeinek megerősítését a technológia és a know-how átadását lehetővé tevő megerősített ipari partnerség kialakítása révén, és segítse elő az ukrán védelmi technológiai és ipari bázis integrációját az európai védelmi technológiai és ipari bázisba (EDTIB), miközben támogatja az EDTIB ukrajnai tevékenységeit; sürgeti a tagállamokat és védelmi iparágaikat, hogy hajtsanak végre további beruházásokat, és alakítsanak ki partnerségeket Ukrajnával a védelmi termékek Unióban történő közös fejlesztése és az ukrán ipar Unión belüli termelése érdekében; dicséretesnek tartja az Ukrajnának nyújtott támogatás dán modelljét, és erőteljesebb ösztönzőket kér az EDTIB és Ukrajna védelmi ipari bázisa közötti szorosabb együttműködés és azok integrációja érdekében; sürgeti azokat a tagállamokat, amelyek képesek ilyen fegyvereket biztosítani, hogy szállítsanak légvédelmi rendszereket Ukrajnának annak érdekében, hogy lehetővé tegyék számára kritikus infrastruktúrája nagyobb részének védelmét, valamint hogy lássák el Ukrajnát nagy hatótávolságú rakétarendszerekkel annak érdekében, hogy képes legyen katonai és stratégiai infrastruktúrák támadására; sürgeti, hogy oldják fel azokat a korlátozásokat, amelyek megakadályozzák az Ukrajnának szállított nyugati fegyverrendszerek orosz területen lévő olyan katonai célpontok elleni </w:t>
      </w:r>
      <w:r w:rsidR="006E0AB8" w:rsidRPr="0051538D">
        <w:lastRenderedPageBreak/>
        <w:t>felhasználását, amelyeket az ukrán lakosság és a kritikus polgári infrastruktúra elleni támadások indítására használnak; hangsúlyozza annak fontosságát, hogy az Európai Unió Ukrajnát támogató katonai segítségnyújtási missziója (EUMAM Ukrajna) keretében biztosítsák, hogy az ukrán katonai személyzet megfelelően kiképzett legyen, és felszólít az EUMAM Ukrajna megbízatásának kiterjesztésére, beleértve annak lehetőségét is, hogy a tűzszünetet követően a kiképzési tevékenységeket Ukrajna területére is kiterjesszék Ukrajna nemzeti kiképzési kapacitásának megerősítése érdekében;</w:t>
      </w:r>
    </w:p>
    <w:p w14:paraId="6BA5CAED" w14:textId="40C81677" w:rsidR="006E0AB8" w:rsidRPr="0051538D" w:rsidRDefault="003E566B" w:rsidP="006E0AB8">
      <w:pPr>
        <w:pStyle w:val="NormalHanging12a"/>
      </w:pPr>
      <w:r w:rsidRPr="0051538D">
        <w:t>15</w:t>
      </w:r>
      <w:r w:rsidR="006E0AB8" w:rsidRPr="0051538D">
        <w:t>.</w:t>
      </w:r>
      <w:r w:rsidR="006E0AB8" w:rsidRPr="0051538D">
        <w:tab/>
        <w:t>kéri, hogy Ukrajnát vonják be az EU katonai mobilitási folyosóiba; megismétli annak fontosságát, hogy biztosítsák a felszerelések és csapatok nyugatról keletre történő, gyors mozgását, és levonják a tanulságokat az ukrán fegyveres erők tapasztalataiból;</w:t>
      </w:r>
    </w:p>
    <w:p w14:paraId="5266E7DF" w14:textId="57129C82" w:rsidR="006E0AB8" w:rsidRPr="0051538D" w:rsidRDefault="003E566B" w:rsidP="006E0AB8">
      <w:pPr>
        <w:pStyle w:val="NormalHanging12a"/>
      </w:pPr>
      <w:r w:rsidRPr="0051538D">
        <w:t>16</w:t>
      </w:r>
      <w:r w:rsidR="006E0AB8" w:rsidRPr="0051538D">
        <w:t>.</w:t>
      </w:r>
      <w:r w:rsidR="006E0AB8" w:rsidRPr="0051538D">
        <w:tab/>
        <w:t>üdvözli az orosz földgáz behozatalának fokozatos megszüntetéséről és az orosz olaj behozatalának fokozatos megszüntetésére való felkészülésről szóló (EU) 2026/261 rendelet</w:t>
      </w:r>
      <w:r w:rsidR="006E0AB8" w:rsidRPr="0051538D">
        <w:rPr>
          <w:rStyle w:val="FootnoteReference"/>
        </w:rPr>
        <w:footnoteReference w:id="2"/>
      </w:r>
      <w:r w:rsidR="006E0AB8" w:rsidRPr="0051538D">
        <w:t xml:space="preserve"> elfogadását; sürgeti a Bizottságot, hogy a </w:t>
      </w:r>
      <w:proofErr w:type="spellStart"/>
      <w:r w:rsidR="006E0AB8" w:rsidRPr="0051538D">
        <w:t>REPowerEU</w:t>
      </w:r>
      <w:proofErr w:type="spellEnd"/>
      <w:r w:rsidR="006E0AB8" w:rsidRPr="0051538D">
        <w:t xml:space="preserve"> ütemterv keretében tett kötelezettségvállalásokkal összhangban gyorsítsa fel más orosz energiaforrások, többek között a kőolaj és valamennyi kőolajtermék, az urán, a dúsított urán, valamint a nukleáris fűtőanyag és szolgáltatások fokozatos kivezetését; hangsúlyozza, hogy ez az intézkedés kulcsfontosságú lépés az EU orosz fosszilis tüzelőanyagoktól való függőségének megszüntetése és az orosz gazdaságra nehezedő nyomás növelése felé; sajnálatát fejezi ki amiatt, hogy hét uniós tagállam 2025-ben több orosz energiát importált, mint 2024-ben; hangsúlyozza, hogy az Északi Áramlat 1 és 2 csővezetékeket soha nem szabad újraindítani, és felszólít azok stratégiai biztonsági kérdésként történő végleges leszerelésére; emlékezteti a tagállamokat, hogy tartózkodjanak minden olyan intézkedéstől, amely veszélyeztetheti az EU célkitűzéseinek elérését;</w:t>
      </w:r>
    </w:p>
    <w:p w14:paraId="50DA46EE" w14:textId="000B19CC" w:rsidR="006E0AB8" w:rsidRPr="0051538D" w:rsidRDefault="003E566B" w:rsidP="006E0AB8">
      <w:pPr>
        <w:pStyle w:val="NormalHanging12a"/>
      </w:pPr>
      <w:r w:rsidRPr="0051538D">
        <w:t>17</w:t>
      </w:r>
      <w:r w:rsidR="006E0AB8" w:rsidRPr="0051538D">
        <w:t>.</w:t>
      </w:r>
      <w:r w:rsidR="006E0AB8" w:rsidRPr="0051538D">
        <w:tab/>
        <w:t>határozottan elítéli az ukrán gyermekek Oroszországi Föderáció általi módszeres deportálását, erőszakos elhurcolását és asszimilációjára irányuló kísérleteit; felszólít e gyakorlatok azonnali és feltétel nélküli beszüntetésére, valamint valamennyi jogellenesen deportált ukrán gyermek biztonságos és akadálytalan visszatérésének biztosítására; támogatását fejezi ki az említett gyermekek hazahozatalával foglalkozó szervezetek és személyek, valamint a „</w:t>
      </w:r>
      <w:proofErr w:type="spellStart"/>
      <w:r w:rsidR="006E0AB8" w:rsidRPr="0051538D">
        <w:t>Bring</w:t>
      </w:r>
      <w:proofErr w:type="spellEnd"/>
      <w:r w:rsidR="006E0AB8" w:rsidRPr="0051538D">
        <w:t xml:space="preserve"> </w:t>
      </w:r>
      <w:proofErr w:type="spellStart"/>
      <w:r w:rsidR="006E0AB8" w:rsidRPr="0051538D">
        <w:t>Kids</w:t>
      </w:r>
      <w:proofErr w:type="spellEnd"/>
      <w:r w:rsidR="006E0AB8" w:rsidRPr="0051538D">
        <w:t xml:space="preserve"> Back UA”(„Hozzuk vissza a gyerekeket Ukrajnába”) kezdeményezés iránt; üdvözli az ukrán gyermekek hazatérésével foglalkozó nemzetközi koalíció munkáját, amely az összehangolt nemzetközi fellépés kulcsfontosságú platformjaként többek között a deportált gyermekek felkutatásával, személyazonosságuk, jogállásuk és hollétük ellenőrzésével, visszatérésük biztosításával és az elszámoltathatóság érvényesítésével foglalkozik;</w:t>
      </w:r>
    </w:p>
    <w:p w14:paraId="79F544F8" w14:textId="6CEB3699" w:rsidR="00470265" w:rsidRPr="0051538D" w:rsidRDefault="003E566B" w:rsidP="00470265">
      <w:pPr>
        <w:pStyle w:val="NormalHanging12a"/>
      </w:pPr>
      <w:r w:rsidRPr="0051538D">
        <w:t>18.</w:t>
      </w:r>
      <w:r w:rsidR="00470265" w:rsidRPr="0051538D">
        <w:tab/>
      </w:r>
      <w:r w:rsidR="00470265" w:rsidRPr="0051538D">
        <w:rPr>
          <w:bCs/>
          <w:iCs/>
        </w:rPr>
        <w:t xml:space="preserve">határozottan elítéli a szexuális és nemi alapú erőszak háborús fegyverként való alkalmazását, </w:t>
      </w:r>
      <w:r w:rsidR="00470265" w:rsidRPr="0051538D">
        <w:t>és</w:t>
      </w:r>
      <w:r w:rsidR="00470265" w:rsidRPr="0051538D">
        <w:rPr>
          <w:bCs/>
          <w:iCs/>
        </w:rPr>
        <w:t xml:space="preserve"> hangsúlyozza, hogy ez háborús bűncselekménynek minősül; elítéli továbbá a szexuális és nemi alapú erőszakot az ukrajnai és az uniós tranzitközpontokban; sajnálatát fejezi ki amiatt, hogy az átmeneti védelemről szóló </w:t>
      </w:r>
      <w:r w:rsidR="00470265" w:rsidRPr="0051538D">
        <w:rPr>
          <w:bCs/>
          <w:iCs/>
        </w:rPr>
        <w:lastRenderedPageBreak/>
        <w:t>irányelvet</w:t>
      </w:r>
      <w:r w:rsidR="00FD4A4F" w:rsidRPr="0051538D">
        <w:rPr>
          <w:rStyle w:val="FootnoteReference"/>
          <w:bCs/>
          <w:iCs/>
        </w:rPr>
        <w:footnoteReference w:id="3"/>
      </w:r>
      <w:r w:rsidR="00470265" w:rsidRPr="0051538D">
        <w:rPr>
          <w:bCs/>
          <w:iCs/>
        </w:rPr>
        <w:t xml:space="preserve"> olyan szűken értelmezik, hogy sok, Oroszország agressziós háborúja elől menekülő nő nem férhet hozzá az abortuszhoz vagy más szexuális és reproduktív egészségügyi kezelésekhez, beleértve a szexuális bántalmazást követő kezeléseket is; megismétli a 2024. február 29-i állásfoglalásában</w:t>
      </w:r>
      <w:r w:rsidR="00EE7DD0" w:rsidRPr="0051538D">
        <w:rPr>
          <w:rStyle w:val="FootnoteReference"/>
          <w:bCs/>
          <w:iCs/>
        </w:rPr>
        <w:footnoteReference w:id="4"/>
      </w:r>
      <w:r w:rsidR="00470265" w:rsidRPr="0051538D">
        <w:rPr>
          <w:bCs/>
          <w:iCs/>
        </w:rPr>
        <w:t xml:space="preserve"> a Bizottsághoz intézett azon felhívását, hogy vizsgálja felül az irányelvet annak biztosítása érdekében, hogy valamennyi tagállam köteles legyen ugyanazt az ellátást nyújtani, amelyet egyébként a nők Ukrajnában kapnának;</w:t>
      </w:r>
    </w:p>
    <w:p w14:paraId="7A030EC4" w14:textId="427E495B" w:rsidR="00470265" w:rsidRPr="0051538D" w:rsidRDefault="003E566B" w:rsidP="006E0AB8">
      <w:pPr>
        <w:pStyle w:val="NormalHanging12a"/>
      </w:pPr>
      <w:r w:rsidRPr="0051538D">
        <w:t>19.</w:t>
      </w:r>
      <w:r w:rsidR="00470265" w:rsidRPr="0051538D">
        <w:tab/>
      </w:r>
      <w:r w:rsidR="00470265" w:rsidRPr="0051538D">
        <w:rPr>
          <w:bCs/>
          <w:iCs/>
        </w:rPr>
        <w:t>hangsúlyozza, hogy az Európai Unióban riasztóan magas – és Oroszország teljes körű inváziója óta tovább nőtt – az emberkereskedelem áldozataként azonosított ukránok száma; felhívja a tagállamokat, hogy többek között gazdasági eszközök révén növeljék az áldozatok számára és a megelőző intézkedésekhez nyújtott támogatásukat;</w:t>
      </w:r>
    </w:p>
    <w:p w14:paraId="60DFE808" w14:textId="44E9502C" w:rsidR="006E0AB8" w:rsidRPr="0051538D" w:rsidRDefault="003E566B" w:rsidP="006E0AB8">
      <w:pPr>
        <w:pStyle w:val="NormalHanging12a"/>
      </w:pPr>
      <w:r w:rsidRPr="0051538D">
        <w:t>20</w:t>
      </w:r>
      <w:r w:rsidR="006E0AB8" w:rsidRPr="0051538D">
        <w:t>.</w:t>
      </w:r>
      <w:r w:rsidR="006E0AB8" w:rsidRPr="0051538D">
        <w:tab/>
        <w:t>felhívja az EU-t és tagállamait, hogy szabjanak ki szankciókat az orosz védelmi minisztérium katonai rendőrségére, a Szövetségi Biztonsági Szolgálatra és a Szövetségi Büntetés-végrehajtási Szolgálatra a háborús bűncselekmények és az emberiesség elleni bűncselekmények – többek között erőszakos eltüntetések, önkényes fogva tartás, kínzás és teljes elkülönítéssel járó fogva tartás – elkövetésében való szisztematikus részvételük miatt; felhívja továbbá az EU-t és tagállamait, hogy szabjanak ki személyes szankciókat az ukrán polgári személyeket jogellenesen fogva tartó orosz büntetés-végrehajtási intézmények valamennyi intézményvezetőjére és más orosz tisztviselőire; felhívja az EU-t és tagállamait, hogy tiltsák meg az Ukrajna elleni agressziós háborúban részt vevő orosz katonai személyzet schengeni térségbe való belépését; sürgeti a tagállamokat, hogy módszeresen foglalkozzanak a szankciók kijátszásának kérdésével, és biztosítsák a teljes körű és hatékony végrehajtást;</w:t>
      </w:r>
    </w:p>
    <w:p w14:paraId="08D5775E" w14:textId="45B57024" w:rsidR="006E0AB8" w:rsidRPr="0051538D" w:rsidRDefault="003E566B" w:rsidP="006E0AB8">
      <w:pPr>
        <w:pStyle w:val="NormalHanging12a"/>
      </w:pPr>
      <w:r w:rsidRPr="0051538D">
        <w:t>21</w:t>
      </w:r>
      <w:r w:rsidR="006E0AB8" w:rsidRPr="0051538D">
        <w:t>.</w:t>
      </w:r>
      <w:r w:rsidR="006E0AB8" w:rsidRPr="0051538D">
        <w:tab/>
        <w:t>felhívja a Tanácsot, hogy a terrorizmus elleni küzdelemre vonatkozó különös intézkedések alkalmazásáról szóló, 2001. december 27-i 2001/931/KKBP tanácsi közös álláspont</w:t>
      </w:r>
      <w:r w:rsidR="006E0AB8" w:rsidRPr="0051538D">
        <w:rPr>
          <w:rStyle w:val="FootnoteReference"/>
        </w:rPr>
        <w:footnoteReference w:id="5"/>
      </w:r>
      <w:r w:rsidR="006E0AB8" w:rsidRPr="0051538D">
        <w:t xml:space="preserve"> alapján vegye fel a Wagner Csoportot és utódszervezeteit a terrorista szervezetek jegyzékébe; hangsúlyozza, hogy e szervezetek terrorista szervezetként való jegyzékbe vétele – a vagyoni eszközök jelenleg is alkalmazott befagyasztásán túl – lehetővé teszi a toborzók, a harcosok és a támogatók büntetőeljárás alá vonását és büntetőjogi szankciók alkalmazását velük szemben;</w:t>
      </w:r>
    </w:p>
    <w:p w14:paraId="0050F950" w14:textId="5C9BF97B" w:rsidR="006E0AB8" w:rsidRPr="0051538D" w:rsidRDefault="003E566B" w:rsidP="006E0AB8">
      <w:pPr>
        <w:pStyle w:val="NormalHanging12a"/>
      </w:pPr>
      <w:r w:rsidRPr="0051538D">
        <w:t>22</w:t>
      </w:r>
      <w:r w:rsidR="006E0AB8" w:rsidRPr="0051538D">
        <w:t>.</w:t>
      </w:r>
      <w:r w:rsidR="006E0AB8" w:rsidRPr="0051538D">
        <w:tab/>
        <w:t xml:space="preserve">kiemeli azt a nyugtalanító tényt, hogy egyre nagyobb számban szolgálnak olyan külföldi harcosok az orosz hadseregben, akiket hamis ürüggyel vittek Oroszországba vagy az ukrajnai frontvonalakra; sürgeti Dél-Afrika, Ghána, Kenya, Botswana és más afrikai nemzetek kormányait, hogy vessenek véget a megtévesztő toborzásnak, amelynek következményeképp fiataljaik az orosz erők oldalán harcolnak a frontvonalakon; felhívja az érintett országokat, hogy proaktívan figyelmeztessék </w:t>
      </w:r>
      <w:r w:rsidR="006E0AB8" w:rsidRPr="0051538D">
        <w:lastRenderedPageBreak/>
        <w:t>polgáraikat az Oroszországba való utazás veszélyeire olyan állásajánlatok kapcsán, amelyek közvetlenül vagy közvetve az orosz hadsereghez kapcsolódnak; felhívja a közösségimédia-platformokat, hogy hozzanak intézkedéseket annak megakadályozására, hogy e megtévesztő toborzási kampányok lebonyolítása céljából visszaéljenek szolgáltatásaikkal; elítéli azokat a kormányzati politikákat – például Kuba vagy egyes közép-ázsiai országok kormányai részéről –, amelyek nem akadályozzák meg polgáraik részvételét Oroszország agressziós háborújában, vagy akár még az ilyen részvétel előmozdításáig is elmennek;</w:t>
      </w:r>
    </w:p>
    <w:p w14:paraId="3D793353" w14:textId="66BECCCE" w:rsidR="006E0AB8" w:rsidRPr="0051538D" w:rsidRDefault="003E566B" w:rsidP="006E0AB8">
      <w:pPr>
        <w:pStyle w:val="NormalHanging12a"/>
      </w:pPr>
      <w:r w:rsidRPr="0051538D">
        <w:t>23</w:t>
      </w:r>
      <w:r w:rsidR="006E0AB8" w:rsidRPr="0051538D">
        <w:t>.</w:t>
      </w:r>
      <w:r w:rsidR="006E0AB8" w:rsidRPr="0051538D">
        <w:tab/>
        <w:t xml:space="preserve">hangsúlyozza, hogy Oroszország Ukrajna energetikai infrastruktúrája elleni könyörtelen támadásai nemcsak sértik a nemzetközi jogot, hanem szándékos stratégiát is jelentenek, melyek célja a polgári </w:t>
      </w:r>
      <w:proofErr w:type="spellStart"/>
      <w:r w:rsidR="006E0AB8" w:rsidRPr="0051538D">
        <w:t>reziliencia</w:t>
      </w:r>
      <w:proofErr w:type="spellEnd"/>
      <w:r w:rsidR="006E0AB8" w:rsidRPr="0051538D">
        <w:t xml:space="preserve"> aláásása, zűrzavaros helyzet kialakítása az érintett területeken és az energia fegyverként, a kényszerítés eszközeként való felhasználása; felhívja az Uniót és tagállamait, hogy fokozzák és intézményesítsék az Ukrajna számára biztosított energetikai segítségnyújtást; hangsúlyozza az Ukrajnának nyújtott folyamatos és fokozott uniós és tagállami humanitárius segítségnyújtás kritikus fontosságát, válaszul az ukrán városok és kritikus polgári infrastruktúrák elleni szisztematikus orosz támadások által okozott akut humanitárius helyzetre;</w:t>
      </w:r>
    </w:p>
    <w:p w14:paraId="6DB2D902" w14:textId="40C3F4F8" w:rsidR="006E0AB8" w:rsidRPr="0051538D" w:rsidRDefault="003E566B" w:rsidP="006E0AB8">
      <w:pPr>
        <w:pStyle w:val="NormalHanging12a"/>
      </w:pPr>
      <w:r w:rsidRPr="0051538D">
        <w:t>24</w:t>
      </w:r>
      <w:r w:rsidR="006E0AB8" w:rsidRPr="0051538D">
        <w:t>.</w:t>
      </w:r>
      <w:r w:rsidR="006E0AB8" w:rsidRPr="0051538D">
        <w:tab/>
        <w:t>sürgeti a Bizottságot, hogy aktívan támogassa a nemzetközi igazságszolgáltatási mechanizmusokat, és biztosítsa az elszámoltathatóságot és a jóvátételt a háborús bűncselekmények és az agresszió bűntette tekintetében; ösztönzi az EU-t és tagállamait, hogy támogassák egy különleges törvényszék létrehozását egy Oroszország Ukrajna elleni agressziós bűntetteivel kapcsolatos büntetőeljárás elindítása érdekében;</w:t>
      </w:r>
    </w:p>
    <w:p w14:paraId="6EC9EBA8" w14:textId="50E81799" w:rsidR="00F6120B" w:rsidRPr="0051538D" w:rsidRDefault="003E566B" w:rsidP="006E0AB8">
      <w:pPr>
        <w:pStyle w:val="NormalHanging12a"/>
      </w:pPr>
      <w:r w:rsidRPr="0051538D">
        <w:t>25.</w:t>
      </w:r>
      <w:r w:rsidR="00F6120B" w:rsidRPr="0051538D">
        <w:tab/>
      </w:r>
      <w:r w:rsidR="00F6120B" w:rsidRPr="0051538D">
        <w:rPr>
          <w:bCs/>
          <w:iCs/>
        </w:rPr>
        <w:t xml:space="preserve">üdvözli Ukrajna csatlakozását a Nemzetközi Büntetőbírósághoz (NBB); megerősíti, hogy határozottan támogatja az NBB ukrajnai vizsgálatát és a népirtásért, háborús bűncselekményekért, emberiesség elleni bűncselekményekért és az agresszió bűntettéért felelős személyek büntetőeljárás alá vonására irányuló általános erőfeszítéseit; mély aggodalmának ad hangot az USA NBB-vel, annak ügyészeivel, </w:t>
      </w:r>
      <w:proofErr w:type="spellStart"/>
      <w:r w:rsidR="00F6120B" w:rsidRPr="0051538D">
        <w:rPr>
          <w:bCs/>
          <w:iCs/>
        </w:rPr>
        <w:t>bíráival</w:t>
      </w:r>
      <w:proofErr w:type="spellEnd"/>
      <w:r w:rsidR="00F6120B" w:rsidRPr="0051538D">
        <w:rPr>
          <w:bCs/>
          <w:iCs/>
        </w:rPr>
        <w:t xml:space="preserve"> és személyzetével szembeni szankciói miatt; felhívja a Bizottságot a blokkoló intézkedések aktiválására annak érdekében, hogy megvédje a NBB-t a területen kívüli szankcióktól;</w:t>
      </w:r>
    </w:p>
    <w:p w14:paraId="013C127F" w14:textId="3899AAC8" w:rsidR="006E0AB8" w:rsidRPr="0051538D" w:rsidRDefault="003E566B" w:rsidP="006E0AB8">
      <w:pPr>
        <w:pStyle w:val="NormalHanging12a"/>
      </w:pPr>
      <w:r w:rsidRPr="0051538D">
        <w:t>26</w:t>
      </w:r>
      <w:r w:rsidR="006E0AB8" w:rsidRPr="0051538D">
        <w:t>.</w:t>
      </w:r>
      <w:r w:rsidR="006E0AB8" w:rsidRPr="0051538D">
        <w:tab/>
        <w:t xml:space="preserve">felhívja az ukrán hatóságokat, hogy tartsák fenn a parlamenti </w:t>
      </w:r>
      <w:proofErr w:type="gramStart"/>
      <w:r w:rsidR="006E0AB8" w:rsidRPr="0051538D">
        <w:t>pluralizmust</w:t>
      </w:r>
      <w:proofErr w:type="gramEnd"/>
      <w:r w:rsidR="006E0AB8" w:rsidRPr="0051538D">
        <w:t xml:space="preserve"> mint a demokratikus kormányzás sarokkövét, és biztosítsanak konstruktív és érdemi együttműködést a </w:t>
      </w:r>
      <w:proofErr w:type="spellStart"/>
      <w:r w:rsidR="006E0AB8" w:rsidRPr="0051538D">
        <w:t>Verhovna</w:t>
      </w:r>
      <w:proofErr w:type="spellEnd"/>
      <w:r w:rsidR="006E0AB8" w:rsidRPr="0051538D">
        <w:t xml:space="preserve"> </w:t>
      </w:r>
      <w:proofErr w:type="spellStart"/>
      <w:r w:rsidR="006E0AB8" w:rsidRPr="0051538D">
        <w:t>Radában</w:t>
      </w:r>
      <w:proofErr w:type="spellEnd"/>
      <w:r w:rsidR="006E0AB8" w:rsidRPr="0051538D">
        <w:t xml:space="preserve"> képviselt valamennyi parlamenti politikai erővel;</w:t>
      </w:r>
    </w:p>
    <w:p w14:paraId="7300112F" w14:textId="157CC73C" w:rsidR="00F6120B" w:rsidRPr="0051538D" w:rsidRDefault="003E566B" w:rsidP="006E0AB8">
      <w:pPr>
        <w:pStyle w:val="NormalHanging12a"/>
      </w:pPr>
      <w:r w:rsidRPr="0051538D">
        <w:t>27.</w:t>
      </w:r>
      <w:r w:rsidR="00F6120B" w:rsidRPr="0051538D">
        <w:tab/>
        <w:t xml:space="preserve">elismerését fejezi ki az ukrán egészségügyi szolgálatok, különösen az ukrán ápolók által a háború során naponta végzett kiemelkedő munkáért; ennek fényében kiemeli a „Be Like </w:t>
      </w:r>
      <w:proofErr w:type="spellStart"/>
      <w:r w:rsidR="00F6120B" w:rsidRPr="0051538D">
        <w:t>We</w:t>
      </w:r>
      <w:proofErr w:type="spellEnd"/>
      <w:r w:rsidR="00F6120B" w:rsidRPr="0051538D">
        <w:t xml:space="preserve"> </w:t>
      </w:r>
      <w:proofErr w:type="spellStart"/>
      <w:r w:rsidR="00F6120B" w:rsidRPr="0051538D">
        <w:t>Are</w:t>
      </w:r>
      <w:proofErr w:type="spellEnd"/>
      <w:r w:rsidR="00F6120B" w:rsidRPr="0051538D">
        <w:t>” (Légy olyan, mint mi), egy ukrán egészségügyi dolgozókból, főként ápolókból álló, alulról szerveződő mozgalom által az egészségügyi dolgozók támogatása és jogaik védelme terén végzett fontos munkát;</w:t>
      </w:r>
    </w:p>
    <w:p w14:paraId="789E53D9" w14:textId="7A398894" w:rsidR="006E0AB8" w:rsidRPr="0051538D" w:rsidRDefault="003E566B" w:rsidP="006E0AB8">
      <w:pPr>
        <w:pStyle w:val="NormalHanging12a"/>
      </w:pPr>
      <w:r w:rsidRPr="0051538D">
        <w:t>28</w:t>
      </w:r>
      <w:r w:rsidR="006E0AB8" w:rsidRPr="0051538D">
        <w:t>.</w:t>
      </w:r>
      <w:r w:rsidR="006E0AB8" w:rsidRPr="0051538D">
        <w:tab/>
        <w:t xml:space="preserve">tudomásul veszi a legtöbb uniós tagállam Ukrajna melletti szilárd elkötelezettségét, de hangsúlyozza elégedetlenségét azokkal a tagállamokkal, amelyek akadályozzák vagy aktívan aláássák az uniós álláspontokat és politikákat; emlékeztet az Európai Unióról szóló szerződés 4. cikkének (3) bekezdése szerinti lojális együttműködés elvére, amely megköveteli a tagállamoktól, hogy tartózkodjanak minden olyan intézkedéstől, amely veszélyeztetheti az Unió célkitűzéseinek elérését; felhívja a Tanácsot, hogy sürgősen oldja meg azt a patthelyzetet, amely megakadályozza az Európai Békekeret keretében működő Ukrajnát támogató alap működésbe lépését, ami elengedhetetlen az EU </w:t>
      </w:r>
      <w:r w:rsidR="006E0AB8" w:rsidRPr="0051538D">
        <w:lastRenderedPageBreak/>
        <w:t>Ukrajnával kapcsolatos hosszú távú biztonsági kötelezettségvállalásainak végrehajtásához;</w:t>
      </w:r>
    </w:p>
    <w:p w14:paraId="6D039122" w14:textId="0C399260" w:rsidR="008C791D" w:rsidRPr="0051538D" w:rsidRDefault="003E566B" w:rsidP="008C791D">
      <w:pPr>
        <w:pStyle w:val="NormalHanging12a"/>
      </w:pPr>
      <w:r w:rsidRPr="0051538D">
        <w:t>29</w:t>
      </w:r>
      <w:r w:rsidR="006E0AB8" w:rsidRPr="0051538D">
        <w:t>.</w:t>
      </w:r>
      <w:r w:rsidR="006E0AB8" w:rsidRPr="0051538D">
        <w:tab/>
        <w:t xml:space="preserve">utasítja elnökét, hogy továbbítsa ezt az állásfoglalást a Tanácsnak, a Bizottságnak, a Bizottság alelnökének/az Unió külügyi és biztonságpolitikai főképviselőjének, a tagállamok kormányainak és parlamentjeinek, Ukrajna elnökének, kormányának és az ukrán </w:t>
      </w:r>
      <w:proofErr w:type="spellStart"/>
      <w:r w:rsidR="006E0AB8" w:rsidRPr="0051538D">
        <w:t>Verhovna</w:t>
      </w:r>
      <w:proofErr w:type="spellEnd"/>
      <w:r w:rsidR="006E0AB8" w:rsidRPr="0051538D">
        <w:t xml:space="preserve"> </w:t>
      </w:r>
      <w:proofErr w:type="spellStart"/>
      <w:r w:rsidR="006E0AB8" w:rsidRPr="0051538D">
        <w:t>Radának</w:t>
      </w:r>
      <w:proofErr w:type="spellEnd"/>
      <w:r w:rsidR="006E0AB8" w:rsidRPr="0051538D">
        <w:t>, az ENSZ főtitkárának, az Egyesült Államok Kongresszusának, az orosz hatóságoknak és az ezen állásfoglalásban említett egyéb országok hatóságainak.</w:t>
      </w:r>
    </w:p>
    <w:p w14:paraId="23351884" w14:textId="69C8FEC1" w:rsidR="00E365E1" w:rsidRPr="0051538D" w:rsidRDefault="00E365E1" w:rsidP="000A3244"/>
    <w:sectPr w:rsidR="00E365E1" w:rsidRPr="0051538D" w:rsidSect="008C791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FB072" w14:textId="77777777" w:rsidR="000A3244" w:rsidRPr="008C791D" w:rsidRDefault="000A3244">
      <w:r w:rsidRPr="008C791D">
        <w:separator/>
      </w:r>
    </w:p>
  </w:endnote>
  <w:endnote w:type="continuationSeparator" w:id="0">
    <w:p w14:paraId="1F1D63B3" w14:textId="77777777" w:rsidR="000A3244" w:rsidRPr="008C791D" w:rsidRDefault="000A3244">
      <w:r w:rsidRPr="008C79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E8B1A" w14:textId="77777777" w:rsidR="000A3244" w:rsidRPr="008C791D" w:rsidRDefault="000A3244">
      <w:r w:rsidRPr="008C791D">
        <w:separator/>
      </w:r>
    </w:p>
  </w:footnote>
  <w:footnote w:type="continuationSeparator" w:id="0">
    <w:p w14:paraId="2CE5A35A" w14:textId="77777777" w:rsidR="000A3244" w:rsidRPr="008C791D" w:rsidRDefault="000A3244">
      <w:r w:rsidRPr="008C791D">
        <w:continuationSeparator/>
      </w:r>
    </w:p>
  </w:footnote>
  <w:footnote w:id="1">
    <w:p w14:paraId="086C725B" w14:textId="6CB0F355" w:rsidR="006E0AB8" w:rsidRPr="003E566B" w:rsidRDefault="006E0AB8" w:rsidP="008C791D">
      <w:pPr>
        <w:pStyle w:val="FootnoteText"/>
        <w:ind w:left="567" w:hanging="567"/>
        <w:rPr>
          <w:sz w:val="24"/>
          <w:szCs w:val="24"/>
          <w:lang w:val="hu-HU"/>
        </w:rPr>
      </w:pPr>
      <w:r w:rsidRPr="003E566B">
        <w:rPr>
          <w:rStyle w:val="FootnoteReference"/>
          <w:sz w:val="24"/>
          <w:szCs w:val="24"/>
          <w:lang w:val="hu-HU"/>
        </w:rPr>
        <w:footnoteRef/>
      </w:r>
      <w:r w:rsidR="008C791D" w:rsidRPr="003E566B">
        <w:rPr>
          <w:sz w:val="24"/>
          <w:szCs w:val="24"/>
          <w:lang w:val="hu-HU"/>
        </w:rPr>
        <w:t xml:space="preserve"> </w:t>
      </w:r>
      <w:r w:rsidR="008C791D" w:rsidRPr="003E566B">
        <w:rPr>
          <w:sz w:val="24"/>
          <w:szCs w:val="24"/>
          <w:lang w:val="hu-HU"/>
        </w:rPr>
        <w:tab/>
      </w:r>
      <w:r w:rsidRPr="003E566B">
        <w:rPr>
          <w:sz w:val="24"/>
          <w:szCs w:val="24"/>
          <w:lang w:val="hu-HU"/>
        </w:rPr>
        <w:t>A 2026-ban és 2027-ben Ukrajnát támogató hitel létrehozásával kapcsolatos megerősített együttműködés végrehajtásáról szóló európai parlamenti és tanácsi rendeletre irányuló, 2026. január 14-i bizottsági javaslat (</w:t>
      </w:r>
      <w:proofErr w:type="gramStart"/>
      <w:r w:rsidRPr="003E566B">
        <w:rPr>
          <w:sz w:val="24"/>
          <w:szCs w:val="24"/>
          <w:lang w:val="hu-HU"/>
        </w:rPr>
        <w:t>COM(</w:t>
      </w:r>
      <w:proofErr w:type="gramEnd"/>
      <w:r w:rsidRPr="003E566B">
        <w:rPr>
          <w:sz w:val="24"/>
          <w:szCs w:val="24"/>
          <w:lang w:val="hu-HU"/>
        </w:rPr>
        <w:t>2026)0020).</w:t>
      </w:r>
    </w:p>
  </w:footnote>
  <w:footnote w:id="2">
    <w:p w14:paraId="436BBA04" w14:textId="07C2C586" w:rsidR="006E0AB8" w:rsidRPr="003E566B" w:rsidRDefault="006E0AB8" w:rsidP="008C791D">
      <w:pPr>
        <w:pStyle w:val="FootnoteText"/>
        <w:ind w:left="567" w:hanging="567"/>
        <w:rPr>
          <w:sz w:val="24"/>
          <w:szCs w:val="24"/>
          <w:lang w:val="hu-HU"/>
        </w:rPr>
      </w:pPr>
      <w:r w:rsidRPr="003E566B">
        <w:rPr>
          <w:rStyle w:val="FootnoteReference"/>
          <w:sz w:val="24"/>
          <w:szCs w:val="24"/>
          <w:lang w:val="hu-HU"/>
        </w:rPr>
        <w:footnoteRef/>
      </w:r>
      <w:r w:rsidR="008C791D" w:rsidRPr="003E566B">
        <w:rPr>
          <w:sz w:val="24"/>
          <w:szCs w:val="24"/>
          <w:lang w:val="hu-HU"/>
        </w:rPr>
        <w:t xml:space="preserve"> </w:t>
      </w:r>
      <w:r w:rsidR="008C791D" w:rsidRPr="003E566B">
        <w:rPr>
          <w:sz w:val="24"/>
          <w:szCs w:val="24"/>
          <w:lang w:val="hu-HU"/>
        </w:rPr>
        <w:tab/>
      </w:r>
      <w:r w:rsidRPr="003E566B">
        <w:rPr>
          <w:sz w:val="24"/>
          <w:szCs w:val="24"/>
          <w:lang w:val="hu-HU"/>
        </w:rPr>
        <w:t>Az Európai Parlament és a Tanács (EU) 2026/261 rendelete (2026. január 26.) az orosz földgáz behozatalának fokozatos megszüntetéséről és az orosz olaj behozatalának fokozatos megszüntetésére való felkészülésről, az esetleges energiafüggőségek hatékonyabb nyomon követéséről és az (EU) 2017/1938 rendelet módosításáról (HL L, 2026/261, 2026.2.2., ELI: </w:t>
      </w:r>
      <w:r w:rsidR="00E82BCC">
        <w:fldChar w:fldCharType="begin"/>
      </w:r>
      <w:r w:rsidR="00E82BCC" w:rsidRPr="00E82BCC">
        <w:rPr>
          <w:lang w:val="hu-HU"/>
        </w:rPr>
        <w:instrText>HYPERLINK "http://data.europa.eu/eli/reg/2026/261/oj"</w:instrText>
      </w:r>
      <w:r w:rsidR="00E82BCC">
        <w:fldChar w:fldCharType="separate"/>
      </w:r>
      <w:r w:rsidRPr="003E566B">
        <w:rPr>
          <w:rStyle w:val="Hyperlink"/>
          <w:sz w:val="24"/>
          <w:szCs w:val="24"/>
          <w:lang w:val="hu-HU"/>
        </w:rPr>
        <w:t>http://data.europa.eu/eli/reg/2026/261/oj</w:t>
      </w:r>
      <w:r w:rsidR="00E82BCC">
        <w:rPr>
          <w:rStyle w:val="Hyperlink"/>
          <w:sz w:val="24"/>
          <w:szCs w:val="24"/>
          <w:lang w:val="hu-HU"/>
        </w:rPr>
        <w:fldChar w:fldCharType="end"/>
      </w:r>
      <w:r w:rsidRPr="003E566B">
        <w:rPr>
          <w:sz w:val="24"/>
          <w:szCs w:val="24"/>
          <w:lang w:val="hu-HU"/>
        </w:rPr>
        <w:t>).</w:t>
      </w:r>
    </w:p>
  </w:footnote>
  <w:footnote w:id="3">
    <w:p w14:paraId="036400FC" w14:textId="25CD46F1" w:rsidR="00FD4A4F" w:rsidRPr="003E566B" w:rsidRDefault="00FD4A4F" w:rsidP="003E566B">
      <w:pPr>
        <w:pStyle w:val="FootnoteText"/>
        <w:ind w:left="567" w:hanging="567"/>
        <w:rPr>
          <w:sz w:val="24"/>
          <w:szCs w:val="24"/>
          <w:lang w:val="hu-HU"/>
        </w:rPr>
      </w:pPr>
      <w:r w:rsidRPr="003E566B">
        <w:rPr>
          <w:rStyle w:val="FootnoteReference"/>
          <w:sz w:val="24"/>
          <w:szCs w:val="24"/>
        </w:rPr>
        <w:footnoteRef/>
      </w:r>
      <w:r w:rsidRPr="003E566B">
        <w:rPr>
          <w:sz w:val="24"/>
          <w:szCs w:val="24"/>
          <w:lang w:val="hu-HU"/>
        </w:rPr>
        <w:t xml:space="preserve"> </w:t>
      </w:r>
      <w:r w:rsidRPr="003E566B">
        <w:rPr>
          <w:sz w:val="24"/>
          <w:szCs w:val="24"/>
          <w:lang w:val="hu-HU"/>
        </w:rPr>
        <w:tab/>
      </w:r>
      <w:r w:rsidRPr="006C2C1F">
        <w:rPr>
          <w:sz w:val="24"/>
          <w:szCs w:val="24"/>
          <w:lang w:val="hu-HU"/>
        </w:rPr>
        <w:t>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 ELI: </w:t>
      </w:r>
      <w:r w:rsidR="00E82BCC">
        <w:fldChar w:fldCharType="begin"/>
      </w:r>
      <w:r w:rsidR="00E82BCC" w:rsidRPr="00E82BCC">
        <w:rPr>
          <w:lang w:val="hu-HU"/>
        </w:rPr>
        <w:instrText>HYPERLINK "http://data.europa.eu/eli/dir/2001/55/oj" \o "Hozzáférés a dokumentumhoz a hozzárendelt európai jogszabály-azonosító URI révén."</w:instrText>
      </w:r>
      <w:r w:rsidR="00E82BCC">
        <w:fldChar w:fldCharType="separate"/>
      </w:r>
      <w:r w:rsidRPr="003E566B">
        <w:rPr>
          <w:rStyle w:val="Hyperlink"/>
          <w:sz w:val="24"/>
          <w:szCs w:val="24"/>
          <w:lang w:val="hu-HU"/>
        </w:rPr>
        <w:t>http://data.europa.eu/eli/dir/2001/55/oj</w:t>
      </w:r>
      <w:r w:rsidR="00E82BCC">
        <w:rPr>
          <w:rStyle w:val="Hyperlink"/>
          <w:sz w:val="24"/>
          <w:szCs w:val="24"/>
          <w:lang w:val="hu-HU"/>
        </w:rPr>
        <w:fldChar w:fldCharType="end"/>
      </w:r>
      <w:r w:rsidRPr="003E566B">
        <w:rPr>
          <w:sz w:val="24"/>
          <w:szCs w:val="24"/>
          <w:lang w:val="hu-HU"/>
        </w:rPr>
        <w:t>).</w:t>
      </w:r>
    </w:p>
  </w:footnote>
  <w:footnote w:id="4">
    <w:p w14:paraId="7FED7FDE" w14:textId="6D418129" w:rsidR="00EE7DD0" w:rsidRPr="003E566B" w:rsidRDefault="00EE7DD0" w:rsidP="003E566B">
      <w:pPr>
        <w:pStyle w:val="FootnoteText"/>
        <w:ind w:left="567" w:hanging="567"/>
        <w:rPr>
          <w:sz w:val="24"/>
          <w:szCs w:val="24"/>
          <w:lang w:val="hu-HU"/>
        </w:rPr>
      </w:pPr>
      <w:r w:rsidRPr="003E566B">
        <w:rPr>
          <w:rStyle w:val="FootnoteReference"/>
          <w:sz w:val="24"/>
          <w:szCs w:val="24"/>
        </w:rPr>
        <w:footnoteRef/>
      </w:r>
      <w:r w:rsidRPr="003E566B">
        <w:rPr>
          <w:sz w:val="24"/>
          <w:szCs w:val="24"/>
          <w:lang w:val="hu-HU"/>
        </w:rPr>
        <w:t xml:space="preserve"> </w:t>
      </w:r>
      <w:r w:rsidRPr="003E566B">
        <w:rPr>
          <w:sz w:val="24"/>
          <w:szCs w:val="24"/>
          <w:lang w:val="hu-HU"/>
        </w:rPr>
        <w:tab/>
      </w:r>
      <w:r w:rsidRPr="006C2C1F">
        <w:rPr>
          <w:sz w:val="24"/>
          <w:szCs w:val="24"/>
          <w:lang w:val="hu-HU"/>
        </w:rPr>
        <w:t xml:space="preserve">Az Európai Parlament 2024. február 29-i állásfoglalása az Oroszország két éve tartó, Ukrajna elleni agressziós háborúja miatt Ukrajnának nyújtott uniós támogatás töretlen fenntartásának szükségességéről (HL C, C/2024/6745, </w:t>
      </w:r>
      <w:r w:rsidR="0051538D">
        <w:rPr>
          <w:sz w:val="24"/>
          <w:szCs w:val="24"/>
          <w:lang w:val="hu-HU"/>
        </w:rPr>
        <w:t>2024.11.</w:t>
      </w:r>
      <w:r w:rsidRPr="006C2C1F">
        <w:rPr>
          <w:sz w:val="24"/>
          <w:szCs w:val="24"/>
          <w:lang w:val="hu-HU"/>
        </w:rPr>
        <w:t xml:space="preserve">26., ELI: </w:t>
      </w:r>
      <w:r w:rsidR="00E82BCC">
        <w:fldChar w:fldCharType="begin"/>
      </w:r>
      <w:r w:rsidR="00E82BCC" w:rsidRPr="00E82BCC">
        <w:rPr>
          <w:lang w:val="hu-HU"/>
        </w:rPr>
        <w:instrText>HYPERLINK "http://data.europa.eu/eli/C/2024/6745/oj"</w:instrText>
      </w:r>
      <w:r w:rsidR="00E82BCC">
        <w:fldChar w:fldCharType="separate"/>
      </w:r>
      <w:r w:rsidRPr="003E566B">
        <w:rPr>
          <w:rStyle w:val="Hyperlink"/>
          <w:sz w:val="24"/>
          <w:szCs w:val="24"/>
          <w:lang w:val="hu-HU"/>
        </w:rPr>
        <w:t>http://data.europa.eu/eli/C/2024/6745/oj</w:t>
      </w:r>
      <w:r w:rsidR="00E82BCC">
        <w:rPr>
          <w:rStyle w:val="Hyperlink"/>
          <w:sz w:val="24"/>
          <w:szCs w:val="24"/>
          <w:lang w:val="hu-HU"/>
        </w:rPr>
        <w:fldChar w:fldCharType="end"/>
      </w:r>
      <w:r w:rsidRPr="003E566B">
        <w:rPr>
          <w:sz w:val="24"/>
          <w:szCs w:val="24"/>
          <w:lang w:val="hu-HU"/>
        </w:rPr>
        <w:t>).</w:t>
      </w:r>
    </w:p>
  </w:footnote>
  <w:footnote w:id="5">
    <w:p w14:paraId="16CC04B2" w14:textId="2FA4E0C0" w:rsidR="006E0AB8" w:rsidRPr="003E566B" w:rsidRDefault="006E0AB8" w:rsidP="008C791D">
      <w:pPr>
        <w:pStyle w:val="FootnoteText"/>
        <w:ind w:left="567" w:hanging="567"/>
        <w:rPr>
          <w:sz w:val="24"/>
          <w:szCs w:val="24"/>
          <w:lang w:val="hu-HU"/>
        </w:rPr>
      </w:pPr>
      <w:r w:rsidRPr="003E566B">
        <w:rPr>
          <w:rStyle w:val="FootnoteReference"/>
          <w:sz w:val="24"/>
          <w:szCs w:val="24"/>
          <w:lang w:val="hu-HU"/>
        </w:rPr>
        <w:footnoteRef/>
      </w:r>
      <w:r w:rsidR="008C791D" w:rsidRPr="003E566B">
        <w:rPr>
          <w:sz w:val="24"/>
          <w:szCs w:val="24"/>
          <w:lang w:val="hu-HU"/>
        </w:rPr>
        <w:t xml:space="preserve"> </w:t>
      </w:r>
      <w:r w:rsidR="008C791D" w:rsidRPr="003E566B">
        <w:rPr>
          <w:sz w:val="24"/>
          <w:szCs w:val="24"/>
          <w:lang w:val="hu-HU"/>
        </w:rPr>
        <w:tab/>
      </w:r>
      <w:r w:rsidRPr="003E566B">
        <w:rPr>
          <w:sz w:val="24"/>
          <w:szCs w:val="24"/>
          <w:lang w:val="hu-HU"/>
        </w:rPr>
        <w:t xml:space="preserve">HL L 344., 2001.12.28., 93. o., ELI: </w:t>
      </w:r>
      <w:r w:rsidR="00E82BCC">
        <w:fldChar w:fldCharType="begin"/>
      </w:r>
      <w:r w:rsidR="00E82BCC" w:rsidRPr="00E82BCC">
        <w:rPr>
          <w:lang w:val="fi-FI"/>
        </w:rPr>
        <w:instrText>HYPERLINK "http://data.europa.eu/eli/compos/2001/931/oj"</w:instrText>
      </w:r>
      <w:r w:rsidR="00E82BCC">
        <w:fldChar w:fldCharType="separate"/>
      </w:r>
      <w:r w:rsidRPr="003E566B">
        <w:rPr>
          <w:rStyle w:val="Hyperlink"/>
          <w:sz w:val="24"/>
          <w:szCs w:val="24"/>
          <w:lang w:val="hu-HU"/>
        </w:rPr>
        <w:t>http://data.europa.eu/eli/compos/2001/931/oj</w:t>
      </w:r>
      <w:r w:rsidR="00E82BCC">
        <w:rPr>
          <w:rStyle w:val="Hyperlink"/>
          <w:sz w:val="24"/>
          <w:szCs w:val="24"/>
          <w:lang w:val="hu-HU"/>
        </w:rPr>
        <w:fldChar w:fldCharType="end"/>
      </w:r>
      <w:r w:rsidRPr="003E566B">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6198474">
    <w:abstractNumId w:val="9"/>
  </w:num>
  <w:num w:numId="2" w16cid:durableId="678117437">
    <w:abstractNumId w:val="9"/>
  </w:num>
  <w:num w:numId="3" w16cid:durableId="274413702">
    <w:abstractNumId w:val="7"/>
  </w:num>
  <w:num w:numId="4" w16cid:durableId="1665012169">
    <w:abstractNumId w:val="7"/>
  </w:num>
  <w:num w:numId="5" w16cid:durableId="1469202595">
    <w:abstractNumId w:val="6"/>
  </w:num>
  <w:num w:numId="6" w16cid:durableId="635449724">
    <w:abstractNumId w:val="6"/>
  </w:num>
  <w:num w:numId="7" w16cid:durableId="17321538">
    <w:abstractNumId w:val="5"/>
  </w:num>
  <w:num w:numId="8" w16cid:durableId="20783459">
    <w:abstractNumId w:val="5"/>
  </w:num>
  <w:num w:numId="9" w16cid:durableId="1487475212">
    <w:abstractNumId w:val="4"/>
  </w:num>
  <w:num w:numId="10" w16cid:durableId="1823235077">
    <w:abstractNumId w:val="4"/>
  </w:num>
  <w:num w:numId="11" w16cid:durableId="1526363064">
    <w:abstractNumId w:val="8"/>
  </w:num>
  <w:num w:numId="12" w16cid:durableId="734937975">
    <w:abstractNumId w:val="8"/>
  </w:num>
  <w:num w:numId="13" w16cid:durableId="10707">
    <w:abstractNumId w:val="3"/>
  </w:num>
  <w:num w:numId="14" w16cid:durableId="261188497">
    <w:abstractNumId w:val="3"/>
  </w:num>
  <w:num w:numId="15" w16cid:durableId="183136237">
    <w:abstractNumId w:val="2"/>
  </w:num>
  <w:num w:numId="16" w16cid:durableId="11492917">
    <w:abstractNumId w:val="2"/>
  </w:num>
  <w:num w:numId="17" w16cid:durableId="600914350">
    <w:abstractNumId w:val="1"/>
  </w:num>
  <w:num w:numId="18" w16cid:durableId="599878599">
    <w:abstractNumId w:val="1"/>
  </w:num>
  <w:num w:numId="19" w16cid:durableId="504903163">
    <w:abstractNumId w:val="0"/>
  </w:num>
  <w:num w:numId="20" w16cid:durableId="87894115">
    <w:abstractNumId w:val="0"/>
  </w:num>
  <w:num w:numId="21" w16cid:durableId="670063168">
    <w:abstractNumId w:val="9"/>
  </w:num>
  <w:num w:numId="22" w16cid:durableId="1835337640">
    <w:abstractNumId w:val="7"/>
  </w:num>
  <w:num w:numId="23" w16cid:durableId="2144419834">
    <w:abstractNumId w:val="6"/>
  </w:num>
  <w:num w:numId="24" w16cid:durableId="1789397139">
    <w:abstractNumId w:val="5"/>
  </w:num>
  <w:num w:numId="25" w16cid:durableId="1507283564">
    <w:abstractNumId w:val="4"/>
  </w:num>
  <w:num w:numId="26" w16cid:durableId="1080829593">
    <w:abstractNumId w:val="8"/>
  </w:num>
  <w:num w:numId="27" w16cid:durableId="1490289372">
    <w:abstractNumId w:val="3"/>
  </w:num>
  <w:num w:numId="28" w16cid:durableId="1047997884">
    <w:abstractNumId w:val="2"/>
  </w:num>
  <w:num w:numId="29" w16cid:durableId="40250015">
    <w:abstractNumId w:val="1"/>
  </w:num>
  <w:num w:numId="30" w16cid:durableId="2065059906">
    <w:abstractNumId w:val="0"/>
  </w:num>
  <w:num w:numId="31" w16cid:durableId="1561553877">
    <w:abstractNumId w:val="9"/>
  </w:num>
  <w:num w:numId="32" w16cid:durableId="676691018">
    <w:abstractNumId w:val="7"/>
  </w:num>
  <w:num w:numId="33" w16cid:durableId="1733775020">
    <w:abstractNumId w:val="6"/>
  </w:num>
  <w:num w:numId="34" w16cid:durableId="660541742">
    <w:abstractNumId w:val="5"/>
  </w:num>
  <w:num w:numId="35" w16cid:durableId="229191702">
    <w:abstractNumId w:val="4"/>
  </w:num>
  <w:num w:numId="36" w16cid:durableId="658120815">
    <w:abstractNumId w:val="8"/>
  </w:num>
  <w:num w:numId="37" w16cid:durableId="294453937">
    <w:abstractNumId w:val="3"/>
  </w:num>
  <w:num w:numId="38" w16cid:durableId="625625215">
    <w:abstractNumId w:val="2"/>
  </w:num>
  <w:num w:numId="39" w16cid:durableId="900409018">
    <w:abstractNumId w:val="1"/>
  </w:num>
  <w:num w:numId="40" w16cid:durableId="1245143552">
    <w:abstractNumId w:val="0"/>
  </w:num>
  <w:num w:numId="41" w16cid:durableId="432629127">
    <w:abstractNumId w:val="10"/>
  </w:num>
  <w:num w:numId="42" w16cid:durableId="176235181">
    <w:abstractNumId w:val="10"/>
  </w:num>
  <w:num w:numId="43" w16cid:durableId="1160583475">
    <w:abstractNumId w:val="10"/>
  </w:num>
  <w:num w:numId="44" w16cid:durableId="992028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és 0147/2026"/>
    <w:docVar w:name="dvlangue" w:val="HU"/>
    <w:docVar w:name="dvnumam" w:val="0"/>
    <w:docVar w:name="dvpe" w:val="782.958"/>
    <w:docVar w:name="dvtitre" w:val="Az Európai Parlament 2026.  ...-i állásfoglalása Oroszország Ukrajna elleni agressziós háborújának négy évéről és az Ukrajna igazságos békéjéhez és tartós biztonságához való európai hozzájárulásról(2026/2599(RSP))"/>
  </w:docVars>
  <w:rsids>
    <w:rsidRoot w:val="000A3244"/>
    <w:rsid w:val="00002272"/>
    <w:rsid w:val="00064002"/>
    <w:rsid w:val="000677B9"/>
    <w:rsid w:val="000831BA"/>
    <w:rsid w:val="000A3244"/>
    <w:rsid w:val="000A42CC"/>
    <w:rsid w:val="000E7DD9"/>
    <w:rsid w:val="0010095E"/>
    <w:rsid w:val="00125B37"/>
    <w:rsid w:val="00187494"/>
    <w:rsid w:val="001F32AE"/>
    <w:rsid w:val="002767FF"/>
    <w:rsid w:val="002B18FE"/>
    <w:rsid w:val="002B5493"/>
    <w:rsid w:val="00343214"/>
    <w:rsid w:val="00361C00"/>
    <w:rsid w:val="00395FA1"/>
    <w:rsid w:val="003E15D4"/>
    <w:rsid w:val="003E566B"/>
    <w:rsid w:val="00411CCE"/>
    <w:rsid w:val="0041666E"/>
    <w:rsid w:val="00421060"/>
    <w:rsid w:val="00470265"/>
    <w:rsid w:val="00471C19"/>
    <w:rsid w:val="004867E3"/>
    <w:rsid w:val="00494A28"/>
    <w:rsid w:val="00497C02"/>
    <w:rsid w:val="004C0004"/>
    <w:rsid w:val="004C5D52"/>
    <w:rsid w:val="0050519A"/>
    <w:rsid w:val="005072A1"/>
    <w:rsid w:val="00514517"/>
    <w:rsid w:val="0051538D"/>
    <w:rsid w:val="00545827"/>
    <w:rsid w:val="00560270"/>
    <w:rsid w:val="005C2568"/>
    <w:rsid w:val="005E11AE"/>
    <w:rsid w:val="005F1B17"/>
    <w:rsid w:val="006037C0"/>
    <w:rsid w:val="006631B6"/>
    <w:rsid w:val="00680577"/>
    <w:rsid w:val="0069110E"/>
    <w:rsid w:val="006C2C1F"/>
    <w:rsid w:val="006E0AB8"/>
    <w:rsid w:val="006F74FA"/>
    <w:rsid w:val="00731ADD"/>
    <w:rsid w:val="00734777"/>
    <w:rsid w:val="00747932"/>
    <w:rsid w:val="00751A4A"/>
    <w:rsid w:val="00756632"/>
    <w:rsid w:val="00762C74"/>
    <w:rsid w:val="00764638"/>
    <w:rsid w:val="00786EC0"/>
    <w:rsid w:val="007D1690"/>
    <w:rsid w:val="007E22AD"/>
    <w:rsid w:val="00817416"/>
    <w:rsid w:val="00842779"/>
    <w:rsid w:val="00865F67"/>
    <w:rsid w:val="00881A7B"/>
    <w:rsid w:val="008840E5"/>
    <w:rsid w:val="00887B3E"/>
    <w:rsid w:val="008C2AC6"/>
    <w:rsid w:val="008C791D"/>
    <w:rsid w:val="00930C23"/>
    <w:rsid w:val="0093193B"/>
    <w:rsid w:val="0094593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D76"/>
    <w:rsid w:val="00BD48FE"/>
    <w:rsid w:val="00BD7BD8"/>
    <w:rsid w:val="00BE6ADC"/>
    <w:rsid w:val="00C05BFE"/>
    <w:rsid w:val="00C23CD4"/>
    <w:rsid w:val="00C61C0C"/>
    <w:rsid w:val="00C941CB"/>
    <w:rsid w:val="00CC2357"/>
    <w:rsid w:val="00CE3B2F"/>
    <w:rsid w:val="00CF071A"/>
    <w:rsid w:val="00D058B8"/>
    <w:rsid w:val="00D56C11"/>
    <w:rsid w:val="00D834A0"/>
    <w:rsid w:val="00D872DF"/>
    <w:rsid w:val="00D91E21"/>
    <w:rsid w:val="00DA7FCD"/>
    <w:rsid w:val="00E365E1"/>
    <w:rsid w:val="00E820A4"/>
    <w:rsid w:val="00E82BCC"/>
    <w:rsid w:val="00EB006A"/>
    <w:rsid w:val="00EB4772"/>
    <w:rsid w:val="00ED169E"/>
    <w:rsid w:val="00ED4235"/>
    <w:rsid w:val="00EE7DD0"/>
    <w:rsid w:val="00F04346"/>
    <w:rsid w:val="00F075DC"/>
    <w:rsid w:val="00F149E9"/>
    <w:rsid w:val="00F5134D"/>
    <w:rsid w:val="00F6120B"/>
    <w:rsid w:val="00F74202"/>
    <w:rsid w:val="00F87713"/>
    <w:rsid w:val="00F9725B"/>
    <w:rsid w:val="00FB4360"/>
    <w:rsid w:val="00FD0C70"/>
    <w:rsid w:val="00FD3836"/>
    <w:rsid w:val="00FD4A4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4005E"/>
  <w15:chartTrackingRefBased/>
  <w15:docId w15:val="{C20764C6-F837-403A-9747-344B4C26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E0AB8"/>
    <w:pPr>
      <w:spacing w:after="240"/>
      <w:ind w:left="567" w:hanging="567"/>
    </w:pPr>
  </w:style>
  <w:style w:type="paragraph" w:customStyle="1" w:styleId="EPComma">
    <w:name w:val="EPComma"/>
    <w:basedOn w:val="Normal"/>
    <w:link w:val="EPCommaChar"/>
    <w:rsid w:val="006E0AB8"/>
    <w:pPr>
      <w:spacing w:before="480" w:after="240"/>
    </w:pPr>
  </w:style>
  <w:style w:type="character" w:customStyle="1" w:styleId="EPCommaChar">
    <w:name w:val="EPComma Char"/>
    <w:basedOn w:val="DefaultParagraphFont"/>
    <w:link w:val="EPComma"/>
    <w:rsid w:val="006E0AB8"/>
    <w:rPr>
      <w:sz w:val="24"/>
      <w:lang w:val="hu-HU"/>
    </w:rPr>
  </w:style>
  <w:style w:type="character" w:styleId="Hyperlink">
    <w:name w:val="Hyperlink"/>
    <w:basedOn w:val="DefaultParagraphFont"/>
    <w:rsid w:val="006E0AB8"/>
    <w:rPr>
      <w:color w:val="0563C1" w:themeColor="hyperlink"/>
      <w:u w:val="single"/>
    </w:rPr>
  </w:style>
  <w:style w:type="paragraph" w:styleId="Revision">
    <w:name w:val="Revision"/>
    <w:hidden/>
    <w:uiPriority w:val="99"/>
    <w:semiHidden/>
    <w:rsid w:val="00945938"/>
    <w:rPr>
      <w:sz w:val="24"/>
      <w:lang w:val="hu-HU"/>
    </w:rPr>
  </w:style>
  <w:style w:type="character" w:styleId="CommentReference">
    <w:name w:val="annotation reference"/>
    <w:basedOn w:val="DefaultParagraphFont"/>
    <w:rsid w:val="00470265"/>
    <w:rPr>
      <w:sz w:val="16"/>
      <w:szCs w:val="16"/>
    </w:rPr>
  </w:style>
  <w:style w:type="paragraph" w:styleId="CommentText">
    <w:name w:val="annotation text"/>
    <w:basedOn w:val="Normal"/>
    <w:link w:val="CommentTextChar"/>
    <w:rsid w:val="00470265"/>
    <w:rPr>
      <w:sz w:val="20"/>
    </w:rPr>
  </w:style>
  <w:style w:type="character" w:customStyle="1" w:styleId="CommentTextChar">
    <w:name w:val="Comment Text Char"/>
    <w:basedOn w:val="DefaultParagraphFont"/>
    <w:link w:val="CommentText"/>
    <w:rsid w:val="00470265"/>
    <w:rPr>
      <w:lang w:val="hu-HU"/>
    </w:rPr>
  </w:style>
  <w:style w:type="paragraph" w:styleId="CommentSubject">
    <w:name w:val="annotation subject"/>
    <w:basedOn w:val="CommentText"/>
    <w:next w:val="CommentText"/>
    <w:link w:val="CommentSubjectChar"/>
    <w:rsid w:val="00470265"/>
    <w:rPr>
      <w:b/>
      <w:bCs/>
    </w:rPr>
  </w:style>
  <w:style w:type="character" w:customStyle="1" w:styleId="CommentSubjectChar">
    <w:name w:val="Comment Subject Char"/>
    <w:basedOn w:val="CommentTextChar"/>
    <w:link w:val="CommentSubject"/>
    <w:rsid w:val="00470265"/>
    <w:rPr>
      <w:b/>
      <w:bCs/>
      <w:lang w:val="hu-HU"/>
    </w:rPr>
  </w:style>
  <w:style w:type="character" w:styleId="UnresolvedMention">
    <w:name w:val="Unresolved Mention"/>
    <w:basedOn w:val="DefaultParagraphFont"/>
    <w:uiPriority w:val="99"/>
    <w:semiHidden/>
    <w:unhideWhenUsed/>
    <w:rsid w:val="00470265"/>
    <w:rPr>
      <w:color w:val="605E5C"/>
      <w:shd w:val="clear" w:color="auto" w:fill="E1DFDD"/>
    </w:rPr>
  </w:style>
  <w:style w:type="paragraph" w:customStyle="1" w:styleId="Normal6a">
    <w:name w:val="Normal6a"/>
    <w:basedOn w:val="Normal"/>
    <w:rsid w:val="00470265"/>
    <w:pPr>
      <w:spacing w:after="120"/>
    </w:pPr>
  </w:style>
  <w:style w:type="character" w:styleId="FollowedHyperlink">
    <w:name w:val="FollowedHyperlink"/>
    <w:basedOn w:val="DefaultParagraphFont"/>
    <w:rsid w:val="006C2C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21604">
      <w:bodyDiv w:val="1"/>
      <w:marLeft w:val="0"/>
      <w:marRight w:val="0"/>
      <w:marTop w:val="0"/>
      <w:marBottom w:val="0"/>
      <w:divBdr>
        <w:top w:val="none" w:sz="0" w:space="0" w:color="auto"/>
        <w:left w:val="none" w:sz="0" w:space="0" w:color="auto"/>
        <w:bottom w:val="none" w:sz="0" w:space="0" w:color="auto"/>
        <w:right w:val="none" w:sz="0" w:space="0" w:color="auto"/>
      </w:divBdr>
    </w:div>
    <w:div w:id="146808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3237</Words>
  <Characters>23747</Characters>
  <Application>Microsoft Office Word</Application>
  <DocSecurity>0</DocSecurity>
  <Lines>197</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2026-03-23T14:28:00Z</dcterms:created>
  <dcterms:modified xsi:type="dcterms:W3CDTF">2026-03-23T14:28:00Z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P10_TA(2026)0056_</vt:lpwstr>
  </property>
  <property fmtid="{D5CDD505-2E9C-101B-9397-08002B2CF9AE}" pid="4" name="&lt;Type&gt;">
    <vt:lpwstr>RR</vt:lpwstr>
  </property>
</Properties>
</file>