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450" w14:paraId="55FED87C" w14:textId="77777777" w:rsidTr="0010095E">
        <w:trPr>
          <w:trHeight w:hRule="exact" w:val="1418"/>
        </w:trPr>
        <w:tc>
          <w:tcPr>
            <w:tcW w:w="6804" w:type="dxa"/>
            <w:shd w:val="clear" w:color="auto" w:fill="auto"/>
            <w:vAlign w:val="center"/>
          </w:tcPr>
          <w:p w14:paraId="1A43FA17" w14:textId="77777777" w:rsidR="00751A4A" w:rsidRPr="00774450" w:rsidRDefault="00916177" w:rsidP="0010095E">
            <w:pPr>
              <w:pStyle w:val="EPName"/>
            </w:pPr>
            <w:r w:rsidRPr="00774450">
              <w:t>Europos Parlamentas</w:t>
            </w:r>
          </w:p>
          <w:p w14:paraId="3CDDF4D6" w14:textId="77777777" w:rsidR="00751A4A" w:rsidRPr="00774450" w:rsidRDefault="005F1B17" w:rsidP="005F1B17">
            <w:pPr>
              <w:pStyle w:val="EPTerm"/>
              <w:rPr>
                <w:rStyle w:val="HideTWBExt"/>
                <w:noProof w:val="0"/>
                <w:vanish w:val="0"/>
                <w:color w:val="auto"/>
              </w:rPr>
            </w:pPr>
            <w:r w:rsidRPr="00774450">
              <w:t>2024</w:t>
            </w:r>
            <w:r w:rsidR="00817416" w:rsidRPr="00774450">
              <w:t>-202</w:t>
            </w:r>
            <w:r w:rsidRPr="00774450">
              <w:t>9</w:t>
            </w:r>
          </w:p>
        </w:tc>
        <w:tc>
          <w:tcPr>
            <w:tcW w:w="2268" w:type="dxa"/>
            <w:shd w:val="clear" w:color="auto" w:fill="auto"/>
          </w:tcPr>
          <w:p w14:paraId="2A067D3A" w14:textId="77777777" w:rsidR="00751A4A" w:rsidRPr="00774450" w:rsidRDefault="00187494" w:rsidP="0010095E">
            <w:pPr>
              <w:pStyle w:val="EPLogo"/>
            </w:pPr>
            <w:r w:rsidRPr="00774450">
              <w:rPr>
                <w:noProof/>
                <w:lang w:eastAsia="ja-JP"/>
              </w:rPr>
              <w:drawing>
                <wp:inline distT="0" distB="0" distL="0" distR="0" wp14:anchorId="14EC50C3" wp14:editId="48E30C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C3F2A7" w14:textId="77777777" w:rsidR="00D058B8" w:rsidRPr="00774450" w:rsidRDefault="00D058B8" w:rsidP="004C5D52">
      <w:pPr>
        <w:pStyle w:val="LineTop"/>
      </w:pPr>
    </w:p>
    <w:p w14:paraId="7440AFD4" w14:textId="77777777" w:rsidR="00680577" w:rsidRPr="00774450" w:rsidRDefault="00916177" w:rsidP="00680577">
      <w:pPr>
        <w:pStyle w:val="EPBodyTA1"/>
      </w:pPr>
      <w:r w:rsidRPr="00774450">
        <w:t>PRIIMTI TEKSTAI</w:t>
      </w:r>
    </w:p>
    <w:p w14:paraId="70A65CF0" w14:textId="77777777" w:rsidR="00D058B8" w:rsidRPr="00774450" w:rsidRDefault="00D058B8" w:rsidP="00D058B8">
      <w:pPr>
        <w:pStyle w:val="LineBottom"/>
      </w:pPr>
    </w:p>
    <w:p w14:paraId="39484605" w14:textId="0DD16959" w:rsidR="00916177" w:rsidRPr="00774450" w:rsidRDefault="00916177" w:rsidP="00916177">
      <w:pPr>
        <w:pStyle w:val="ATHeading1"/>
      </w:pPr>
      <w:bookmarkStart w:id="0" w:name="TANumber"/>
      <w:r w:rsidRPr="00774450">
        <w:t>P10_TA(2026)00</w:t>
      </w:r>
      <w:r w:rsidR="00E50607">
        <w:t>56</w:t>
      </w:r>
      <w:bookmarkEnd w:id="0"/>
    </w:p>
    <w:p w14:paraId="00D82520" w14:textId="0C64A22E" w:rsidR="00916177" w:rsidRPr="00774450" w:rsidRDefault="00916177" w:rsidP="00916177">
      <w:pPr>
        <w:pStyle w:val="ATHeading2"/>
      </w:pPr>
      <w:bookmarkStart w:id="1" w:name="title"/>
      <w:r w:rsidRPr="00774450">
        <w:t>Ketverius metus trunkantis Rusijos agresijos karas prieš Ukrainą ir Europos indėlis siekiant teisingos</w:t>
      </w:r>
      <w:r w:rsidR="00314D8C">
        <w:t xml:space="preserve"> </w:t>
      </w:r>
      <w:r w:rsidRPr="00774450">
        <w:t>taikos ir ilgalaikio saugumo Ukrainoje</w:t>
      </w:r>
      <w:bookmarkEnd w:id="1"/>
    </w:p>
    <w:p w14:paraId="7F14E6F5" w14:textId="77777777" w:rsidR="00916177" w:rsidRPr="00774450" w:rsidRDefault="00916177" w:rsidP="00916177">
      <w:pPr>
        <w:rPr>
          <w:i/>
          <w:vanish/>
        </w:rPr>
      </w:pPr>
      <w:r w:rsidRPr="00774450">
        <w:rPr>
          <w:i/>
        </w:rPr>
        <w:fldChar w:fldCharType="begin"/>
      </w:r>
      <w:r w:rsidRPr="00774450">
        <w:rPr>
          <w:i/>
        </w:rPr>
        <w:instrText xml:space="preserve"> TC"(</w:instrText>
      </w:r>
      <w:bookmarkStart w:id="2" w:name="DocNumber"/>
      <w:r w:rsidRPr="00774450">
        <w:rPr>
          <w:i/>
        </w:rPr>
        <w:instrText>B10-0143, 0144, 0145, 0146 ir 0147/2026</w:instrText>
      </w:r>
      <w:bookmarkEnd w:id="2"/>
      <w:r w:rsidRPr="00774450">
        <w:rPr>
          <w:i/>
        </w:rPr>
        <w:instrText xml:space="preserve">)"\l3 \n&gt; \* MERGEFORMAT </w:instrText>
      </w:r>
      <w:r w:rsidRPr="00774450">
        <w:rPr>
          <w:i/>
        </w:rPr>
        <w:fldChar w:fldCharType="end"/>
      </w:r>
    </w:p>
    <w:p w14:paraId="5FED36E5" w14:textId="77777777" w:rsidR="00916177" w:rsidRPr="00774450" w:rsidRDefault="00916177" w:rsidP="00916177">
      <w:pPr>
        <w:rPr>
          <w:vanish/>
        </w:rPr>
      </w:pPr>
      <w:bookmarkStart w:id="3" w:name="PE"/>
      <w:r w:rsidRPr="00774450">
        <w:rPr>
          <w:vanish/>
        </w:rPr>
        <w:t>PE782.958</w:t>
      </w:r>
      <w:bookmarkEnd w:id="3"/>
    </w:p>
    <w:p w14:paraId="39F4AF74" w14:textId="2DA13E98" w:rsidR="00916177" w:rsidRPr="00774450" w:rsidRDefault="00916177" w:rsidP="0039201F">
      <w:pPr>
        <w:pStyle w:val="ATHeading3"/>
      </w:pPr>
      <w:bookmarkStart w:id="4" w:name="Sujet"/>
      <w:r w:rsidRPr="00774450">
        <w:t>2026 m. vasario 24 d. Europos Parlamento rezoliucija dėl ketverius metus trunkančio Rusijos agresijos karo prieš Ukrainą ir Europos indėlio siekiant teisingos taikos ir ilgalaikio saugumo Ukrainoje</w:t>
      </w:r>
      <w:bookmarkEnd w:id="4"/>
      <w:r w:rsidRPr="00774450">
        <w:t xml:space="preserve"> </w:t>
      </w:r>
      <w:bookmarkStart w:id="5" w:name="References"/>
      <w:r w:rsidRPr="00774450">
        <w:t>(2026/2599(RSP))</w:t>
      </w:r>
      <w:bookmarkEnd w:id="5"/>
    </w:p>
    <w:p w14:paraId="6CD9B071" w14:textId="77777777" w:rsidR="00044149" w:rsidRPr="00774450" w:rsidRDefault="00044149" w:rsidP="00044149">
      <w:pPr>
        <w:pStyle w:val="EPComma"/>
      </w:pPr>
      <w:bookmarkStart w:id="6" w:name="TextBodyBegin"/>
      <w:bookmarkEnd w:id="6"/>
      <w:r w:rsidRPr="00774450">
        <w:rPr>
          <w:i/>
        </w:rPr>
        <w:t>Europos Parlamentas</w:t>
      </w:r>
      <w:r w:rsidRPr="00774450">
        <w:t>,</w:t>
      </w:r>
    </w:p>
    <w:p w14:paraId="7652E17F" w14:textId="77777777" w:rsidR="00044149" w:rsidRPr="00774450" w:rsidRDefault="00044149" w:rsidP="00044149">
      <w:pPr>
        <w:pStyle w:val="NormalHanging12a"/>
      </w:pPr>
      <w:r w:rsidRPr="00774450">
        <w:t>–</w:t>
      </w:r>
      <w:r w:rsidRPr="00774450">
        <w:tab/>
        <w:t>atsižvelgdamas į savo ankstesnes rezoliucijas dėl Ukrainos ir Rusijos,</w:t>
      </w:r>
    </w:p>
    <w:p w14:paraId="64A1CE7A" w14:textId="77777777" w:rsidR="00044149" w:rsidRPr="00774450" w:rsidRDefault="00044149" w:rsidP="00044149">
      <w:pPr>
        <w:pStyle w:val="NormalHanging12a"/>
      </w:pPr>
      <w:r w:rsidRPr="00774450">
        <w:t>–</w:t>
      </w:r>
      <w:r w:rsidRPr="00774450">
        <w:tab/>
        <w:t>atsižvelgdamas į Darbo tvarkos taisyklių 167 straipsnio 2 dalį ir į 136 straipsnio 4 dalį,</w:t>
      </w:r>
    </w:p>
    <w:p w14:paraId="2E7B1C93" w14:textId="77777777" w:rsidR="00044149" w:rsidRPr="00774450" w:rsidRDefault="00044149" w:rsidP="00044149">
      <w:pPr>
        <w:pStyle w:val="NormalHanging12a"/>
      </w:pPr>
      <w:r w:rsidRPr="00774450">
        <w:t>A.</w:t>
      </w:r>
      <w:r w:rsidRPr="00774450">
        <w:tab/>
        <w:t>kadangi prieš ketverius metus, 2022 m. vasario 24 d., Rusijos Federacija pradėjo žiaurų, neišprovokuotą, nepateisinamą ir neteisėtą agresijos karą prieš Ukrainą; kadangi Rusijos agresija prieš Ukrainą pradėta 2014 m., okupavus Donbaso regiono dalis ir aneksavus Krymą;</w:t>
      </w:r>
    </w:p>
    <w:p w14:paraId="44040FB7" w14:textId="77777777" w:rsidR="00044149" w:rsidRPr="00774450" w:rsidRDefault="00044149" w:rsidP="00044149">
      <w:pPr>
        <w:pStyle w:val="NormalHanging12a"/>
      </w:pPr>
      <w:r w:rsidRPr="00774450">
        <w:t>B.</w:t>
      </w:r>
      <w:r w:rsidRPr="00774450">
        <w:tab/>
        <w:t>kadangi, nepaisant plataus tarptautinio pasmerkimo ir beprecedenčių sankcijų, Rusija eskaluoja savo karo pastangas vykdydama tikslinius išpuolius prieš ypatingos svarbos energetikos infrastruktūrą, gyvenamuosius pastatus ir civilinę infrastruktūrą; kadangi milijonai žmonių Ukrainoje bando išgyventi vyraujant neigiamoms žiemos temperatūroms, turėdami ribotas galimybes naudotis elektros energija, šildymu ir tekančiu vandeniu; kadangi per pastaruosius ketverius metus Rusijos padaryta žala aplinkai taip pat sukėlė pražūtingų padarinių Ukrainos gamtos ištekliams ir ypatingos svarbos ekosistemoms, taip pat jos žmonių sveikatai, pragyvenimo šaltiniams ir saugumui;</w:t>
      </w:r>
    </w:p>
    <w:p w14:paraId="6ADBB0ED" w14:textId="77777777" w:rsidR="00044149" w:rsidRPr="00774450" w:rsidRDefault="00044149" w:rsidP="00044149">
      <w:pPr>
        <w:pStyle w:val="NormalHanging12a"/>
      </w:pPr>
      <w:r w:rsidRPr="00774450">
        <w:t>C.</w:t>
      </w:r>
      <w:r w:rsidRPr="00774450">
        <w:tab/>
        <w:t>kadangi Iranas, Šiaurės Korėja ir Baltarusija tiekia Rusijai didelį kiekį ginklų ir šaudmenų, o Baltarusija leido Rusijai naudotis savo teritorija Ukrainai pulti, o tai pagal tarptautinę teisę yra agresijos aktas; kadangi Kinija, teikdama ekonominę ir gynybos pramonės srities paramą, tapo lemiamu subjektu, sudarančiu sąlygas Rusijai vykdyti karo veiksmus; kadangi tūkstančiai Kubos ir kitų užsienio šalių piliečių kovoja kartu su Rusijos pajėgomis Ukrainoje; kadangi, kaip pranešama, su samdiniais ir savanoriais už Rusiją kovoja daugiau kaip 1400 piliečių iš 36 Afrikos šalių;</w:t>
      </w:r>
    </w:p>
    <w:p w14:paraId="091F5EF3" w14:textId="77777777" w:rsidR="00044149" w:rsidRPr="00774450" w:rsidRDefault="00044149" w:rsidP="00044149">
      <w:pPr>
        <w:pStyle w:val="NormalHanging12a"/>
      </w:pPr>
      <w:r w:rsidRPr="00774450">
        <w:t>D.</w:t>
      </w:r>
      <w:r w:rsidRPr="00774450">
        <w:tab/>
        <w:t xml:space="preserve">kadangi „Vagnerio grupė“ ir ją pakeitę subjektai sistemingai vykdo kankinimus ir neteismines egzekucijas, kaip karo ginklą naudoja seksualinį smurtą ir vykdo destabilizavimo operacijas visoje Ukrainoje; kadangi ES sankcijų, taikomų su „Vagnerio grupe“ susijusiems asmenims ir subjektams, vis dar nepakanka, kad būtų galima patraukti baudžiamojon atsakomybėn verbuotojus, kovotojus ir rėmėjus, kuriems </w:t>
      </w:r>
      <w:r w:rsidRPr="00774450">
        <w:lastRenderedPageBreak/>
        <w:t>pagal dabartines priemones netaikomos baudžiamosios sankcijos;</w:t>
      </w:r>
    </w:p>
    <w:p w14:paraId="138A44A8" w14:textId="77777777" w:rsidR="00044149" w:rsidRPr="00774450" w:rsidRDefault="00044149" w:rsidP="00044149">
      <w:pPr>
        <w:pStyle w:val="NormalHanging12a"/>
      </w:pPr>
      <w:r w:rsidRPr="00774450">
        <w:t>E.</w:t>
      </w:r>
      <w:r w:rsidRPr="00774450">
        <w:tab/>
        <w:t>kadangi Ukraina ir tarptautinės organizacijos užfiksavo šimtus Rusijos pajėgų įvykdytų ukrainiečių karo belaisvių egzekucijų; kadangi tokios egzekucijos yra šiurkštūs tarptautinės teisės ir žmogaus teisių pažeidimai ir pagal Ženevos konvencijas ir Tarptautinio baudžiamojo teismo Romos statutą jos aiškiai pripažįstamos karo nusikaltimais;</w:t>
      </w:r>
    </w:p>
    <w:p w14:paraId="3A78933C" w14:textId="77777777" w:rsidR="00044149" w:rsidRPr="00774450" w:rsidRDefault="00044149" w:rsidP="00044149">
      <w:pPr>
        <w:pStyle w:val="NormalHanging12a"/>
      </w:pPr>
      <w:r w:rsidRPr="00774450">
        <w:t>F.</w:t>
      </w:r>
      <w:r w:rsidRPr="00774450">
        <w:tab/>
        <w:t>kadangi Rusija ne kartą vykdė hibridinio karo veiksmus visoje ES, be kita ko, vykdydama kibernetinius išpuolius, dezinformacijos kampanijas ir kišimąsi į rinkimus, taip pat karines provokacijas, įskaitant oro erdvės pažeidimus naikintuvais ir tolimojo nuotolio smūgio bepiločiais orlaiviais;</w:t>
      </w:r>
    </w:p>
    <w:p w14:paraId="3EB53319" w14:textId="77777777" w:rsidR="00044149" w:rsidRPr="00774450" w:rsidRDefault="00044149" w:rsidP="00044149">
      <w:pPr>
        <w:pStyle w:val="NormalHanging12a"/>
        <w:rPr>
          <w:bCs/>
        </w:rPr>
      </w:pPr>
      <w:r w:rsidRPr="00774450">
        <w:t>G.</w:t>
      </w:r>
      <w:r w:rsidRPr="00774450">
        <w:tab/>
        <w:t>kadangi Rusijos agresijos karas prieš Ukrainą labai pakenkė Europos ir pasaulio saugumui ir yra platesnės imperialistinės ir ekspansinės darbotvarkės dalis; kadangi taikos susitarimas turės būti pagrįstas patikimomis ir tvirtomis saugumo garantijomis, kad būtų užkirstas kelias bet kokiai atnaujintai Rusijos agresijai ir nedelsiant su ja kovojama;</w:t>
      </w:r>
    </w:p>
    <w:p w14:paraId="487618CD" w14:textId="77777777" w:rsidR="00044149" w:rsidRPr="00774450" w:rsidRDefault="00044149" w:rsidP="00044149">
      <w:pPr>
        <w:pStyle w:val="NormalHanging12a"/>
      </w:pPr>
      <w:r w:rsidRPr="00774450">
        <w:t>H.</w:t>
      </w:r>
      <w:r w:rsidRPr="00774450">
        <w:tab/>
        <w:t>kadangi ne mažiau kaip 20 000 (skaičius gali siekti 35 000) Ukrainos vaikų buvo priverstinai deportuoti į Rusiją ir Baltarusiją arba sulaikyti laikinai okupuotose Ukrainos teritorijose;</w:t>
      </w:r>
    </w:p>
    <w:p w14:paraId="75A25EB0" w14:textId="77777777" w:rsidR="00044149" w:rsidRPr="00774450" w:rsidRDefault="00044149" w:rsidP="00044149">
      <w:pPr>
        <w:pStyle w:val="NormalHanging12a"/>
      </w:pPr>
      <w:r w:rsidRPr="00774450">
        <w:t>I.</w:t>
      </w:r>
      <w:r w:rsidRPr="00774450">
        <w:tab/>
        <w:t>kadangi Rusijos gynybos ministerijos karinė policija, Federalinė saugumo tarnyba ir Federalinė bausmių vykdymo tarnyba laiko nenustatytą skaičių ukrainiečių karo belaisvių ir civilių, neleisdamos susisiekti su išoriniu pasauliu, o Ukrainos žmogaus teisių organizacijos apskaičiavo, kad Ukrainos civilių gyventojų, kuriems buvo neteisėtai atimta laisvė, skaičius gali siekti 16 000;</w:t>
      </w:r>
    </w:p>
    <w:p w14:paraId="71178D8E" w14:textId="77777777" w:rsidR="00044149" w:rsidRPr="00774450" w:rsidRDefault="00044149" w:rsidP="00044149">
      <w:pPr>
        <w:pStyle w:val="NormalHanging12a"/>
      </w:pPr>
      <w:r w:rsidRPr="00774450">
        <w:t>J.</w:t>
      </w:r>
      <w:r w:rsidRPr="00774450">
        <w:tab/>
        <w:t>kadangi kai kurios valstybės narės vis dar kas mėnesį moka Rusijai už iškastinį kurą ir vien 2025 m. gruodžio mėn. Rusijos iškastiniam kurui išleido 1,3 mlrd. EUR; kadangi ES tebėra pagrindinė Rusijos suskystintų gamtinių dujų (SGD) ir dujotiekiais tiekiamų dujų pirkėja, kuriai tenka beveik pusė (49 proc.) viso Rusijos SGD eksporto ir 35 proc. Rusijos dujotiekiais tiekiamų dujų eksporto;</w:t>
      </w:r>
    </w:p>
    <w:p w14:paraId="2F9E7819" w14:textId="77777777" w:rsidR="00044149" w:rsidRPr="00774450" w:rsidRDefault="00044149" w:rsidP="00044149">
      <w:pPr>
        <w:pStyle w:val="NormalHanging12a"/>
      </w:pPr>
      <w:r w:rsidRPr="00774450">
        <w:t>1.</w:t>
      </w:r>
      <w:r w:rsidRPr="00774450">
        <w:tab/>
        <w:t>reiškia pagarbą tūkstančiams žmonių, kurie per ketverius Rusijos agresijos karo metus paaukojo gyvybes už laisvą ir demokratinę Ukrainą ir gindami mūsų bendras Europos vertybes; pabrėžia, kad Ukrainos atsparumas tebėra ilgalaikis demokratijos stiprybės tironijos akivaizdoje įrodymas; dar kartą išreiškia savo tvirtą solidarumą su Ukrainos žmonėmis ir pakartoja, kad remia Ukrainos nepriklausomybę, suverenitetą ir teritorinį vientisumą pagal tarptautiniu mastu pripažintas jos sienas; dar kartą patvirtina visiškai remiantis teisingą, visapusišką ir ilgalaikę taiką Ukrainoje, grindžiamą Ukrainos nustatytomis ir jos žmonėms priimtinomis sąlygomis; tvirtai pabrėžia Ukrainos prigimtinę teisę gintis pagal JT Chartijos 51 straipsnį; pakartoja savo tvirtą įsitikinimą, kad Rusijos agresija privalo baigtis ir kad Ukraina turi nugalėti;</w:t>
      </w:r>
    </w:p>
    <w:p w14:paraId="6D722621" w14:textId="77777777" w:rsidR="00044149" w:rsidRPr="00774450" w:rsidRDefault="00044149" w:rsidP="00044149">
      <w:pPr>
        <w:pStyle w:val="NormalHanging12a"/>
      </w:pPr>
      <w:r w:rsidRPr="00774450">
        <w:t>2.</w:t>
      </w:r>
      <w:r w:rsidRPr="00774450">
        <w:tab/>
        <w:t>pabrėžia, kad neteisėtas, neišprovokuotas ir nepateisinamas Rusijos agresijos karas prieš Ukrainą yra šiurkštus tarptautinės teisės ir JT Chartijos pažeidimas ir precedento neturintis išpuolis prieš Europos saugumo architektūrą; pabrėžia, kad Rusijai, jos vadovams ir sąjungininkams, pvz., Baltarusijos režimui, tenka visa atsakomybė už karą, karo nusikaltimus ir agresijos nusikaltimą, ir ragina patraukti juos visapusiškon atsakomybėn;</w:t>
      </w:r>
    </w:p>
    <w:p w14:paraId="4F2DB207" w14:textId="77777777" w:rsidR="00044149" w:rsidRPr="00774450" w:rsidRDefault="00044149" w:rsidP="00044149">
      <w:pPr>
        <w:pStyle w:val="NormalHanging12a"/>
      </w:pPr>
      <w:r w:rsidRPr="00774450">
        <w:t>3.</w:t>
      </w:r>
      <w:r w:rsidRPr="00774450">
        <w:tab/>
        <w:t>pakartoja, kad kuo griežčiausiai smerkia žiaurų Rusijos agresijos karą prieš Ukrainą, taip pat Šiaurės Korėjos ir Irano dalyvavimą jį vykdant; reikalauja, kad Rusija ir jos įgaliotosios pajėgos nedelsdamos, visiškai ir besąlygiškai nutrauktų visus karinius veiksmus Ukrainoje, išpuolius prieš gyvenamuosius rajonus ir civilinę infrastruktūrą, išvestų visas karines pajėgas, įgaliotąsias pajėgas bei patrauktų karinę techniką iš visos tarptautiniu mastu pripažintos Ukrainos teritorijos, paleistų ir grąžintų visus karo ir politinius belaisvius, pagrobtus vaikus ir civilius gyventojus ir visam laikui nustotų pažeidinėti Ukrainos suverenitetą, nepriklausomybę ir teritorinį vientisumą arba jiems grasinti; pakartoja, kad ES laikinai okupuotų Ukrainos teritorijų ir toliau nepripažins Rusijos teritorija;</w:t>
      </w:r>
    </w:p>
    <w:p w14:paraId="2713A211" w14:textId="77777777" w:rsidR="00044149" w:rsidRPr="00774450" w:rsidRDefault="00044149" w:rsidP="00044149">
      <w:pPr>
        <w:pStyle w:val="NormalHanging12a"/>
      </w:pPr>
      <w:r w:rsidRPr="00774450">
        <w:t>4.</w:t>
      </w:r>
      <w:r w:rsidRPr="00774450">
        <w:tab/>
        <w:t>dar kartą patvirtina, kad Ukrainos ateitis yra ES; pripažįsta, kad Ukrainos integracija į Europos Sąjungą yra strateginis ES prioritetas, ir ragina ES ir jos valstybes nares pasirengti būsimai plėtrai įgyvendinant vidaus reformas ir parengiant aiškią plėtros strategiją; pabrėžia, kad svarbu paspartinti laipsnišką Ukrainos integraciją į ES bendrąją rinką;</w:t>
      </w:r>
    </w:p>
    <w:p w14:paraId="373D32C1" w14:textId="77777777" w:rsidR="00044149" w:rsidRDefault="00044149" w:rsidP="00044149">
      <w:pPr>
        <w:pStyle w:val="NormalHanging12a"/>
      </w:pPr>
      <w:r w:rsidRPr="00774450">
        <w:t>5.</w:t>
      </w:r>
      <w:r w:rsidRPr="00774450">
        <w:tab/>
        <w:t>primygtinai ragina ES ir jos valstybes nares prisiimti daugiau atsakomybės už saugumą Europos žemyne ir toliau teikti tvirtą paramą Ukrainai; pabrėžia, kad bet koks susitarimas, kuriuo siekiama užbaigti Rusijos agresiją prieš Ukrainą, turi daug platesnį poveikį nei tik Rusijai ir Ukrainai, nes daro didelę įtaką visai Europos saugumo tvarkai; primygtinai reikalauja, kad jokie sprendimai dėl Ukrainos nebūtų priimami be Ukrainos ir jokie sprendimai dėl Europos – be Europos;</w:t>
      </w:r>
    </w:p>
    <w:p w14:paraId="28485529" w14:textId="1DEB1C32" w:rsidR="00ED164B" w:rsidRPr="00ED164B" w:rsidRDefault="009E1A3F" w:rsidP="00044149">
      <w:pPr>
        <w:pStyle w:val="NormalHanging12a"/>
        <w:rPr>
          <w:bCs/>
          <w:iCs/>
        </w:rPr>
      </w:pPr>
      <w:r>
        <w:rPr>
          <w:bCs/>
          <w:iCs/>
        </w:rPr>
        <w:t>6</w:t>
      </w:r>
      <w:r w:rsidR="00ED164B" w:rsidRPr="0039201F">
        <w:rPr>
          <w:bCs/>
          <w:iCs/>
        </w:rPr>
        <w:t>.</w:t>
      </w:r>
      <w:r w:rsidR="00ED164B" w:rsidRPr="00ED164B">
        <w:rPr>
          <w:bCs/>
          <w:iCs/>
        </w:rPr>
        <w:tab/>
      </w:r>
      <w:r w:rsidR="00ED164B" w:rsidRPr="0039201F">
        <w:rPr>
          <w:bCs/>
          <w:iCs/>
        </w:rPr>
        <w:t>palankiai vertina priimtą įstatymą, pagal kurį Ukrainos stačiatikių parapijos galės atsiskirti nuo Maskvos patriarchato jurisdikcijos ir laisvai apsispręsti dėl naujo hierarchinio pavaldumo; pažymi, kad 2024 m. rugpjūčio mėn. Rumunijos stačiatikių parapijos Ukrainoje pateikė prašymą Rumunijos Stačiatikių bažnyčią Ukrainoje pripažinti religine asociacija, kad prie jos galėtų prisijungti nuo Maskvos patriarchato jurisdikcijos atsiskyrusios Rumunijos stačiatikių parapijos;</w:t>
      </w:r>
    </w:p>
    <w:p w14:paraId="41D0E204" w14:textId="5FA56EDF" w:rsidR="00044149" w:rsidRPr="00774450" w:rsidRDefault="00C83590" w:rsidP="00044149">
      <w:pPr>
        <w:pStyle w:val="NormalHanging12a"/>
      </w:pPr>
      <w:r>
        <w:t>7</w:t>
      </w:r>
      <w:r w:rsidR="00044149" w:rsidRPr="00774450">
        <w:t>.</w:t>
      </w:r>
      <w:r w:rsidR="00044149" w:rsidRPr="00774450">
        <w:tab/>
        <w:t>ragina ES, jos valstybes nares, jų transatlantinius sąjungininkus ir tarptautinius partnerius dėti dar veiksmingesnes karines, politines ir diplomatines pastangas, visų pirma masiškai didinti karinę paramą Ukrainai ir iš esmės sustiprinti visapusišką spaudimą Rusijai, kad būtų galutinai sustabdytas Rusijos agresijos karas ir sudarytos sąlygos Ukrainai išlaisvinti visą savo tautą ir atkurti visišką visos savo teritorijos, atsižvelgiant į tarptautiniu mastu pripažintas jos sienas, kontrolę;</w:t>
      </w:r>
    </w:p>
    <w:p w14:paraId="057B8D5F" w14:textId="689B5081" w:rsidR="00044149" w:rsidRPr="00774450" w:rsidRDefault="00C83590" w:rsidP="00044149">
      <w:pPr>
        <w:pStyle w:val="NormalHanging12a"/>
      </w:pPr>
      <w:r>
        <w:t>8</w:t>
      </w:r>
      <w:r w:rsidR="00044149" w:rsidRPr="00774450">
        <w:t>.</w:t>
      </w:r>
      <w:r w:rsidR="00044149" w:rsidRPr="00774450">
        <w:tab/>
        <w:t>palankiai vertina 2026 m. sausio 6 d. Paryžiuje įvykusio norinčiųjų prisidėti koalicijos susitikimo išvadas; labai palankiai vertina pasiūlymą sukurti daugiašales taikos palaikymo pajėgas Ukrainai; palankiai vertina susitarimą galutinai patvirtinti politiškai ir teisiškai privalomus įsipareigojimus siekiant atkurti taiką ir saugumą tuo atveju, jei ateityje, po ugnies nutraukimo, Rusija vykdytų ginkluotą puolimą, ir aiškią paramos Ukrainai sistemą, įskaitant jos ilgalaikių karinių pajėgumų išlaikymą ir glaudesnį bendradarbiavimą gynybos srityje; tačiau apgailestauja dėl to, kad šios saugumo garantijos bus įgyvendinamos tik tada, kai bus susitarta dėl ugnies nutraukimo; atkreipia dėmesį į diskusijas dėl ugnies nutraukimo stebėsenos ir tikrinimo mechanizmo; pabrėžia, kad reikia įgyvendinti šiuos plataus užmojo pasiūlymus;</w:t>
      </w:r>
    </w:p>
    <w:p w14:paraId="6FEB27C9" w14:textId="296C497E" w:rsidR="00044149" w:rsidRPr="00774450" w:rsidRDefault="00C83590" w:rsidP="00044149">
      <w:pPr>
        <w:pStyle w:val="NormalHanging12a"/>
      </w:pPr>
      <w:r>
        <w:t>9</w:t>
      </w:r>
      <w:r w:rsidR="00044149" w:rsidRPr="00774450">
        <w:t>.</w:t>
      </w:r>
      <w:r w:rsidR="00044149" w:rsidRPr="00774450">
        <w:tab/>
        <w:t>pabrėžia, kad bet kokiu taikos susitarimu neturi būti ribojamos Ukrainos galimybės gintis ir jis turi būti grindžiamas visapusiška pagarba tarptautinės teisės principams, atsakomybe už karo nusikaltimus, nusikaltimus žmoniškumui ir agresijos nusikaltimą, taip pat Rusijos reparacijomis už Ukrainoje padarytą didžiulę žalą; pabrėžia, kad toks susitarimas turi būti papildytas tvirtomis ir patikimomis saugumo garantijomis Ukrainai, prilygstančiomis Vašingtono sutarties 5 straipsnyje ir Europos Sąjungos sutarties 42 straipsnio 7 dalyje numatytoms garantijoms, vengiant 1994 m. Budapešto memorandumo pakartojimo; dar kartą patvirtina, kad Ukraina gali laisvai pasirinkti savo saugumo ir politinius aljansus, Rusijai neturint jokios veto teisės; pabrėžia, kad susitarime su Rusija turėtų būti numatytas jos įsipareigojimas nedelsiant nutraukti hibridinį karą prieš ES ir jos partneres, įskaitant Ukrainą; primygtinai reikalauja, kad norinčiųjų prisidėti koalicija ir Jungtinės Amerikos Valstijos suteiktų tvirtas saugumo garantijas, kurios užkirstų kelią bet kokiai atnaujintai Rusijos agresijai ir nedelsiant su ja kovotų;</w:t>
      </w:r>
    </w:p>
    <w:p w14:paraId="2B6245A7" w14:textId="3A4C3E71" w:rsidR="00044149" w:rsidRPr="00774450" w:rsidRDefault="00C83590" w:rsidP="00044149">
      <w:pPr>
        <w:pStyle w:val="NormalHanging12a"/>
      </w:pPr>
      <w:r>
        <w:t>10</w:t>
      </w:r>
      <w:r w:rsidR="00044149" w:rsidRPr="00774450">
        <w:t>.</w:t>
      </w:r>
      <w:r w:rsidR="00044149" w:rsidRPr="00774450">
        <w:tab/>
        <w:t>atkreipia dėmesį į JAV administracijos pastangas nutraukti Rusijos agresijos karą prieš Ukrainą, tačiau reiškia susirūpinimą dėl JAV požiūrio į taikos derybas, pagal kurį, atrodo, pirmenybė teikiama trumpalaikių susitarimų sudarymui ir vadinamojo strateginio stabilumo palaikant santykius su Rusija išsaugojimui, o ne tikroms taikos deryboms, kuriomis siekiama visapusiškos, teisingos ir ilgalaikės taikos, grindžiamos tarptautinės teisės principais; ragina ES ir jos valstybes nares toliau bendradarbiauti su Jungtinėmis Valstijomis ir bendraminčiais partneriais, siekiant užtikrinti, kad derybos dėl teisingos ir ilgalaikės taikos Ukrainoje vyktų geranoriškai ir siekiant galutinai nutraukti Rusijos agresiją prieš Ukrainą; pabrėžia, jog nuolatiniai Rusijos išpuoliai rodo, kad ji nepasirengusi tikroms taikos deryboms; akcentuoja tai, kad neapgalvoti pažadai per konkretų laikotarpį įgyvendinti taikos procesą daro neigiamą poveikį Ukrainai;</w:t>
      </w:r>
    </w:p>
    <w:p w14:paraId="7416E66A" w14:textId="1A043C76" w:rsidR="00044149" w:rsidRPr="00774450" w:rsidRDefault="00C83590" w:rsidP="00044149">
      <w:pPr>
        <w:pStyle w:val="NormalHanging12a"/>
      </w:pPr>
      <w:r>
        <w:t>11</w:t>
      </w:r>
      <w:r w:rsidR="00044149" w:rsidRPr="00774450">
        <w:t>.</w:t>
      </w:r>
      <w:r w:rsidR="00044149" w:rsidRPr="00774450">
        <w:tab/>
        <w:t>primygtinai reikalauja, kad jokios sankcijos nebūtų panaikintos, kol nebus susiderėta dėl taikos susitarimo ir kol jis nebus tvariai įgyvendintas; ragina ES nustatyti papildomas esmines sankcijas, pvz., visapusišką draudimą likusiam Rusijos ir Baltarusijos importui, visų pirma taikomą žaliavoms, kurių atžvilgiu nenustatytos sankcijos; palankiai vertina vykstančias ES ir G7 diskusijas siekiant išnagrinėti galimybę uždrausti jūrų transporto paslaugas visam Rusijos energijos eksportui, tačiau primygtinai ragina ES ir jos valstybes nares taikyti šį draudimą net ir be kitų G7 šalių paramos, taip pat uždrausti prekybą bei komercinę veiklą su Rusija ir Baltarusija, ypatingą dėmesį skiriant visoms galimai dvejopo naudojimo prekėms; ragina Tarybą kartu su JAV partneriais panašią sankcijų politiką taikyti visoms įgalinančioms valstybėms, įskaitant Baltarusiją, Iraną ir Šiaurės Korėją, taip pat taikyti sankcijas Kinijos subjektams, tiekiantiems dvejopo naudojimo prekes ir karinės paskirties prekes, būtinas bepiločių orlaivių ir raketų gamybai; ragina priimti papildomas sankcijas Rusijos šešėliniam laivynui ir griežtai užtikrinti jų vykdymą, be kita ko, taikant perėmimą; ragina nutraukti bendradarbiavimą su bendrovėmis „Rosatom“ ir „</w:t>
      </w:r>
      <w:bookmarkStart w:id="7" w:name="_Hlk221696446"/>
      <w:r w:rsidR="00044149" w:rsidRPr="00774450">
        <w:t>Roscosmos</w:t>
      </w:r>
      <w:bookmarkEnd w:id="7"/>
      <w:r w:rsidR="00044149" w:rsidRPr="00774450">
        <w:t>“ ir nustatyti joms sankcijas; ragina Tarybą sistemingai spręsti sankcijų apėjimo problemą; pabrėžia, kad sankcijos daro akivaizdų poveikį Rusijos ekonomikai, tačiau pakartoja, kad sankcijų režimas turi būti platesnės aprėpties ir griežčiau įgyvendinamas, jei norima pasiekti reikiamą poveikį, t. y. apriboti Rusijos lėšas jos agresijos karui; palankiai vertina tai, kad bus priimtas 20-as sankcijų Rusijai paketas;</w:t>
      </w:r>
    </w:p>
    <w:p w14:paraId="027C3D92" w14:textId="5E346664" w:rsidR="00DE65D0" w:rsidRPr="00774450" w:rsidRDefault="00C83590" w:rsidP="001B4C22">
      <w:pPr>
        <w:pStyle w:val="NormalHanging12a"/>
      </w:pPr>
      <w:r>
        <w:t>12</w:t>
      </w:r>
      <w:r w:rsidR="00044149" w:rsidRPr="00774450">
        <w:t>.</w:t>
      </w:r>
      <w:r w:rsidR="00044149" w:rsidRPr="00774450">
        <w:tab/>
        <w:t>palankiai vertina 2025 m. gruodžio 18 d. Europos Vadovų Tarybos sprendimą suteikti Ukrainai 90 mlrd. EUR finansinės paramos priemonių rinkinį ES remiamų paskolų forma; ragina skubiai įgyvendinti paramos Ukrainai paskolos priemonę ir pabrėžia, kad reikia tinkamai reaguoti į kintančius Ukrainos poreikius; palankiai vertina rinkinyje numatytą reikiamą lankstumą taikant nukrypti leidžiančių nuostatų režimą, numatytą siūlomo reglamento, kuriuo nustatoma paramos paskola</w:t>
      </w:r>
      <w:r w:rsidR="00044149" w:rsidRPr="00774450">
        <w:rPr>
          <w:rStyle w:val="FootnoteReference"/>
        </w:rPr>
        <w:footnoteReference w:id="1"/>
      </w:r>
      <w:r w:rsidR="00DE65D0">
        <w:t>,</w:t>
      </w:r>
      <w:r w:rsidR="00044149" w:rsidRPr="00774450">
        <w:t xml:space="preserve"> 13 straipsnio 5 dalyje</w:t>
      </w:r>
      <w:r w:rsidR="00AC2E31">
        <w:t>;</w:t>
      </w:r>
    </w:p>
    <w:p w14:paraId="656DEE46" w14:textId="1B48EA6D" w:rsidR="00044149" w:rsidRPr="00774450" w:rsidRDefault="00AE3456" w:rsidP="00044149">
      <w:pPr>
        <w:pStyle w:val="NormalHanging12a"/>
      </w:pPr>
      <w:r>
        <w:t>13</w:t>
      </w:r>
      <w:r w:rsidR="00044149" w:rsidRPr="00774450">
        <w:t>.</w:t>
      </w:r>
      <w:r w:rsidR="00044149" w:rsidRPr="00774450">
        <w:tab/>
        <w:t>pakartoja savo tvirtą įsitikinimą, kad Rusija turi sumokėti už Ukrainoje padarytą didžiulę žalą, ir dar kartą ragina ES panaudoti grynųjų pinigų likučius, susijusius su pagal ES sankcijas imobilizuotu Rusijos valstybės turtu, reparacijų paskolai užtikrinti, kuria būtų remiama Ukrainos gynyba ir atstatymas bei didinamas spaudimas Rusijai nutraukti agresijos karą; tvirtai pritaria Tarybos išvadai, kad teisėkūros institucijos turėtų tęsti darbą, susijusį su Komisijos pasiūlymu dėl reparacijų paskolos;</w:t>
      </w:r>
    </w:p>
    <w:p w14:paraId="455AE4DF" w14:textId="57561C88" w:rsidR="00044149" w:rsidRPr="00774450" w:rsidRDefault="00AE3456" w:rsidP="00044149">
      <w:pPr>
        <w:pStyle w:val="NormalHanging12a"/>
      </w:pPr>
      <w:r>
        <w:t>14</w:t>
      </w:r>
      <w:r w:rsidR="00044149" w:rsidRPr="00774450">
        <w:t>.</w:t>
      </w:r>
      <w:r w:rsidR="00044149" w:rsidRPr="00774450">
        <w:tab/>
        <w:t>primygtinai ragina ES, koordinuojant veiksmus su NATO, remti Ukrainos gynybos pajėgumų stiprinimą plėtojant tvirtesnę pramonės srities partnerystę, kuri sudarytų sąlygas perduoti technologijas ir praktinę patirtį, ir padėti integruoti Ukrainos gynybos technologinę ir pramoninę bazę į Europos gynybos technologinę ir pramoninę bazę (EGTPB), kartu remiant EGTPB veiklą Ukrainoje; primygtinai ragina valstybes nares ir jų gynybos pramonės subjektus papildomai investuoti ir vystyti partnerystes su Ukraina, siekiant remti bendrą kūrimą ES ir Ukrainos pramonės gamybą ES; palankiai vertina Danijos paramos Ukrainai modelį ir ragina taikyti didesnes paskatas glaudesniam EGPTB ir Ukrainos gynybos pramoninės bazės bendradarbiavimui ir integracijai; primygtinai ragina tas valstybes nares, kurios gali tiekti oro gynybos sistemas, tiekti tokią ginkluotę Ukrainai, kad ji galėtų apsaugoti daugiau savo ypatingos svarbos infrastruktūros objektų, ir tiekti Ukrainai didelio nuotolio raketų sistemas, kad ji galėtų taikytis į karinę ir strateginę infrastruktūrą; primygtinai ragina panaikinti likusius apribojimus, užkertančius kelią naudoti Ukrainai pristatytas Vakarų ginklų sistemas prieš Rusijos teritorijoje esančius karinius taikinius, iš kurių vykdomi išpuoliai prieš Ukrainos gyventojus ir ypatingos svarbos civilinę infrastruktūrą; pabrėžia, jog svarbu užtikrinti, kad Ukrainos karinis personalas būtų tinkamai apmokytas pagal ES karinę pagalbos misiją Ukrainai remti (EUMAM Ukraine), ir ragina išplėsti EUMAM Ukraine įgaliojimus, įskaitant galimybę po ugnies nutraukimo išplėsti mokymo veiklą į Ukrainos teritoriją, kad būtų sustiprinti Ukrainos nacionaliniai mokymo pajėgumai;</w:t>
      </w:r>
    </w:p>
    <w:p w14:paraId="4B0B1900" w14:textId="1D916B72" w:rsidR="00044149" w:rsidRPr="00774450" w:rsidRDefault="00AE3456" w:rsidP="00044149">
      <w:pPr>
        <w:pStyle w:val="NormalHanging12a"/>
      </w:pPr>
      <w:r>
        <w:t>15</w:t>
      </w:r>
      <w:r w:rsidR="00044149" w:rsidRPr="00774450">
        <w:t>.</w:t>
      </w:r>
      <w:r w:rsidR="00044149" w:rsidRPr="00774450">
        <w:tab/>
        <w:t>ragina įtraukti Ukrainą į ES karinio mobilumo koridorius; pakartoja, kad svarbu užtikrinti greitą įrangos ir karių perkėlimą iš vakarų į rytus, taip pat pasimokyti iš Ukrainos ginkluotųjų pajėgų patirties;</w:t>
      </w:r>
    </w:p>
    <w:p w14:paraId="03CAF49D" w14:textId="6ED3A650" w:rsidR="00044149" w:rsidRPr="00774450" w:rsidRDefault="00AE3456" w:rsidP="00044149">
      <w:pPr>
        <w:pStyle w:val="NormalHanging12a"/>
      </w:pPr>
      <w:r>
        <w:t>16</w:t>
      </w:r>
      <w:r w:rsidR="00044149" w:rsidRPr="00774450">
        <w:t>.</w:t>
      </w:r>
      <w:r w:rsidR="00044149" w:rsidRPr="00774450">
        <w:tab/>
        <w:t>palankiai vertina tai, kad priimtas Reglamentas (ES) 2026/261 dėl laipsniško gamtinių dujų importo iš Rusijos nutraukimo ir pasirengimo laipsniškam Rusijos naftos importo nutraukimui</w:t>
      </w:r>
      <w:r w:rsidR="00044149" w:rsidRPr="00774450">
        <w:rPr>
          <w:rStyle w:val="FootnoteReference"/>
        </w:rPr>
        <w:footnoteReference w:id="2"/>
      </w:r>
      <w:r w:rsidR="00044149" w:rsidRPr="00774450">
        <w:t>; primygtinai ragina Komisiją paspartinti laipsnišką kitų Rusijos energijos šaltinių, įskaitant naftą ir visus naftos produktus, uraną, sodrintąjį uraną ir branduolinį kurą bei paslaugas, nutraukimą, laikantis plano „REPowerEU“ veiksmų gairėse prisiimtų įsipareigojimų; pabrėžia, kad ši priemonė yra labai svarbus žingsnis siekiant panaikinti ES priklausomybę nuo Rusijos iškastinio kuro ir dar labiau apsunkinti Rusijos ekonominę padėtį; apgailestauja dėl to, kad 2025 m. septynios ES valstybės narės importavo daugiau Rusijos energijos nei 2024 m.; pabrėžia, kad dujotiekiai „Nord Stream 1“ ir „Nord Stream 2“ niekada neturi būti vėl pradėti naudoti, ir ragina visam laikui nutraukti jų eksploatavimą, nes tai yra strateginio saugumo klausimas; primena valstybėms narėms nesiimti jokių priemonių, kurios galėtų trukdyti siekti Sąjungos tikslų;</w:t>
      </w:r>
    </w:p>
    <w:p w14:paraId="1C16D5D2" w14:textId="48A04A37" w:rsidR="00044149" w:rsidRDefault="00AE3456" w:rsidP="00044149">
      <w:pPr>
        <w:pStyle w:val="NormalHanging12a"/>
      </w:pPr>
      <w:r>
        <w:t>17</w:t>
      </w:r>
      <w:r w:rsidR="00044149" w:rsidRPr="00774450">
        <w:t>.</w:t>
      </w:r>
      <w:r w:rsidR="00044149" w:rsidRPr="00774450">
        <w:tab/>
        <w:t>griežtai smerkia Rusijos Federacijos sistemingai vykdomą Ukrainos vaikų deportavimą, priverstinį perkėlimą ir bandymą juos asimiliuoti; ragina nedelsiant ir besąlygiškai nutraukti šią praktiką ir saugiai bei nekliudomai grąžinti visus neteisėtai deportuotus Ukrainos vaikus; reiškia paramą organizacijoms ir asmenims, dalyvaujantiems sugrąžinant šiuos vaikus, ir iniciatyvai „Bring Kids Back UA“; palankiai vertina Tarptautinės Ukrainos vaikų grąžinimo koalicijos, kaip pagrindinės koordinuotų tarptautinių veiksmų platformos, darbą, įskaitant deportuotų vaikų paiešką, jų tapatybės, teisinio statuso ir buvimo vietos tikrinimą, jų grąžinimo užtikrinimą ir siekimą užtikrinti atskaitomybę;</w:t>
      </w:r>
    </w:p>
    <w:p w14:paraId="69661A1D" w14:textId="484C0343" w:rsidR="00B20210" w:rsidRDefault="00871664" w:rsidP="00044149">
      <w:pPr>
        <w:pStyle w:val="NormalHanging12a"/>
      </w:pPr>
      <w:r>
        <w:t>18</w:t>
      </w:r>
      <w:r w:rsidR="00B20210" w:rsidRPr="00B20210">
        <w:t>.</w:t>
      </w:r>
      <w:r w:rsidR="00B20210" w:rsidRPr="00B20210">
        <w:tab/>
        <w:t>griežtai smerkia seksualinio smurto ir smurto dėl lyties, kaip karo ginklo, naudojimą ir pažymi, kad tai yra karo nusikaltimas; taip pat smerkia seksualinį smurtą ir smurtą dėl lyties tranzito centruose Ukrainoje ir visoje ES; apgailestauja dėl to, kad Laikinosios apsaugos direktyva</w:t>
      </w:r>
      <w:r w:rsidR="00B20210">
        <w:rPr>
          <w:rStyle w:val="FootnoteReference"/>
        </w:rPr>
        <w:footnoteReference w:id="3"/>
      </w:r>
      <w:r w:rsidR="00B20210" w:rsidRPr="00B20210">
        <w:t xml:space="preserve"> aiškinama taip siaurai, kad daugelis moterų, pabėgusių nuo Rusijos agresijos karo, negali pasinaudoti nėštumo nutraukimo priežiūros ar kitomis lytinės ir reprodukcinės sveikatos priežiūros paslaugomis, įskaitant gydymą po seksualinės prievartos; pakartoja savo 2024 m. vasario 29 d. rezoliucijoje</w:t>
      </w:r>
      <w:r w:rsidR="00B20210">
        <w:rPr>
          <w:rStyle w:val="FootnoteReference"/>
        </w:rPr>
        <w:footnoteReference w:id="4"/>
      </w:r>
      <w:r w:rsidR="00B20210" w:rsidRPr="00B20210">
        <w:t xml:space="preserve"> išdėstytą raginimą Komisijai persvarstyti direktyvą siekiant užtikrinti, kad visos valstybės narės būtų įpareigotos teikti tokią pačią priežiūrą, kurią kitu atveju moterys galėtų gauti Ukrainoje;</w:t>
      </w:r>
    </w:p>
    <w:p w14:paraId="1FF72B50" w14:textId="2725EEAB" w:rsidR="00FB4C47" w:rsidRPr="00774450" w:rsidRDefault="00871664" w:rsidP="00044149">
      <w:pPr>
        <w:pStyle w:val="NormalHanging12a"/>
      </w:pPr>
      <w:r>
        <w:t>19</w:t>
      </w:r>
      <w:r w:rsidR="00FB4C47" w:rsidRPr="00FB4C47">
        <w:t>.</w:t>
      </w:r>
      <w:r w:rsidR="00FB4C47" w:rsidRPr="00FB4C47">
        <w:tab/>
        <w:t>pabrėžia, kad ukrainiečių, kurie buvo pripažinti prekybos žmonėmis aukomis, skaičius Europos Sąjungoje yra grėsmingai didelis ir nuo Rusijos plataus masto invazijos pradžios išaugo; ragina valstybes nares padidinti paramą aukoms ir prevencinėms priemonėms, be kita ko, pasitelkiant ekonomines priemones;</w:t>
      </w:r>
    </w:p>
    <w:p w14:paraId="3315A844" w14:textId="7541DAFA" w:rsidR="00044149" w:rsidRPr="00774450" w:rsidRDefault="002123CA" w:rsidP="00044149">
      <w:pPr>
        <w:pStyle w:val="NormalHanging12a"/>
      </w:pPr>
      <w:r>
        <w:t>20</w:t>
      </w:r>
      <w:r w:rsidR="00044149" w:rsidRPr="00774450">
        <w:t>.</w:t>
      </w:r>
      <w:r w:rsidR="00044149" w:rsidRPr="00774450">
        <w:tab/>
        <w:t>ragina ES ir jos valstybes nares taikyti sankcijas Rusijos gynybos ministerijos karinei policijai, Federalinei saugumo tarnybai ir Federalinei bausmių vykdymo tarnybai už jų sistemingą dalyvavimą vykdant karo nusikaltimus ir nusikaltimus žmoniškumui, įskaitant priverstinius dingimus, savavališką kalinimą, kankinimus ir kalinimą neleidžiant susisiekti su išoriniu pasauliu; be to, ragina ES ir jos valstybes nares taikyti asmenines sankcijas visiems Rusijos kalinimo įstaigų, kuriose neteisėtai kalinami Ukrainos civiliai gyventojai, vadovams ir kitiems jose dirbantiems Rusijos pareigūnams; ragina ES ir jos valstybes nares uždrausti Rusijos kariniam personalui, dalyvavusiam agresijos kare prieš Ukrainą, atvykti į Šengeno erdvę; primygtinai ragina valstybes nares sistemingai spręsti sankcijų apėjimo klausimą ir užtikrinti visapusišką ir veiksmingą jų įgyvendinimą;</w:t>
      </w:r>
    </w:p>
    <w:p w14:paraId="60E4FD69" w14:textId="7A7AA63F" w:rsidR="00044149" w:rsidRPr="00774450" w:rsidRDefault="002123CA" w:rsidP="00044149">
      <w:pPr>
        <w:pStyle w:val="NormalHanging12a"/>
      </w:pPr>
      <w:r>
        <w:t>21</w:t>
      </w:r>
      <w:r w:rsidR="00044149" w:rsidRPr="00774450">
        <w:t>.</w:t>
      </w:r>
      <w:r w:rsidR="00044149" w:rsidRPr="00774450">
        <w:tab/>
        <w:t>ragina Tarybą įtraukti „Vagnerio grupę“ ir ją pakeisiančius subjektus į teroristinių organizacijų sąrašą pagal 2001 m. gruodžio 27 d. Tarybos bendrąją poziciją 2001/931/BUSP dėl konkrečių priemonių taikymo kovojant su terorizmu</w:t>
      </w:r>
      <w:r w:rsidR="00044149" w:rsidRPr="00774450">
        <w:rPr>
          <w:rStyle w:val="FootnoteReference"/>
        </w:rPr>
        <w:footnoteReference w:id="5"/>
      </w:r>
      <w:r w:rsidR="00044149" w:rsidRPr="00774450">
        <w:t>; pabrėžia, kad įtraukus šiuos subjektus į teroristinių organizacijų sąrašą, be šiuo metu jiems taikomo turto įšaldymo, būtų sudaromos sąlygos patraukti baudžiamojon atsakomybėn verbuotojus, kovotojus ir rėmėjus ir taikyti jiems baudžiamąsias sankcijas;</w:t>
      </w:r>
    </w:p>
    <w:p w14:paraId="4BDA94A3" w14:textId="4E48C1C9" w:rsidR="00044149" w:rsidRPr="00774450" w:rsidRDefault="002123CA" w:rsidP="00044149">
      <w:pPr>
        <w:pStyle w:val="NormalHanging12a"/>
      </w:pPr>
      <w:r>
        <w:t>22</w:t>
      </w:r>
      <w:r w:rsidR="00044149" w:rsidRPr="00774450">
        <w:t>.</w:t>
      </w:r>
      <w:r w:rsidR="00044149" w:rsidRPr="00774450">
        <w:tab/>
        <w:t>atkreipia dėmesį į nerimą keliantį faktą, kad vis daugiau Rusijos kariuomenėje tarnaujančių užsienio kovotojų buvo atgabenti į Rusiją arba į fronto linijas Ukrainoje prisidengiant apgaulinga dingstimi; primygtinai ragina Pietų Afrikos, Ganos, Kenijos, Botsvanos ir kitų Afrikos šalių vyriausybes kovoti su apgaulinga verbavimo veikla, dėl kurios jų jauni vyrai kovoja priešakinėse linijose kartu su Rusijos pajėgomis; ragina atitinkamas šalis aktyviai įspėti savo piliečius apie pavojus, kylančius vykstant į Rusiją dėl darbo pasiūlymų, kurie yra tiesiogiai arba netiesiogiai susiję su Rusijos kariuomene; ragina socialinės žiniasklaidos platformas imtis priemonių, kad būtų užkirstas kelias piktnaudžiavimui jų paslaugomis siekiant vykdyti šias apgaulingas verbavimo kampanijas; smerkia vyriausybių, pvz., Kubos ar kai kurių Vidurinės Azijos šalių vyriausybių, politiką, kuria neužkertamas kelias jų piliečiams dalyvauti Rusijos agresijos kare arba net skatinama tai daryti;</w:t>
      </w:r>
    </w:p>
    <w:p w14:paraId="1B8515D9" w14:textId="583F2272" w:rsidR="00044149" w:rsidRPr="00774450" w:rsidRDefault="002123CA" w:rsidP="00044149">
      <w:pPr>
        <w:pStyle w:val="NormalHanging12a"/>
      </w:pPr>
      <w:r>
        <w:t>23</w:t>
      </w:r>
      <w:r w:rsidR="00044149" w:rsidRPr="00774450">
        <w:t>.</w:t>
      </w:r>
      <w:r w:rsidR="00044149" w:rsidRPr="00774450">
        <w:tab/>
        <w:t>pabrėžia, kad nepaliaujami Rusijos išpuoliai prieš Ukrainos energetikos infrastruktūrą ne tik pažeidžia tarptautinę teisę, bet ir yra apgalvota strategija, kuria siekiama pakenkti civiliniam atsparumui, atitinkamose teritorijose sukelti suirutę ir suginklinti energiją, panaudojant ją kaip prievartos priemonę; ragina ES ir jos valstybes nares padidinti ir institucionalizuoti pagalbą Ukrainai energetikos srityje; pabrėžia, kad itin svarbu toliau teikti ir didinti ES ir valstybių narių humanitarinę pagalbą Ukrainai, reaguojant į sunkią humanitarinę padėtį, susidariusią dėl Rusijos sistemingų išpuolių prieš Ukrainos miestus ir ypatingos svarbos civilinę infrastruktūrą;</w:t>
      </w:r>
    </w:p>
    <w:p w14:paraId="5BA3D722" w14:textId="091954DF" w:rsidR="00044149" w:rsidRDefault="002123CA" w:rsidP="00044149">
      <w:pPr>
        <w:pStyle w:val="NormalHanging12a"/>
      </w:pPr>
      <w:r>
        <w:t>24</w:t>
      </w:r>
      <w:r w:rsidR="00044149" w:rsidRPr="00774450">
        <w:t>.</w:t>
      </w:r>
      <w:r w:rsidR="00044149" w:rsidRPr="00774450">
        <w:tab/>
        <w:t>primygtinai ragina Komisiją aktyviai remti tarptautinius teisingumo mechanizmus ir užtikrinti atskaitomybę ir reparacijas už karo ir agresijos nusikaltimus; ragina ES ir jos valstybes nares remti specialiojo tribunolo, kuris trauktų baudžiamojon atsakomybėn už Rusijos agresijos nusikaltimą prieš Ukrainą, įsteigimą;</w:t>
      </w:r>
    </w:p>
    <w:p w14:paraId="261CFF44" w14:textId="2BD9A03E" w:rsidR="006B487B" w:rsidRPr="00774450" w:rsidRDefault="002123CA" w:rsidP="00044149">
      <w:pPr>
        <w:pStyle w:val="NormalHanging12a"/>
      </w:pPr>
      <w:r>
        <w:t>25</w:t>
      </w:r>
      <w:r w:rsidR="006B487B" w:rsidRPr="006B487B">
        <w:t>.</w:t>
      </w:r>
      <w:r w:rsidR="006B487B" w:rsidRPr="006B487B">
        <w:tab/>
        <w:t>teigiamai vertina Ukrainos prisijungimą prie Tarptautinio baudžiamojo teismo (TBT); dar kartą patvirtina, kad tvirtai remia TBT atliekamą tyrimą Ukrainoje ir jo bendras pastangas patraukti baudžiamojon atsakomybėn asmenis, atsakingus už genocidą, karo nusikaltimus, nusikaltimus žmoniškumui ir agresijos nusikaltimą; reiškia didžiulį susirūpinimą dėl JAV sankcijų TBT, jo prokurorams, teisėjams ir darbuotojams; ragina Komisiją aktyvuoti blokavimo statutą, kad TBT būtų apsaugotas nuo ekstrateritorinių sankcijų;</w:t>
      </w:r>
    </w:p>
    <w:p w14:paraId="3781211F" w14:textId="56E52AF6" w:rsidR="00044149" w:rsidRDefault="002123CA" w:rsidP="00044149">
      <w:pPr>
        <w:pStyle w:val="NormalHanging12a"/>
      </w:pPr>
      <w:r>
        <w:t>26</w:t>
      </w:r>
      <w:r w:rsidR="00044149" w:rsidRPr="00774450">
        <w:t>.</w:t>
      </w:r>
      <w:r w:rsidR="00044149" w:rsidRPr="00774450">
        <w:tab/>
        <w:t>ragina Ukrainos valdžios institucijas puoselėti parlamentinį pliuralizmą kaip demokratinio valdymo pagrindą ir užtikrinti konstruktyvų ir prasmingą bendradarbiavimą su visomis parlamentinėmis politinėmis jėgomis, kurių narių yra Aukščiausioje Radoje;</w:t>
      </w:r>
    </w:p>
    <w:p w14:paraId="42DD4A5B" w14:textId="30AE014D" w:rsidR="006B487B" w:rsidRPr="00774450" w:rsidRDefault="002123CA" w:rsidP="00044149">
      <w:pPr>
        <w:pStyle w:val="NormalHanging12a"/>
      </w:pPr>
      <w:r>
        <w:t>27</w:t>
      </w:r>
      <w:r w:rsidR="006B487B" w:rsidRPr="006B487B">
        <w:t>.</w:t>
      </w:r>
      <w:r w:rsidR="006B487B" w:rsidRPr="006B487B">
        <w:tab/>
        <w:t>giria Ukrainos sveikatos priežiūros tarnybų, visų pirma Ukrainos slaugytojų, kasdien viso karo metu atliekamą nepaprastai svarbų darbą; šiomis aplinkybėmis atkreipia dėmesį į svarbų Ukrainos medicinos judėjimo „Būk kaip mes“ – visuomeninio judėjimo, kurį daugiausia sudaro slaugytojai, – atliktą darbą remiant sveikatos priežiūros specialistus ir ginant jų teises;</w:t>
      </w:r>
    </w:p>
    <w:p w14:paraId="6FE08012" w14:textId="1E74A9F6" w:rsidR="00044149" w:rsidRPr="00774450" w:rsidRDefault="002123CA" w:rsidP="00044149">
      <w:pPr>
        <w:pStyle w:val="NormalHanging12a"/>
      </w:pPr>
      <w:r>
        <w:t>28</w:t>
      </w:r>
      <w:r w:rsidR="00044149" w:rsidRPr="00774450">
        <w:t>.</w:t>
      </w:r>
      <w:r w:rsidR="00044149" w:rsidRPr="00774450">
        <w:tab/>
        <w:t>atkreipia dėmesį į tvirtą daugumos ES valstybių narių įsipareigojimą remti Ukrainą ir pabrėžia savo nepasitenkinimą tomis valstybėmis narėmis, kurios trukdo laikytis ES pozicijų ir politikos arba aktyviai jas silpnina; primena Europos Sąjungos sutarties 4 straipsnio 3 dalyje numatytą lojalaus bendradarbiavimo principą, pagal kurį reikalaujama, kad valstybės narės nesiimtų jokių priemonių, kurios gali trukdyti siekti ES tikslų; ragina Tarybą skubiai rasti išeitį iš aklavietės, trukdančios pradėti veikti pagalbos Ukrainai fondui pagal Europos taikos priemonę, kuris yra labai svarbus siekiant įgyvendinti ES ilgalaikius saugumo įsipareigojimus Ukrainai;</w:t>
      </w:r>
    </w:p>
    <w:p w14:paraId="129E1C44" w14:textId="7CA904AD" w:rsidR="00774450" w:rsidRPr="00774450" w:rsidRDefault="002123CA" w:rsidP="00774450">
      <w:pPr>
        <w:pStyle w:val="NormalHanging12a"/>
      </w:pPr>
      <w:r>
        <w:t>29</w:t>
      </w:r>
      <w:r w:rsidR="00044149" w:rsidRPr="00774450">
        <w:t>.</w:t>
      </w:r>
      <w:r w:rsidR="00044149" w:rsidRPr="00774450">
        <w:tab/>
        <w:t>paveda Pirmininkei perduoti šią rezoliuciją Tarybai, Komisijai, Komisijos pirmininkės pavaduotojai ir Sąjungos vyriausiajai įgaliotinei užsienio reikalams ir saugumo politikai, valstybių narių vyriausybėms ir parlamentams, Ukrainos prezidentui, vyriausybei ir Aukščiausiajai Radai, Jungtinių Tautų generaliniam sekretoriui, Jungtinių Amerikos Valstijų Kongresui, Rusijos valdžios institucijoms ir kitų šioje rezoliucijoje minimų valstybių valdžios institucijoms.</w:t>
      </w:r>
    </w:p>
    <w:p w14:paraId="2AE9B1B8" w14:textId="2A2CD08D" w:rsidR="00E365E1" w:rsidRPr="00774450" w:rsidRDefault="00E365E1" w:rsidP="00916177"/>
    <w:sectPr w:rsidR="00E365E1" w:rsidRPr="00774450" w:rsidSect="007744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6F060" w14:textId="77777777" w:rsidR="00916177" w:rsidRPr="00774450" w:rsidRDefault="00916177">
      <w:r w:rsidRPr="00774450">
        <w:separator/>
      </w:r>
    </w:p>
  </w:endnote>
  <w:endnote w:type="continuationSeparator" w:id="0">
    <w:p w14:paraId="5A51DB84" w14:textId="77777777" w:rsidR="00916177" w:rsidRPr="00774450" w:rsidRDefault="00916177">
      <w:r w:rsidRPr="007744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65282" w14:textId="77777777" w:rsidR="00916177" w:rsidRPr="00774450" w:rsidRDefault="00916177">
      <w:r w:rsidRPr="00774450">
        <w:separator/>
      </w:r>
    </w:p>
  </w:footnote>
  <w:footnote w:type="continuationSeparator" w:id="0">
    <w:p w14:paraId="2FB98F78" w14:textId="77777777" w:rsidR="00916177" w:rsidRPr="00774450" w:rsidRDefault="00916177">
      <w:r w:rsidRPr="00774450">
        <w:continuationSeparator/>
      </w:r>
    </w:p>
  </w:footnote>
  <w:footnote w:id="1">
    <w:p w14:paraId="16C172BA" w14:textId="7B255788" w:rsidR="00044149" w:rsidRPr="00B20210" w:rsidRDefault="00044149" w:rsidP="00D463BC">
      <w:pPr>
        <w:pStyle w:val="FootnoteText"/>
        <w:ind w:left="567" w:hanging="567"/>
        <w:rPr>
          <w:sz w:val="24"/>
          <w:szCs w:val="24"/>
          <w:lang w:val="lt-LT"/>
        </w:rPr>
      </w:pPr>
      <w:r w:rsidRPr="00B20210">
        <w:rPr>
          <w:rStyle w:val="FootnoteReference"/>
          <w:sz w:val="24"/>
          <w:szCs w:val="24"/>
          <w:lang w:val="lt-LT"/>
        </w:rPr>
        <w:footnoteRef/>
      </w:r>
      <w:r w:rsidR="00774450" w:rsidRPr="00B20210">
        <w:rPr>
          <w:sz w:val="24"/>
          <w:szCs w:val="24"/>
          <w:lang w:val="lt-LT"/>
        </w:rPr>
        <w:t xml:space="preserve"> </w:t>
      </w:r>
      <w:r w:rsidR="00774450" w:rsidRPr="00B20210">
        <w:rPr>
          <w:sz w:val="24"/>
          <w:szCs w:val="24"/>
          <w:lang w:val="lt-LT"/>
        </w:rPr>
        <w:tab/>
      </w:r>
      <w:r w:rsidRPr="00B20210">
        <w:rPr>
          <w:sz w:val="24"/>
          <w:szCs w:val="24"/>
          <w:lang w:val="lt-LT"/>
        </w:rPr>
        <w:t>2026 m. sausio 14 d. Komisijos pasiūlymas dėl Europos Parlamento ir Tarybos reglamento, kuriuo įgyvendinamas tvirtesnis bendradarbiavimas dėl 2026 ir 2027 m. paramos Ukrainai paskolos nustatymo (COM(2026)0020).</w:t>
      </w:r>
    </w:p>
  </w:footnote>
  <w:footnote w:id="2">
    <w:p w14:paraId="165B1660" w14:textId="2D6BA06C" w:rsidR="00044149" w:rsidRPr="00B20210" w:rsidRDefault="00044149" w:rsidP="00D463BC">
      <w:pPr>
        <w:pStyle w:val="FootnoteText"/>
        <w:ind w:left="567" w:hanging="567"/>
        <w:rPr>
          <w:sz w:val="24"/>
          <w:szCs w:val="24"/>
          <w:lang w:val="lt-LT"/>
        </w:rPr>
      </w:pPr>
      <w:r w:rsidRPr="00B20210">
        <w:rPr>
          <w:rStyle w:val="FootnoteReference"/>
          <w:sz w:val="24"/>
          <w:szCs w:val="24"/>
          <w:lang w:val="lt-LT"/>
        </w:rPr>
        <w:footnoteRef/>
      </w:r>
      <w:r w:rsidR="00774450" w:rsidRPr="00B20210">
        <w:rPr>
          <w:sz w:val="24"/>
          <w:szCs w:val="24"/>
          <w:lang w:val="lt-LT"/>
        </w:rPr>
        <w:t xml:space="preserve"> </w:t>
      </w:r>
      <w:r w:rsidR="00774450" w:rsidRPr="00B20210">
        <w:rPr>
          <w:sz w:val="24"/>
          <w:szCs w:val="24"/>
          <w:lang w:val="lt-LT"/>
        </w:rPr>
        <w:tab/>
      </w:r>
      <w:r w:rsidRPr="00B20210">
        <w:rPr>
          <w:sz w:val="24"/>
          <w:szCs w:val="24"/>
          <w:lang w:val="lt-LT"/>
        </w:rPr>
        <w:t xml:space="preserve">2026 m. sausio 26 d. Europos Parlamento ir Tarybos reglamentas (ES) 2026/261 dėl laipsniško gamtinių dujų importo iš Rusijos nutraukimo ir pasirengimo laipsniškam Rusijos naftos importo nutraukimui bei galimos energetinės priklausomybės stebėsenos gerinimo, kuriuo iš dalies keičiamas Reglamentas (ES) 2017/1938 (OL L, 2026/261, 2026 2 2, ELI: </w:t>
      </w:r>
      <w:hyperlink r:id="rId1" w:history="1">
        <w:r w:rsidRPr="00B20210">
          <w:rPr>
            <w:rStyle w:val="Hyperlink"/>
            <w:sz w:val="24"/>
            <w:szCs w:val="24"/>
            <w:lang w:val="lt-LT"/>
          </w:rPr>
          <w:t>http://data.europa.eu/eli/reg/2026/261/oj</w:t>
        </w:r>
      </w:hyperlink>
      <w:r w:rsidRPr="00B20210">
        <w:rPr>
          <w:sz w:val="24"/>
          <w:szCs w:val="24"/>
          <w:lang w:val="lt-LT"/>
        </w:rPr>
        <w:t>).</w:t>
      </w:r>
    </w:p>
  </w:footnote>
  <w:footnote w:id="3">
    <w:p w14:paraId="5BEFB392" w14:textId="65999926" w:rsidR="00B20210" w:rsidRPr="0039201F" w:rsidRDefault="00B20210" w:rsidP="0039201F">
      <w:pPr>
        <w:pStyle w:val="FootnoteText"/>
        <w:ind w:left="567" w:hanging="567"/>
        <w:rPr>
          <w:sz w:val="24"/>
          <w:szCs w:val="24"/>
          <w:lang w:val="lt-LT"/>
        </w:rPr>
      </w:pPr>
      <w:r w:rsidRPr="00B20210">
        <w:rPr>
          <w:rStyle w:val="FootnoteReference"/>
          <w:sz w:val="24"/>
          <w:szCs w:val="24"/>
          <w:lang w:val="lt-LT"/>
        </w:rPr>
        <w:footnoteRef/>
      </w:r>
      <w:r w:rsidRPr="00B20210">
        <w:rPr>
          <w:sz w:val="24"/>
          <w:szCs w:val="24"/>
          <w:lang w:val="lt-LT"/>
        </w:rPr>
        <w:t xml:space="preserve"> </w:t>
      </w:r>
      <w:r w:rsidRPr="00B20210">
        <w:rPr>
          <w:sz w:val="24"/>
          <w:szCs w:val="24"/>
          <w:lang w:val="lt-LT"/>
        </w:rPr>
        <w:tab/>
      </w:r>
      <w:r w:rsidRPr="00B20210">
        <w:rPr>
          <w:sz w:val="24"/>
          <w:szCs w:val="24"/>
          <w:lang w:val="lt-LT"/>
        </w:rPr>
        <w:t xml:space="preserve">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 ELI: </w:t>
      </w:r>
      <w:hyperlink r:id="rId2" w:history="1">
        <w:r w:rsidRPr="007F2EA3">
          <w:rPr>
            <w:rStyle w:val="Hyperlink"/>
            <w:sz w:val="24"/>
            <w:szCs w:val="24"/>
            <w:lang w:val="lt-LT"/>
          </w:rPr>
          <w:t>http://data.europa.eu/eli/dir/2001/55/oj</w:t>
        </w:r>
      </w:hyperlink>
      <w:r w:rsidRPr="00B20210">
        <w:rPr>
          <w:sz w:val="24"/>
          <w:szCs w:val="24"/>
          <w:lang w:val="lt-LT"/>
        </w:rPr>
        <w:t>).</w:t>
      </w:r>
    </w:p>
  </w:footnote>
  <w:footnote w:id="4">
    <w:p w14:paraId="37C0E501" w14:textId="76FFB669" w:rsidR="00B20210" w:rsidRPr="0039201F" w:rsidRDefault="00B20210" w:rsidP="0039201F">
      <w:pPr>
        <w:pStyle w:val="FootnoteText"/>
        <w:ind w:left="567" w:hanging="567"/>
        <w:rPr>
          <w:sz w:val="24"/>
          <w:szCs w:val="24"/>
          <w:lang w:val="lt-LT"/>
        </w:rPr>
      </w:pPr>
      <w:r w:rsidRPr="00B20210">
        <w:rPr>
          <w:rStyle w:val="FootnoteReference"/>
          <w:sz w:val="24"/>
          <w:szCs w:val="24"/>
          <w:lang w:val="lt-LT"/>
        </w:rPr>
        <w:footnoteRef/>
      </w:r>
      <w:r w:rsidRPr="00B20210">
        <w:rPr>
          <w:sz w:val="24"/>
          <w:szCs w:val="24"/>
          <w:lang w:val="lt-LT"/>
        </w:rPr>
        <w:t xml:space="preserve"> </w:t>
      </w:r>
      <w:r w:rsidRPr="00B20210">
        <w:rPr>
          <w:sz w:val="24"/>
          <w:szCs w:val="24"/>
          <w:lang w:val="lt-LT"/>
        </w:rPr>
        <w:tab/>
      </w:r>
      <w:r w:rsidRPr="00B20210">
        <w:rPr>
          <w:sz w:val="24"/>
          <w:szCs w:val="24"/>
          <w:lang w:val="lt-LT"/>
        </w:rPr>
        <w:t xml:space="preserve">2024 m. vasario 29 d. Europos Parlamento rezoliucija dėl ryžtingos ES pagalbos Ukrainai poreikio praėjus dvejiems metams nuo Rusijos agresijos karo prieš Ukrainą pradžios (OL C, C/2024/6745, 2024 11 26, ELI: </w:t>
      </w:r>
      <w:hyperlink r:id="rId3" w:history="1">
        <w:r w:rsidRPr="007F2EA3">
          <w:rPr>
            <w:rStyle w:val="Hyperlink"/>
            <w:sz w:val="24"/>
            <w:szCs w:val="24"/>
            <w:lang w:val="lt-LT"/>
          </w:rPr>
          <w:t>http://data.europa.eu/eli/C/2024/6745/oj</w:t>
        </w:r>
      </w:hyperlink>
      <w:r w:rsidRPr="00B20210">
        <w:rPr>
          <w:sz w:val="24"/>
          <w:szCs w:val="24"/>
          <w:lang w:val="lt-LT"/>
        </w:rPr>
        <w:t xml:space="preserve">). </w:t>
      </w:r>
    </w:p>
  </w:footnote>
  <w:footnote w:id="5">
    <w:p w14:paraId="3F761B52" w14:textId="3F81D2E1" w:rsidR="00044149" w:rsidRPr="00B20210" w:rsidRDefault="00044149" w:rsidP="00D463BC">
      <w:pPr>
        <w:pStyle w:val="FootnoteText"/>
        <w:ind w:left="567" w:hanging="567"/>
        <w:rPr>
          <w:sz w:val="24"/>
          <w:szCs w:val="24"/>
          <w:lang w:val="lt-LT"/>
        </w:rPr>
      </w:pPr>
      <w:r w:rsidRPr="00B20210">
        <w:rPr>
          <w:rStyle w:val="FootnoteReference"/>
          <w:sz w:val="24"/>
          <w:szCs w:val="24"/>
          <w:lang w:val="lt-LT"/>
        </w:rPr>
        <w:footnoteRef/>
      </w:r>
      <w:r w:rsidR="00774450" w:rsidRPr="00B20210">
        <w:rPr>
          <w:sz w:val="24"/>
          <w:szCs w:val="24"/>
          <w:lang w:val="lt-LT"/>
        </w:rPr>
        <w:t xml:space="preserve"> </w:t>
      </w:r>
      <w:r w:rsidR="00774450" w:rsidRPr="00B20210">
        <w:rPr>
          <w:sz w:val="24"/>
          <w:szCs w:val="24"/>
          <w:lang w:val="lt-LT"/>
        </w:rPr>
        <w:tab/>
      </w:r>
      <w:r w:rsidRPr="00B20210">
        <w:rPr>
          <w:sz w:val="24"/>
          <w:szCs w:val="24"/>
          <w:lang w:val="lt-LT"/>
        </w:rPr>
        <w:t xml:space="preserve">OL L 344, 2001 12 28, p. 93, ELI: </w:t>
      </w:r>
      <w:hyperlink r:id="rId4" w:history="1">
        <w:r w:rsidRPr="00B20210">
          <w:rPr>
            <w:rStyle w:val="Hyperlink"/>
            <w:sz w:val="24"/>
            <w:szCs w:val="24"/>
            <w:lang w:val="lt-LT"/>
          </w:rPr>
          <w:t>http://data.europa.eu/eli/compos/2001/931/oj</w:t>
        </w:r>
      </w:hyperlink>
      <w:r w:rsidRPr="00B20210">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7965235">
    <w:abstractNumId w:val="9"/>
  </w:num>
  <w:num w:numId="2" w16cid:durableId="516041921">
    <w:abstractNumId w:val="9"/>
  </w:num>
  <w:num w:numId="3" w16cid:durableId="810637609">
    <w:abstractNumId w:val="7"/>
  </w:num>
  <w:num w:numId="4" w16cid:durableId="574899560">
    <w:abstractNumId w:val="7"/>
  </w:num>
  <w:num w:numId="5" w16cid:durableId="415564523">
    <w:abstractNumId w:val="6"/>
  </w:num>
  <w:num w:numId="6" w16cid:durableId="1896307967">
    <w:abstractNumId w:val="6"/>
  </w:num>
  <w:num w:numId="7" w16cid:durableId="387339298">
    <w:abstractNumId w:val="5"/>
  </w:num>
  <w:num w:numId="8" w16cid:durableId="850338268">
    <w:abstractNumId w:val="5"/>
  </w:num>
  <w:num w:numId="9" w16cid:durableId="150801214">
    <w:abstractNumId w:val="4"/>
  </w:num>
  <w:num w:numId="10" w16cid:durableId="1308584315">
    <w:abstractNumId w:val="4"/>
  </w:num>
  <w:num w:numId="11" w16cid:durableId="1702050490">
    <w:abstractNumId w:val="8"/>
  </w:num>
  <w:num w:numId="12" w16cid:durableId="871695300">
    <w:abstractNumId w:val="8"/>
  </w:num>
  <w:num w:numId="13" w16cid:durableId="1367752501">
    <w:abstractNumId w:val="3"/>
  </w:num>
  <w:num w:numId="14" w16cid:durableId="1353456876">
    <w:abstractNumId w:val="3"/>
  </w:num>
  <w:num w:numId="15" w16cid:durableId="59644193">
    <w:abstractNumId w:val="2"/>
  </w:num>
  <w:num w:numId="16" w16cid:durableId="1955748443">
    <w:abstractNumId w:val="2"/>
  </w:num>
  <w:num w:numId="17" w16cid:durableId="1070156016">
    <w:abstractNumId w:val="1"/>
  </w:num>
  <w:num w:numId="18" w16cid:durableId="335352402">
    <w:abstractNumId w:val="1"/>
  </w:num>
  <w:num w:numId="19" w16cid:durableId="1220628571">
    <w:abstractNumId w:val="0"/>
  </w:num>
  <w:num w:numId="20" w16cid:durableId="1664897863">
    <w:abstractNumId w:val="0"/>
  </w:num>
  <w:num w:numId="21" w16cid:durableId="938950249">
    <w:abstractNumId w:val="9"/>
  </w:num>
  <w:num w:numId="22" w16cid:durableId="627392776">
    <w:abstractNumId w:val="7"/>
  </w:num>
  <w:num w:numId="23" w16cid:durableId="196046962">
    <w:abstractNumId w:val="6"/>
  </w:num>
  <w:num w:numId="24" w16cid:durableId="831797809">
    <w:abstractNumId w:val="5"/>
  </w:num>
  <w:num w:numId="25" w16cid:durableId="1239629484">
    <w:abstractNumId w:val="4"/>
  </w:num>
  <w:num w:numId="26" w16cid:durableId="1659461122">
    <w:abstractNumId w:val="8"/>
  </w:num>
  <w:num w:numId="27" w16cid:durableId="1335038376">
    <w:abstractNumId w:val="3"/>
  </w:num>
  <w:num w:numId="28" w16cid:durableId="1505702887">
    <w:abstractNumId w:val="2"/>
  </w:num>
  <w:num w:numId="29" w16cid:durableId="1113983535">
    <w:abstractNumId w:val="1"/>
  </w:num>
  <w:num w:numId="30" w16cid:durableId="1527020388">
    <w:abstractNumId w:val="0"/>
  </w:num>
  <w:num w:numId="31" w16cid:durableId="1375697983">
    <w:abstractNumId w:val="9"/>
  </w:num>
  <w:num w:numId="32" w16cid:durableId="2070886119">
    <w:abstractNumId w:val="7"/>
  </w:num>
  <w:num w:numId="33" w16cid:durableId="175274209">
    <w:abstractNumId w:val="6"/>
  </w:num>
  <w:num w:numId="34" w16cid:durableId="1562516224">
    <w:abstractNumId w:val="5"/>
  </w:num>
  <w:num w:numId="35" w16cid:durableId="246809574">
    <w:abstractNumId w:val="4"/>
  </w:num>
  <w:num w:numId="36" w16cid:durableId="1726952224">
    <w:abstractNumId w:val="8"/>
  </w:num>
  <w:num w:numId="37" w16cid:durableId="1434084236">
    <w:abstractNumId w:val="3"/>
  </w:num>
  <w:num w:numId="38" w16cid:durableId="1156536997">
    <w:abstractNumId w:val="2"/>
  </w:num>
  <w:num w:numId="39" w16cid:durableId="585962767">
    <w:abstractNumId w:val="1"/>
  </w:num>
  <w:num w:numId="40" w16cid:durableId="1259828624">
    <w:abstractNumId w:val="0"/>
  </w:num>
  <w:num w:numId="41" w16cid:durableId="794297148">
    <w:abstractNumId w:val="10"/>
  </w:num>
  <w:num w:numId="42" w16cid:durableId="358623507">
    <w:abstractNumId w:val="10"/>
  </w:num>
  <w:num w:numId="43" w16cid:durableId="38944838">
    <w:abstractNumId w:val="10"/>
  </w:num>
  <w:num w:numId="44" w16cid:durableId="1352299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 0144, 0145, 0146 ir 0147/2026"/>
    <w:docVar w:name="dvlangue" w:val="LT"/>
    <w:docVar w:name="dvnumam" w:val="0"/>
    <w:docVar w:name="dvpe" w:val="782.958"/>
    <w:docVar w:name="dvtitre" w:val="2026 m. vasario 24 d. Europos Parlamento rezoliucija dėl ketverius metus trunkančio Rusijos agresijos karo prieš Ukrainą ir Europos indėlio siekiant teisingos taikos ir ilgalaikio saugumo Ukrainoje(2026/2599(RSP))"/>
  </w:docVars>
  <w:rsids>
    <w:rsidRoot w:val="00916177"/>
    <w:rsid w:val="00002272"/>
    <w:rsid w:val="00044149"/>
    <w:rsid w:val="00064002"/>
    <w:rsid w:val="000677B9"/>
    <w:rsid w:val="000831BA"/>
    <w:rsid w:val="000A42CC"/>
    <w:rsid w:val="000E7DD9"/>
    <w:rsid w:val="0010095E"/>
    <w:rsid w:val="00125B37"/>
    <w:rsid w:val="00186C12"/>
    <w:rsid w:val="00187494"/>
    <w:rsid w:val="001B4C22"/>
    <w:rsid w:val="001F32AE"/>
    <w:rsid w:val="002123CA"/>
    <w:rsid w:val="002767FF"/>
    <w:rsid w:val="002B18FE"/>
    <w:rsid w:val="002B5493"/>
    <w:rsid w:val="00314D8C"/>
    <w:rsid w:val="00343214"/>
    <w:rsid w:val="00361C00"/>
    <w:rsid w:val="0039201F"/>
    <w:rsid w:val="00395FA1"/>
    <w:rsid w:val="003E15D4"/>
    <w:rsid w:val="00411CCE"/>
    <w:rsid w:val="0041666E"/>
    <w:rsid w:val="00421060"/>
    <w:rsid w:val="004662F2"/>
    <w:rsid w:val="00471C19"/>
    <w:rsid w:val="004867E3"/>
    <w:rsid w:val="00494A28"/>
    <w:rsid w:val="004C0004"/>
    <w:rsid w:val="004C5D52"/>
    <w:rsid w:val="0050519A"/>
    <w:rsid w:val="005072A1"/>
    <w:rsid w:val="00514517"/>
    <w:rsid w:val="0053119E"/>
    <w:rsid w:val="00545827"/>
    <w:rsid w:val="00560270"/>
    <w:rsid w:val="005C2568"/>
    <w:rsid w:val="005F1B17"/>
    <w:rsid w:val="006037C0"/>
    <w:rsid w:val="006631B6"/>
    <w:rsid w:val="00680577"/>
    <w:rsid w:val="006945D2"/>
    <w:rsid w:val="006B487B"/>
    <w:rsid w:val="006E696F"/>
    <w:rsid w:val="006F74FA"/>
    <w:rsid w:val="00731ADD"/>
    <w:rsid w:val="00734777"/>
    <w:rsid w:val="00747932"/>
    <w:rsid w:val="00751A4A"/>
    <w:rsid w:val="00756632"/>
    <w:rsid w:val="00762C74"/>
    <w:rsid w:val="00774450"/>
    <w:rsid w:val="00786EC0"/>
    <w:rsid w:val="007978A1"/>
    <w:rsid w:val="007D1690"/>
    <w:rsid w:val="007E22AD"/>
    <w:rsid w:val="007F2EA3"/>
    <w:rsid w:val="00817416"/>
    <w:rsid w:val="00842779"/>
    <w:rsid w:val="00860B6A"/>
    <w:rsid w:val="00865F67"/>
    <w:rsid w:val="00870DC8"/>
    <w:rsid w:val="00871664"/>
    <w:rsid w:val="00881A7B"/>
    <w:rsid w:val="008840E5"/>
    <w:rsid w:val="00887B3E"/>
    <w:rsid w:val="008C2AC6"/>
    <w:rsid w:val="00916177"/>
    <w:rsid w:val="00930C23"/>
    <w:rsid w:val="0093193B"/>
    <w:rsid w:val="009509D8"/>
    <w:rsid w:val="00950B64"/>
    <w:rsid w:val="00981893"/>
    <w:rsid w:val="009E1A3F"/>
    <w:rsid w:val="00A1687D"/>
    <w:rsid w:val="00A43E52"/>
    <w:rsid w:val="00A4678D"/>
    <w:rsid w:val="00A778C7"/>
    <w:rsid w:val="00AB441E"/>
    <w:rsid w:val="00AB6293"/>
    <w:rsid w:val="00AC2E31"/>
    <w:rsid w:val="00AE0928"/>
    <w:rsid w:val="00AE3456"/>
    <w:rsid w:val="00AF3B82"/>
    <w:rsid w:val="00B12E95"/>
    <w:rsid w:val="00B20210"/>
    <w:rsid w:val="00B22876"/>
    <w:rsid w:val="00B558F0"/>
    <w:rsid w:val="00BD48FE"/>
    <w:rsid w:val="00BD7BD8"/>
    <w:rsid w:val="00BE6ADC"/>
    <w:rsid w:val="00C05BFE"/>
    <w:rsid w:val="00C23CD4"/>
    <w:rsid w:val="00C61C0C"/>
    <w:rsid w:val="00C83590"/>
    <w:rsid w:val="00C941CB"/>
    <w:rsid w:val="00CC2357"/>
    <w:rsid w:val="00CF071A"/>
    <w:rsid w:val="00D058B8"/>
    <w:rsid w:val="00D463BC"/>
    <w:rsid w:val="00D56C11"/>
    <w:rsid w:val="00D834A0"/>
    <w:rsid w:val="00D872DF"/>
    <w:rsid w:val="00D91E21"/>
    <w:rsid w:val="00DA7FCD"/>
    <w:rsid w:val="00DE65D0"/>
    <w:rsid w:val="00E365E1"/>
    <w:rsid w:val="00E50607"/>
    <w:rsid w:val="00E820A4"/>
    <w:rsid w:val="00EB006A"/>
    <w:rsid w:val="00EB4772"/>
    <w:rsid w:val="00ED164B"/>
    <w:rsid w:val="00ED169E"/>
    <w:rsid w:val="00ED4235"/>
    <w:rsid w:val="00F04346"/>
    <w:rsid w:val="00F075DC"/>
    <w:rsid w:val="00F149E9"/>
    <w:rsid w:val="00F5134D"/>
    <w:rsid w:val="00F74202"/>
    <w:rsid w:val="00F87713"/>
    <w:rsid w:val="00FB4360"/>
    <w:rsid w:val="00FB4C4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3BDE6"/>
  <w15:chartTrackingRefBased/>
  <w15:docId w15:val="{C445225D-F10E-408C-99C8-56FAE4D3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4149"/>
    <w:pPr>
      <w:spacing w:after="240"/>
      <w:ind w:left="567" w:hanging="567"/>
    </w:pPr>
  </w:style>
  <w:style w:type="paragraph" w:customStyle="1" w:styleId="EPComma">
    <w:name w:val="EPComma"/>
    <w:basedOn w:val="Normal"/>
    <w:link w:val="EPCommaChar"/>
    <w:rsid w:val="00044149"/>
    <w:pPr>
      <w:spacing w:before="480" w:after="240"/>
    </w:pPr>
  </w:style>
  <w:style w:type="character" w:customStyle="1" w:styleId="EPCommaChar">
    <w:name w:val="EPComma Char"/>
    <w:basedOn w:val="DefaultParagraphFont"/>
    <w:link w:val="EPComma"/>
    <w:rsid w:val="00044149"/>
    <w:rPr>
      <w:sz w:val="24"/>
      <w:lang w:val="lt-LT"/>
    </w:rPr>
  </w:style>
  <w:style w:type="character" w:styleId="Hyperlink">
    <w:name w:val="Hyperlink"/>
    <w:basedOn w:val="DefaultParagraphFont"/>
    <w:rsid w:val="00044149"/>
    <w:rPr>
      <w:color w:val="0563C1" w:themeColor="hyperlink"/>
      <w:u w:val="single"/>
    </w:rPr>
  </w:style>
  <w:style w:type="paragraph" w:styleId="Revision">
    <w:name w:val="Revision"/>
    <w:hidden/>
    <w:uiPriority w:val="99"/>
    <w:semiHidden/>
    <w:rsid w:val="00314D8C"/>
    <w:rPr>
      <w:sz w:val="24"/>
      <w:lang w:val="lt-LT"/>
    </w:rPr>
  </w:style>
  <w:style w:type="character" w:styleId="CommentReference">
    <w:name w:val="annotation reference"/>
    <w:basedOn w:val="DefaultParagraphFont"/>
    <w:rsid w:val="00DE65D0"/>
    <w:rPr>
      <w:sz w:val="16"/>
      <w:szCs w:val="16"/>
    </w:rPr>
  </w:style>
  <w:style w:type="paragraph" w:styleId="CommentText">
    <w:name w:val="annotation text"/>
    <w:basedOn w:val="Normal"/>
    <w:link w:val="CommentTextChar"/>
    <w:rsid w:val="00DE65D0"/>
    <w:rPr>
      <w:sz w:val="20"/>
    </w:rPr>
  </w:style>
  <w:style w:type="character" w:customStyle="1" w:styleId="CommentTextChar">
    <w:name w:val="Comment Text Char"/>
    <w:basedOn w:val="DefaultParagraphFont"/>
    <w:link w:val="CommentText"/>
    <w:rsid w:val="00DE65D0"/>
    <w:rPr>
      <w:lang w:val="lt-LT"/>
    </w:rPr>
  </w:style>
  <w:style w:type="paragraph" w:styleId="CommentSubject">
    <w:name w:val="annotation subject"/>
    <w:basedOn w:val="CommentText"/>
    <w:next w:val="CommentText"/>
    <w:link w:val="CommentSubjectChar"/>
    <w:rsid w:val="00DE65D0"/>
    <w:rPr>
      <w:b/>
      <w:bCs/>
    </w:rPr>
  </w:style>
  <w:style w:type="character" w:customStyle="1" w:styleId="CommentSubjectChar">
    <w:name w:val="Comment Subject Char"/>
    <w:basedOn w:val="CommentTextChar"/>
    <w:link w:val="CommentSubject"/>
    <w:rsid w:val="00DE65D0"/>
    <w:rPr>
      <w:b/>
      <w:bCs/>
      <w:lang w:val="lt-LT"/>
    </w:rPr>
  </w:style>
  <w:style w:type="character" w:styleId="UnresolvedMention">
    <w:name w:val="Unresolved Mention"/>
    <w:basedOn w:val="DefaultParagraphFont"/>
    <w:uiPriority w:val="99"/>
    <w:semiHidden/>
    <w:unhideWhenUsed/>
    <w:rsid w:val="007F2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3082</Words>
  <Characters>21368</Characters>
  <Application>Microsoft Office Word</Application>
  <DocSecurity>0</DocSecurity>
  <Lines>178</Lines>
  <Paragraphs>48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TA</vt:lpstr>
      <vt:lpstr>P10_TA(2026)0000</vt:lpstr>
      <vt:lpstr>    Ketverius metus trunkantis Rusijos agresijos karas prieš Ukrainą ir Europos indė</vt:lpstr>
      <vt:lpstr>    taikos ir ilgalaikio saugumo Ukrainoje</vt:lpstr>
      <vt:lpstr>        2026 m. vasario 24 d. Europos Parlamento rezoliucija dėl ketverius metus trunkan</vt:lpstr>
      <vt:lpstr>        </vt:lpstr>
    </vt:vector>
  </TitlesOfParts>
  <Company/>
  <LinksUpToDate>false</LinksUpToDate>
  <CharactersWithSpaces>24402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2026-02-24T12:32:00Z</dcterms:created>
  <dcterms:modified xsi:type="dcterms:W3CDTF">2026-02-24T12:32:00Z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B10-0143, 0144, 0145, 0146 ir 0147/2026</vt:lpwstr>
  </property>
  <property fmtid="{D5CDD505-2E9C-101B-9397-08002B2CF9AE}" pid="4" name="&lt;Type&gt;">
    <vt:lpwstr>RR</vt:lpwstr>
  </property>
</Properties>
</file>