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6183" w14:paraId="7A31D817" w14:textId="77777777" w:rsidTr="0010095E">
        <w:trPr>
          <w:trHeight w:hRule="exact" w:val="1418"/>
        </w:trPr>
        <w:tc>
          <w:tcPr>
            <w:tcW w:w="6804" w:type="dxa"/>
            <w:shd w:val="clear" w:color="auto" w:fill="auto"/>
            <w:vAlign w:val="center"/>
          </w:tcPr>
          <w:p w14:paraId="3F53DC6D" w14:textId="0C3A1414" w:rsidR="00751A4A" w:rsidRPr="005F6183" w:rsidRDefault="00EF6E49" w:rsidP="0010095E">
            <w:pPr>
              <w:pStyle w:val="EPName"/>
            </w:pPr>
            <w:r w:rsidRPr="005F6183">
              <w:t>Europaparlamentet</w:t>
            </w:r>
          </w:p>
          <w:p w14:paraId="0F3C1DFD" w14:textId="77777777" w:rsidR="00751A4A" w:rsidRPr="005F6183" w:rsidRDefault="005F1B17" w:rsidP="005F1B17">
            <w:pPr>
              <w:pStyle w:val="EPTerm"/>
              <w:rPr>
                <w:rStyle w:val="HideTWBExt"/>
                <w:noProof w:val="0"/>
                <w:vanish w:val="0"/>
                <w:color w:val="auto"/>
              </w:rPr>
            </w:pPr>
            <w:r w:rsidRPr="005F6183">
              <w:t>2024</w:t>
            </w:r>
            <w:r w:rsidR="00817416" w:rsidRPr="005F6183">
              <w:t>-202</w:t>
            </w:r>
            <w:r w:rsidRPr="005F6183">
              <w:t>9</w:t>
            </w:r>
          </w:p>
        </w:tc>
        <w:tc>
          <w:tcPr>
            <w:tcW w:w="2268" w:type="dxa"/>
            <w:shd w:val="clear" w:color="auto" w:fill="auto"/>
          </w:tcPr>
          <w:p w14:paraId="105724F7" w14:textId="77777777" w:rsidR="00751A4A" w:rsidRPr="005F6183" w:rsidRDefault="00187494" w:rsidP="0010095E">
            <w:pPr>
              <w:pStyle w:val="EPLogo"/>
            </w:pPr>
            <w:r w:rsidRPr="005F6183">
              <w:rPr>
                <w:noProof/>
                <w:lang w:eastAsia="ja-JP"/>
              </w:rPr>
              <w:drawing>
                <wp:inline distT="0" distB="0" distL="0" distR="0" wp14:anchorId="601C3C3E" wp14:editId="36400C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3BEBAE" w14:textId="77777777" w:rsidR="00D058B8" w:rsidRPr="005F6183" w:rsidRDefault="00D058B8" w:rsidP="004C5D52">
      <w:pPr>
        <w:pStyle w:val="LineTop"/>
      </w:pPr>
    </w:p>
    <w:p w14:paraId="46CD5FD5" w14:textId="2AFCE4D1" w:rsidR="00680577" w:rsidRPr="005F6183" w:rsidRDefault="00EF6E49" w:rsidP="00680577">
      <w:pPr>
        <w:pStyle w:val="EPBodyTA1"/>
      </w:pPr>
      <w:r w:rsidRPr="005F6183">
        <w:t>ANTAGNA TEXTER</w:t>
      </w:r>
    </w:p>
    <w:p w14:paraId="4FE23E40" w14:textId="77777777" w:rsidR="00D058B8" w:rsidRPr="005F6183" w:rsidRDefault="00D058B8" w:rsidP="00D058B8">
      <w:pPr>
        <w:pStyle w:val="LineBottom"/>
      </w:pPr>
    </w:p>
    <w:p w14:paraId="671D6EE2" w14:textId="2237707B" w:rsidR="00EF6E49" w:rsidRPr="005F6183" w:rsidRDefault="00EF6E49" w:rsidP="00EF6E49">
      <w:pPr>
        <w:pStyle w:val="ATHeading1"/>
      </w:pPr>
      <w:bookmarkStart w:id="0" w:name="TANumber"/>
      <w:r w:rsidRPr="005F6183">
        <w:t>P10_TA(2026)00</w:t>
      </w:r>
      <w:bookmarkEnd w:id="0"/>
      <w:r w:rsidR="005B381D" w:rsidRPr="005F6183">
        <w:t>56</w:t>
      </w:r>
    </w:p>
    <w:p w14:paraId="289F50C3" w14:textId="77777777" w:rsidR="00EF6E49" w:rsidRPr="005F6183" w:rsidRDefault="00EF6E49" w:rsidP="00EF6E49">
      <w:pPr>
        <w:pStyle w:val="ATHeading2"/>
      </w:pPr>
      <w:bookmarkStart w:id="1" w:name="title"/>
      <w:r w:rsidRPr="005F6183">
        <w:t>Fyra år av Rysslands anfallskrig mot Ukraina och de europeiska bidragen till en rättvis fred och varaktig säkerhet för Ukraina</w:t>
      </w:r>
      <w:bookmarkEnd w:id="1"/>
    </w:p>
    <w:p w14:paraId="733AB531" w14:textId="5A81A0CF" w:rsidR="00EF6E49" w:rsidRPr="005F6183" w:rsidRDefault="00EF6E49" w:rsidP="00EF6E49">
      <w:pPr>
        <w:rPr>
          <w:i/>
          <w:vanish/>
        </w:rPr>
      </w:pPr>
      <w:r w:rsidRPr="005F6183">
        <w:rPr>
          <w:i/>
        </w:rPr>
        <w:fldChar w:fldCharType="begin"/>
      </w:r>
      <w:r w:rsidRPr="005F6183">
        <w:rPr>
          <w:i/>
        </w:rPr>
        <w:instrText xml:space="preserve"> TC"(</w:instrText>
      </w:r>
      <w:bookmarkStart w:id="2" w:name="DocNumber"/>
      <w:r w:rsidR="00964B8F" w:rsidRPr="005F6183">
        <w:rPr>
          <w:i/>
        </w:rPr>
        <w:instrText>B10-0143, 0144, 0145, 0146 och 0147/2026</w:instrText>
      </w:r>
      <w:bookmarkEnd w:id="2"/>
      <w:r w:rsidRPr="005F6183">
        <w:rPr>
          <w:i/>
        </w:rPr>
        <w:instrText xml:space="preserve">)"\l3 \n&gt; \* MERGEFORMAT </w:instrText>
      </w:r>
      <w:r w:rsidRPr="005F6183">
        <w:rPr>
          <w:i/>
        </w:rPr>
        <w:fldChar w:fldCharType="end"/>
      </w:r>
    </w:p>
    <w:p w14:paraId="2FE16527" w14:textId="77777777" w:rsidR="00EF6E49" w:rsidRPr="005F6183" w:rsidRDefault="00EF6E49" w:rsidP="00EF6E49">
      <w:pPr>
        <w:rPr>
          <w:vanish/>
        </w:rPr>
      </w:pPr>
      <w:bookmarkStart w:id="3" w:name="PE"/>
      <w:r w:rsidRPr="005F6183">
        <w:rPr>
          <w:vanish/>
        </w:rPr>
        <w:t>PE782.958</w:t>
      </w:r>
      <w:bookmarkEnd w:id="3"/>
    </w:p>
    <w:p w14:paraId="1E98D869" w14:textId="699C026C" w:rsidR="00EF6E49" w:rsidRPr="005F6183" w:rsidRDefault="00EF6E49" w:rsidP="00EF6E49">
      <w:pPr>
        <w:pStyle w:val="ATHeading3"/>
      </w:pPr>
      <w:bookmarkStart w:id="4" w:name="Sujet"/>
      <w:r w:rsidRPr="005F6183">
        <w:t xml:space="preserve">Europaparlamentets resolution av den </w:t>
      </w:r>
      <w:r w:rsidR="00964B8F" w:rsidRPr="005F6183">
        <w:t>24 februari</w:t>
      </w:r>
      <w:r w:rsidRPr="005F6183">
        <w:t xml:space="preserve"> 2026 om fyra år av Rysslands anfallskrig mot Ukraina och de europeiska bidragen till en rättvis fred och varaktig säkerhet för Ukraina</w:t>
      </w:r>
      <w:bookmarkEnd w:id="4"/>
      <w:r w:rsidRPr="005F6183">
        <w:t xml:space="preserve"> </w:t>
      </w:r>
      <w:bookmarkStart w:id="5" w:name="References"/>
      <w:r w:rsidRPr="005F6183">
        <w:t>(2026/2599(RSP))</w:t>
      </w:r>
      <w:bookmarkEnd w:id="5"/>
    </w:p>
    <w:p w14:paraId="7FCE37CF" w14:textId="77777777" w:rsidR="00680672" w:rsidRPr="005F6183" w:rsidRDefault="00680672" w:rsidP="00680672">
      <w:pPr>
        <w:pStyle w:val="EPComma"/>
        <w:widowControl/>
      </w:pPr>
      <w:r w:rsidRPr="005F6183">
        <w:rPr>
          <w:i/>
          <w:iCs/>
        </w:rPr>
        <w:t>Europaparlamentet utfärdar denna resolution</w:t>
      </w:r>
    </w:p>
    <w:p w14:paraId="253FEC8C" w14:textId="77777777" w:rsidR="00680672" w:rsidRPr="005F6183" w:rsidRDefault="00680672" w:rsidP="00680672">
      <w:pPr>
        <w:pStyle w:val="NormalHanging12a"/>
        <w:widowControl/>
      </w:pPr>
      <w:r w:rsidRPr="005F6183">
        <w:t>–</w:t>
      </w:r>
      <w:r w:rsidRPr="005F6183">
        <w:tab/>
        <w:t>med beaktande av sina tidigare resolutioner om Ukraina och Ryssland,</w:t>
      </w:r>
    </w:p>
    <w:p w14:paraId="20628383" w14:textId="77777777" w:rsidR="00680672" w:rsidRPr="005F6183" w:rsidRDefault="00680672" w:rsidP="00680672">
      <w:pPr>
        <w:pStyle w:val="NormalHanging12a"/>
        <w:widowControl/>
      </w:pPr>
      <w:r w:rsidRPr="005F6183">
        <w:t>–</w:t>
      </w:r>
      <w:r w:rsidRPr="005F6183">
        <w:tab/>
        <w:t>med beaktande av artiklarna 167.2 och 136.4 i arbetsordningen, och av följande skäl:</w:t>
      </w:r>
    </w:p>
    <w:p w14:paraId="7E5C0B75" w14:textId="2115C7B9" w:rsidR="00680672" w:rsidRPr="005F6183" w:rsidRDefault="00680672" w:rsidP="00680672">
      <w:pPr>
        <w:pStyle w:val="NormalHanging12a"/>
        <w:widowControl/>
      </w:pPr>
      <w:r w:rsidRPr="005F6183">
        <w:t>A.</w:t>
      </w:r>
      <w:r w:rsidRPr="005F6183">
        <w:tab/>
        <w:t xml:space="preserve">För fyra år sedan, den 24 februari 2022, inledde Ryska federationen ett brutalt, oprovocerat, oberättigat och olagligt anfallskrig mot Ukraina. Rysslands angrepp mot Ukraina inleddes 2014 med ockupationen av delar av regionen </w:t>
      </w:r>
      <w:proofErr w:type="spellStart"/>
      <w:r w:rsidRPr="005F6183">
        <w:t>Donbas</w:t>
      </w:r>
      <w:proofErr w:type="spellEnd"/>
      <w:r w:rsidRPr="005F6183">
        <w:t xml:space="preserve"> och annekteringen av Krim.</w:t>
      </w:r>
    </w:p>
    <w:p w14:paraId="2C3083A9" w14:textId="77777777" w:rsidR="00680672" w:rsidRPr="005F6183" w:rsidRDefault="00680672" w:rsidP="00680672">
      <w:pPr>
        <w:pStyle w:val="NormalHanging12a"/>
        <w:widowControl/>
      </w:pPr>
      <w:r w:rsidRPr="005F6183">
        <w:t>B.</w:t>
      </w:r>
      <w:r w:rsidRPr="005F6183">
        <w:tab/>
        <w:t>Trots ett brett internationellt fördömande och sanktioner utan motstycke trappar Ryssland upp sina krigsinsatser genom riktade attacker mot kritisk energiinfrastruktur, bostadshus och civil infrastruktur. Miljontals människor i Ukraina försöker överleva de mycket kalla vintertemperaturerna med begränsad tillgång till elektricitet, uppvärmning och rinnande vatten. De miljöskador som Ryssland orsakat under de senaste fyra åren har också fått förödande konsekvenser för Ukrainas naturresurser och kritiska ekosystem samt för dess befolknings hälsa, försörjningsmöjligheter och säkerhet.</w:t>
      </w:r>
    </w:p>
    <w:p w14:paraId="5C37C37C" w14:textId="77777777" w:rsidR="00680672" w:rsidRPr="005F6183" w:rsidRDefault="00680672" w:rsidP="00680672">
      <w:pPr>
        <w:pStyle w:val="NormalHanging12a"/>
        <w:widowControl/>
      </w:pPr>
      <w:r w:rsidRPr="005F6183">
        <w:t>C.</w:t>
      </w:r>
      <w:r w:rsidRPr="005F6183">
        <w:tab/>
        <w:t xml:space="preserve">Iran, Nordkorea och Belarus, har levererat stora mängder vapen och ammunition till Ryssland, och Belarus har låtit Ryssland använda </w:t>
      </w:r>
      <w:proofErr w:type="spellStart"/>
      <w:r w:rsidRPr="005F6183">
        <w:t>belarusiskt</w:t>
      </w:r>
      <w:proofErr w:type="spellEnd"/>
      <w:r w:rsidRPr="005F6183">
        <w:t xml:space="preserve"> territorium för att attackera Ukraina, vilket utgör en aggressionshandling enligt folkrätten. Kina har blivit en viktig möjliggörande faktor för Rysslands krigsinsatser genom sitt ekonomiska och försvarsindustriella stöd. Tusentals kubanska och andra utländska medborgare strider tillsammans med ryska trupper i Ukraina. Legosoldater och frivilliga rekryter inberäknade strider enligt uppgift över 1 400 medborgare från 36 afrikanska nationer för Ryssland.</w:t>
      </w:r>
    </w:p>
    <w:p w14:paraId="625344C3" w14:textId="77777777" w:rsidR="00680672" w:rsidRPr="005F6183" w:rsidRDefault="00680672" w:rsidP="00680672">
      <w:pPr>
        <w:pStyle w:val="NormalHanging12a"/>
        <w:widowControl/>
      </w:pPr>
      <w:r w:rsidRPr="005F6183">
        <w:t>D.</w:t>
      </w:r>
      <w:r w:rsidRPr="005F6183">
        <w:tab/>
        <w:t xml:space="preserve">Wagnergruppen och dess efterföljare har systematiskt tillgripit tortyr och utomrättsliga avrättningar, använt sexuellt våld som ett krigsvapen och genomfört </w:t>
      </w:r>
      <w:r w:rsidRPr="005F6183">
        <w:lastRenderedPageBreak/>
        <w:t>destabiliseringsoperationer i hela Ukraina. EU:s sanktioner mot personer och enheter med anknytning till Wagnergruppen är fortfarande otillräckliga för att åtala rekryterare, kombattanter och anhängare, som inom ramen för de nuvarande åtgärderna inte omfattas av några straffrättsliga påföljder.</w:t>
      </w:r>
    </w:p>
    <w:p w14:paraId="2F81C914" w14:textId="77777777" w:rsidR="00680672" w:rsidRPr="005F6183" w:rsidRDefault="00680672" w:rsidP="00680672">
      <w:pPr>
        <w:pStyle w:val="NormalHanging12a"/>
        <w:widowControl/>
      </w:pPr>
      <w:r w:rsidRPr="005F6183">
        <w:t>E.</w:t>
      </w:r>
      <w:r w:rsidRPr="005F6183">
        <w:tab/>
        <w:t>Ukraina och internationella organ har dokumenterat hundratals fall av ukrainska krigsfångar som avrättats av ryska styrkor. Dessa avrättningar utgör allvarliga kränkningar av folkrätten och mänskliga rättigheter och erkänns uttryckligen som krigsförbrytelser i Genèvekonventionerna och Romstadgan för Internationella brottmålsdomstolen.</w:t>
      </w:r>
    </w:p>
    <w:p w14:paraId="210BCEBF" w14:textId="77777777" w:rsidR="00680672" w:rsidRPr="005F6183" w:rsidRDefault="00680672" w:rsidP="00680672">
      <w:pPr>
        <w:pStyle w:val="NormalHanging12a"/>
        <w:widowControl/>
      </w:pPr>
      <w:r w:rsidRPr="005F6183">
        <w:t>F.</w:t>
      </w:r>
      <w:r w:rsidRPr="005F6183">
        <w:tab/>
        <w:t>Ryssland har vid upprepade tillfällen ägnat sig åt avsiktlig hybridkrigföring i hela EU, bland annat i form av cyberattacker, desinformationskampanjer och valinblandning, samt åt militära provokationer, bland annat kränkningar av luftrummet med stridsflygplan och långdistansstridsdrönare.</w:t>
      </w:r>
    </w:p>
    <w:p w14:paraId="5D073DFE" w14:textId="77777777" w:rsidR="00680672" w:rsidRPr="005F6183" w:rsidRDefault="00680672" w:rsidP="00680672">
      <w:pPr>
        <w:pStyle w:val="NormalHanging12a"/>
        <w:widowControl/>
        <w:rPr>
          <w:bCs/>
        </w:rPr>
      </w:pPr>
      <w:r w:rsidRPr="005F6183">
        <w:t>G.</w:t>
      </w:r>
      <w:r w:rsidRPr="005F6183">
        <w:tab/>
        <w:t>Det ryska anfallskriget mot Ukraina har allvarligt undergrävt den europeiska och globala säkerheten och utgör en del av en bredare imperialistisk och expansionistisk agenda. Ett fredsavtal måste bygga på trovärdiga och tillförlitliga säkerhetsgarantier för att förhindra och omedelbart motverka eventuell förnyad rysk aggression.</w:t>
      </w:r>
    </w:p>
    <w:p w14:paraId="79E2137C" w14:textId="77777777" w:rsidR="00680672" w:rsidRPr="005F6183" w:rsidRDefault="00680672" w:rsidP="00680672">
      <w:pPr>
        <w:pStyle w:val="NormalHanging12a"/>
        <w:widowControl/>
      </w:pPr>
      <w:r w:rsidRPr="005F6183">
        <w:t>H.</w:t>
      </w:r>
      <w:r w:rsidRPr="005F6183">
        <w:tab/>
        <w:t>Minst 20 000, och eventuellt upp till 35 000, ukrainska barn har tvångsdeporterats till Ryssland och Belarus eller frihetsberövats i de tillfälligt ockuperade ukrainska territorierna.</w:t>
      </w:r>
    </w:p>
    <w:p w14:paraId="7112708F" w14:textId="77777777" w:rsidR="00680672" w:rsidRPr="005F6183" w:rsidRDefault="00680672" w:rsidP="00680672">
      <w:pPr>
        <w:pStyle w:val="NormalHanging12a"/>
        <w:widowControl/>
      </w:pPr>
      <w:r w:rsidRPr="005F6183">
        <w:t>I.</w:t>
      </w:r>
      <w:r w:rsidRPr="005F6183">
        <w:tab/>
        <w:t>Det ryska försvarsministeriets militärpolis, den federala säkerhetstjänsten och den federala kriminalvårdsmyndigheten håller ett obestämt antal ukrainska krigsfångar och civila fängslade i isoleringscell, och ukrainska människorättsorganisationer uppskattar att upp till 16 000 ukrainska civila olagligen har frihetsberövats.</w:t>
      </w:r>
    </w:p>
    <w:p w14:paraId="6B75092B" w14:textId="77777777" w:rsidR="00680672" w:rsidRPr="005F6183" w:rsidRDefault="00680672" w:rsidP="00680672">
      <w:pPr>
        <w:pStyle w:val="NormalHanging12a"/>
        <w:widowControl/>
      </w:pPr>
      <w:r w:rsidRPr="005F6183">
        <w:t>J.</w:t>
      </w:r>
      <w:r w:rsidRPr="005F6183">
        <w:tab/>
        <w:t>Vissa medlemsstater betalar fortfarande Ryssland för fossila bränslen varje månad, och bara i december 2025 spenderade de 1,3 miljarder EUR på ryska fossila bränslen. EU är fortfarande den största köparen av rysk flytande naturgas (LNG) och gas i rörledning, och står för nästan hälften (49 %) av Rysslands totala LNG-export och 35 % av Rysslands export av gas i rörledning.</w:t>
      </w:r>
    </w:p>
    <w:p w14:paraId="03EDB421" w14:textId="77777777" w:rsidR="00680672" w:rsidRPr="005F6183" w:rsidRDefault="00680672" w:rsidP="00680672">
      <w:pPr>
        <w:pStyle w:val="NormalHanging12a"/>
        <w:widowControl/>
      </w:pPr>
      <w:r w:rsidRPr="005F6183">
        <w:t>1.</w:t>
      </w:r>
      <w:r w:rsidRPr="005F6183">
        <w:tab/>
        <w:t>Europaparlamentet hyllar de tusentals människor som har offrat sina liv för ett fritt och demokratiskt Ukraina och till försvar av våra gemensamma europeiska värden under de fyra år som Rysslands anfallskrig pågått. Parlamentet betonar att Ukrainas motståndskraft bär varaktigt vittnesbörd om demokratins styrka när den ställs mot tyranni. Parlamentet upprepar sin orubbliga solidaritet med det ukrainska folket och sitt stöd för dess oberoende, suveränitet och territoriella integritet inom landets internationellt erkända gränser. Parlamentet upprepar sitt fulla stöd för en rättvis, omfattande och varaktig fred i Ukraina, som bygger på villkor som bestämts av Ukraina och som är godtagbara för landets befolkning. Parlamentet understryker med kraft Ukrainas naturliga rätt till självförsvar i överensstämmelse med artikel 51 i FN-stadgan. Parlamentet upprepar sin fasta övertygelse att Rysslands aggression måste misslyckas och att Ukraina måste segra.</w:t>
      </w:r>
    </w:p>
    <w:p w14:paraId="5124130E" w14:textId="77777777" w:rsidR="00680672" w:rsidRPr="005F6183" w:rsidRDefault="00680672" w:rsidP="00680672">
      <w:pPr>
        <w:pStyle w:val="NormalHanging12a"/>
        <w:widowControl/>
      </w:pPr>
      <w:r w:rsidRPr="005F6183">
        <w:t>2.</w:t>
      </w:r>
      <w:r w:rsidRPr="005F6183">
        <w:tab/>
        <w:t xml:space="preserve">Europaparlamentet understryker att Rysslands olagliga, oprovocerade och oberättigade anfallskrig mot Ukraina är en uppenbar kränkning av folkrätten och FN-stadgan och ett </w:t>
      </w:r>
      <w:r w:rsidRPr="005F6183">
        <w:lastRenderedPageBreak/>
        <w:t xml:space="preserve">exempellöst angrepp på den europeiska säkerhetsordningen. Parlamentet understryker att Ryssland, dess ledarskap och allierade, såsom den </w:t>
      </w:r>
      <w:proofErr w:type="spellStart"/>
      <w:r w:rsidRPr="005F6183">
        <w:t>belarusiska</w:t>
      </w:r>
      <w:proofErr w:type="spellEnd"/>
      <w:r w:rsidRPr="005F6183">
        <w:t xml:space="preserve"> regimen, bär fullt ansvar för kriget, krigsförbrytelserna och aggressionsbrottet, och efterlyser att de ska hållas fullständig ansvarsskyldiga.</w:t>
      </w:r>
    </w:p>
    <w:p w14:paraId="6FFBDB59" w14:textId="77777777" w:rsidR="00680672" w:rsidRPr="005F6183" w:rsidRDefault="00680672" w:rsidP="00680672">
      <w:pPr>
        <w:pStyle w:val="NormalHanging12a"/>
        <w:widowControl/>
      </w:pPr>
      <w:r w:rsidRPr="005F6183">
        <w:t>3.</w:t>
      </w:r>
      <w:r w:rsidRPr="005F6183">
        <w:tab/>
        <w:t xml:space="preserve">Europaparlamentet upprepar sitt allra skarpaste fördömande av Rysslands brutala anfallskrig mot Ukraina och inblandningen av Nordkorea och Iran. Parlamentet kräver att Ryssland och dess </w:t>
      </w:r>
      <w:proofErr w:type="spellStart"/>
      <w:r w:rsidRPr="005F6183">
        <w:t>proxystyrkor</w:t>
      </w:r>
      <w:proofErr w:type="spellEnd"/>
      <w:r w:rsidRPr="005F6183">
        <w:t xml:space="preserve"> omedelbart, fullständigt och villkorslöst upphör med all militär verksamhet i Ukraina, upphör med alla attacker mot bostadsområden och civil infrastruktur, drar tillbaka samtliga militära styrkor och </w:t>
      </w:r>
      <w:proofErr w:type="spellStart"/>
      <w:r w:rsidRPr="005F6183">
        <w:t>proxyaktörer</w:t>
      </w:r>
      <w:proofErr w:type="spellEnd"/>
      <w:r w:rsidRPr="005F6183">
        <w:t xml:space="preserve"> och all militär utrustning från hela Ukrainas internationellt erkända territorium, friger och återbördar alla krigsfångar, politiska fångar, kidnappade barn och civila och permanent upphör med att kränka eller hota Ukrainas suveränitet, oberoende och territoriella integritet. Parlamentet upprepar att EU kommer att fortsätta att inte erkänna Ukrainas tillfälligt ockuperade territorier som ryskt territorium.</w:t>
      </w:r>
    </w:p>
    <w:p w14:paraId="2C1AC850" w14:textId="77777777" w:rsidR="00680672" w:rsidRPr="005F6183" w:rsidRDefault="00680672" w:rsidP="00680672">
      <w:pPr>
        <w:pStyle w:val="NormalHanging12a"/>
        <w:widowControl/>
      </w:pPr>
      <w:r w:rsidRPr="005F6183">
        <w:t>4.</w:t>
      </w:r>
      <w:r w:rsidRPr="005F6183">
        <w:tab/>
        <w:t>Europaparlamentet bekräftar återigen att Ukrainas framtid ligger i EU. Parlamentet erkänner Ukrainas europeiska integration som en strategisk prioritering för EU och uppmanar EU och dess medlemsstater att förbereda sig inför en framtida utvidgning genom att genomföra interna reformer och utveckla en tydlig utvidgningsstrategi. Parlamentet understryker vikten av att påskynda Ukrainas gradvisa integrering i EU:s inre marknad.</w:t>
      </w:r>
    </w:p>
    <w:p w14:paraId="1A837CF5" w14:textId="77777777" w:rsidR="00680672" w:rsidRPr="005F6183" w:rsidRDefault="00680672" w:rsidP="00680672">
      <w:pPr>
        <w:pStyle w:val="NormalHanging12a"/>
        <w:widowControl/>
      </w:pPr>
      <w:r w:rsidRPr="005F6183">
        <w:t>5.</w:t>
      </w:r>
      <w:r w:rsidRPr="005F6183">
        <w:tab/>
        <w:t>Europaparlamentet uppmanar med kraft EU och dess medlemsstater att ta större ansvar för säkerheten på den europeiska kontinenten och att fortsätta ge Ukraina orubbligt stöd. Parlamentet betonar att varje överenskommelse som syftar till att få ett slut på Rysslands anfallskrig mot Ukraina sträcker sig långt utöver Ryssland och Ukraina, med djupgående konsekvenser för den europeiska säkerhetsordningen i stort. Parlamentet insisterar på att inget som gäller Ukraina bör beslutas utan Ukraina och inget som gäller Europa utan Europa.</w:t>
      </w:r>
    </w:p>
    <w:p w14:paraId="452B98A1" w14:textId="0A1A3E6B" w:rsidR="005B381D" w:rsidRPr="005F6183" w:rsidRDefault="005B381D" w:rsidP="00680672">
      <w:pPr>
        <w:pStyle w:val="NormalHanging12a"/>
        <w:widowControl/>
        <w:rPr>
          <w:bCs/>
          <w:iCs/>
        </w:rPr>
      </w:pPr>
      <w:r w:rsidRPr="005F6183">
        <w:rPr>
          <w:bCs/>
          <w:iCs/>
        </w:rPr>
        <w:t>6.</w:t>
      </w:r>
      <w:r w:rsidRPr="005F6183">
        <w:rPr>
          <w:bCs/>
          <w:iCs/>
        </w:rPr>
        <w:tab/>
      </w:r>
      <w:bookmarkStart w:id="6" w:name="_Hlk222477716"/>
      <w:r w:rsidRPr="005F6183">
        <w:rPr>
          <w:bCs/>
          <w:iCs/>
        </w:rPr>
        <w:t>Europaparlamentet välkomnar antagandet av den lag som kommer att göra det möjligt för ortodoxa församlingar från Ukraina att avvika från Moskvapatriarkatets jurisdiktion och fritt besluta om sin nya hierarkiska tillhörighet. Parlamentet noterar att rumänska ortodoxa församlingar i Ukraina i augusti 2024 lämnade in en begäran om erkännande av den ”rumänska ortodoxa kyrkan i Ukraina” som en religiös förening, så att rumänska ortodoxa församlingar som avviker från Moskvapatriarkatets jurisdiktion skulle kunna ansluta sig till den.</w:t>
      </w:r>
      <w:bookmarkEnd w:id="6"/>
    </w:p>
    <w:p w14:paraId="415D78F4" w14:textId="4D8B6C64" w:rsidR="00680672" w:rsidRPr="005F6183" w:rsidRDefault="00F90E54" w:rsidP="00680672">
      <w:pPr>
        <w:pStyle w:val="NormalHanging12a"/>
        <w:widowControl/>
      </w:pPr>
      <w:r w:rsidRPr="005F6183">
        <w:t>7</w:t>
      </w:r>
      <w:r w:rsidR="00680672" w:rsidRPr="005F6183">
        <w:t>.</w:t>
      </w:r>
      <w:r w:rsidR="00680672" w:rsidRPr="005F6183">
        <w:tab/>
        <w:t>Europaparlamentet uppmanar EU, medlemsstaterna, deras transatlantiska allierade och internationella partner att göra ännu mer effektiva militära, politiska och diplomatiska insatser, och i synnerhet att kraftigt öka det militära stödet till Ukraina och avsevärt öka de omfattande påtryckningarna på Ryssland för att få ett definitivt slut på Rysslands anfallskrig och ge Ukraina möjlighet att befria hela sitt folk och återupprätta fullständig kontroll över hela sitt territorium inom sina internationellt erkända gränser.</w:t>
      </w:r>
    </w:p>
    <w:p w14:paraId="75254F8A" w14:textId="78CA20B3" w:rsidR="00964B8F" w:rsidRPr="005F6183" w:rsidRDefault="00F90E54" w:rsidP="00680672">
      <w:pPr>
        <w:pStyle w:val="NormalHanging12a"/>
        <w:widowControl/>
      </w:pPr>
      <w:r w:rsidRPr="005F6183">
        <w:t>8</w:t>
      </w:r>
      <w:r w:rsidR="00680672" w:rsidRPr="005F6183">
        <w:t>.</w:t>
      </w:r>
      <w:r w:rsidR="00680672" w:rsidRPr="005F6183">
        <w:tab/>
        <w:t xml:space="preserve">Europaparlamentet välkomnar slutsatserna från det möte som de villigas koalition höll i Paris den 6 januari 2026. Parlamentet välkomnar varmt förslaget om en multinationell ”säkerhetsstyrka” för Ukraina. Parlamentet välkomnar överenskommelsen om att fastställa politiskt och rättsligt bindande åtaganden för att återupprätta fred och säkerhet i händelse av ett framtida väpnat angrepp från Rysslands sida efter ett eldupphör, </w:t>
      </w:r>
      <w:r w:rsidR="00680672" w:rsidRPr="005F6183">
        <w:lastRenderedPageBreak/>
        <w:t>tillsammans med en tydlig ram för stöd till Ukraina, däribland upprätthållande av landets långsiktiga militära förmågor och fördjupat försvarssamarbete. Parlamentet beklagar dock att dessa säkerhetsgarantier skulle genomföras först när ett avtal om eldupphör har uppnåtts. Parlamentet noterar samtalen om en mekanism för övervakning och kontroll av eldupphör. Parlamentet understryker behovet av att genomföra dessa ambitiösa förslag.</w:t>
      </w:r>
    </w:p>
    <w:p w14:paraId="2C8808D7" w14:textId="7D557433" w:rsidR="00680672" w:rsidRPr="005F6183" w:rsidRDefault="00F90E54" w:rsidP="00680672">
      <w:pPr>
        <w:pStyle w:val="NormalHanging12a"/>
        <w:widowControl/>
      </w:pPr>
      <w:r w:rsidRPr="005F6183">
        <w:t>9</w:t>
      </w:r>
      <w:r w:rsidR="00680672" w:rsidRPr="005F6183">
        <w:t>.</w:t>
      </w:r>
      <w:r w:rsidR="00680672" w:rsidRPr="005F6183">
        <w:tab/>
        <w:t>Europaparlamentet understryker att ett eventuellt fredsavtal inte får begränsa Ukrainas förmåga att försvara sig och måste bygga på full respekt för folkrättens principer, ansvarsskyldighet för krigsförbrytelser, brott mot mänskligheten och aggressionsbrottet, samt inbegripa ryskt skadestånd för de enorma skador som orsakats i Ukraina. Parlamentet understryker att ett sådant avtal måste kompletteras med robusta och trovärdiga säkerhetsgarantier för Ukraina, motsvarande den nivå som fastställs i artikel 5 i Washingtonfördraget och i artikel 42.7 i fördraget om Europeiska unionen, så att man undviker en upprepning av 1994 års samförståndsavtal från Budapest. Parlamentet bekräftar åter att Ukraina har friheten att välja sina säkerhetsallianser och politiska allianser utan något ryskt veto. Parlamentet understryker att ett eventuellt avtal med Ryssland bör innehålla ett åtagande från Ryssland om att omedelbart upphöra med sin hybridkrigföring mot EU och dess partner, inbegripet Ukraina. Parlamentet insisterar på att koalitionen av villiga och Förenta staterna måste tillhandahålla robusta säkerhetsgarantier som förhindrar och omedelbart motverkar eventuell förnyad ryska aggression.</w:t>
      </w:r>
    </w:p>
    <w:p w14:paraId="79C7FAB1" w14:textId="5257CE6C" w:rsidR="00680672" w:rsidRPr="005F6183" w:rsidRDefault="00F90E54" w:rsidP="00680672">
      <w:pPr>
        <w:pStyle w:val="NormalHanging12a"/>
        <w:widowControl/>
      </w:pPr>
      <w:r w:rsidRPr="005F6183">
        <w:t>10</w:t>
      </w:r>
      <w:r w:rsidR="00680672" w:rsidRPr="005F6183">
        <w:t>.</w:t>
      </w:r>
      <w:r w:rsidR="00680672" w:rsidRPr="005F6183">
        <w:tab/>
        <w:t>Europaparlamentet noterar den amerikanska administrationens insatser för att få ett slut på Rysslands anfallskrig mot Ukraina, men uttrycker sin oro över USA:s strategi för fredssamtal som verkar prioritera kortsiktiga åtgärder och bevarandet av så kallad strategisk stabilitet med Ryssland framför verkliga fredssamtal som skulle leda till en övergripande, rättvis och varaktig fred som bygger på folkrättens principer. Parlamentet uppmanar därför EU och dess medlemsstater att fortsätta att samarbeta med Förenta staterna och likasinnade partner för att säkerställa att förhandlingarna om en rättvis och varaktig fred för Ukraina förs i god tro och i syfte att slutgiltigt sätta stopp för Rysslands angrepp mot Ukraina. Parlamentet understryker att Rysslands fortsatta attacker inte tyder på att landet är redo för verkliga fredssamtal. Parlamentet framhåller de negativa konsekvenserna för Ukraina av oövervägda löften om att genomföra en fredsprocess inom en viss tidsram.</w:t>
      </w:r>
    </w:p>
    <w:p w14:paraId="07E9494C" w14:textId="0D96F5DB" w:rsidR="00680672" w:rsidRPr="005F6183" w:rsidRDefault="00F90E54" w:rsidP="00680672">
      <w:pPr>
        <w:pStyle w:val="NormalHanging12a"/>
        <w:widowControl/>
      </w:pPr>
      <w:r w:rsidRPr="005F6183">
        <w:t>11</w:t>
      </w:r>
      <w:r w:rsidR="00680672" w:rsidRPr="005F6183">
        <w:t>.</w:t>
      </w:r>
      <w:r w:rsidR="00680672" w:rsidRPr="005F6183">
        <w:tab/>
        <w:t xml:space="preserve">Europaparlamentet vidhåller att inga sanktioner bör hävas innan ett fredsavtal har förhandlats fram och verkställts på ett hållbart sätt. Parlamentet uppmanar EU att införa ytterligare betydande sanktioner, såsom ett omfattande förbud mot den återstående importen från Ryssland och Belarus, särskilt mot sådana råvaror som inte omfattas av sanktioner. Parlamentet välkomnar de pågående diskussionerna mellan EU och G7 om att undersöka ett förbud mot sjöfartstjänster för all rysk </w:t>
      </w:r>
      <w:proofErr w:type="spellStart"/>
      <w:r w:rsidR="00680672" w:rsidRPr="005F6183">
        <w:t>energiexport</w:t>
      </w:r>
      <w:proofErr w:type="spellEnd"/>
      <w:r w:rsidR="00680672" w:rsidRPr="005F6183">
        <w:t xml:space="preserve">, men uppmanar med kraft EU och dess medlemsstater att gå vidare även utan stöd från andra G7-länder och att förbjuda handel och kommersiell verksamhet med Ryssland och Belarus, med särskilt fokus på eventuella produkter med dubbla användningsområden. Parlamentet uppmanar rådet att tillsammans med sina amerikanska partner tillämpa en liknande sanktionspolitik mot alla stater som agerar möjliggörare, däribland Belarus, Iran och Nordkorea, och att införa sanktioner mot kinesiska enheter som levererar varor med dubbla användningsområden och militära produkter som är nödvändiga för tillverkning av drönare och robotar. Parlamentet efterlyser ytterligare sanktioner mot Rysslands skuggflotta och att dessa verkställs strikt, inbegripet genom att fartyg stoppas. </w:t>
      </w:r>
      <w:r w:rsidR="00680672" w:rsidRPr="005F6183">
        <w:lastRenderedPageBreak/>
        <w:t xml:space="preserve">Parlamentet efterlyser att samarbetet med </w:t>
      </w:r>
      <w:proofErr w:type="spellStart"/>
      <w:r w:rsidR="00680672" w:rsidRPr="005F6183">
        <w:t>Rosatom</w:t>
      </w:r>
      <w:proofErr w:type="spellEnd"/>
      <w:r w:rsidR="00680672" w:rsidRPr="005F6183">
        <w:t xml:space="preserve"> och </w:t>
      </w:r>
      <w:bookmarkStart w:id="7" w:name="_Hlk221696446"/>
      <w:proofErr w:type="spellStart"/>
      <w:r w:rsidR="00680672" w:rsidRPr="005F6183">
        <w:t>Roscosmos</w:t>
      </w:r>
      <w:bookmarkEnd w:id="7"/>
      <w:proofErr w:type="spellEnd"/>
      <w:r w:rsidR="00680672" w:rsidRPr="005F6183">
        <w:t xml:space="preserve"> ska avslutas och att det ska införas sanktioner mot dem. Parlamentet uppmanar rådet att systematiskt ta upp frågan om kringgående av sanktioner. Parlamentet betonar att sanktionerna har en tydlig inverkan på den ryska ekonomin, men upprepar att sanktionssystemet måste bli bredare och dess genomförande striktare om det ska få den eftersträvade effekten att begränsa Rysslands medel för sitt anfallskrig. Parlamentet välkomnar det kommande antagandet av det tjugonde sanktionspaketet mot Ryssland</w:t>
      </w:r>
    </w:p>
    <w:p w14:paraId="1BAD98CA" w14:textId="73628642" w:rsidR="00680672" w:rsidRPr="005F6183" w:rsidRDefault="00F90E54" w:rsidP="00680672">
      <w:pPr>
        <w:pStyle w:val="NormalHanging12a"/>
        <w:widowControl/>
      </w:pPr>
      <w:r w:rsidRPr="005F6183">
        <w:t>12</w:t>
      </w:r>
      <w:r w:rsidR="00680672" w:rsidRPr="005F6183">
        <w:t>.</w:t>
      </w:r>
      <w:r w:rsidR="00680672" w:rsidRPr="005F6183">
        <w:tab/>
        <w:t>Europaparlamentet välkomnar Europeiska rådets beslut av den 18 december 2025 om att tillhandahålla Ukraina ett ekonomiskt stödpaket på 90 miljarder EUR i form av EU</w:t>
      </w:r>
      <w:r w:rsidR="00680672" w:rsidRPr="005F6183">
        <w:noBreakHyphen/>
        <w:t>stödda lån. Parlamentet manar till ett snabbt genomförande av Ukrainastödslånet och framhåller behovet av att på lämpligt sätt tillgodose Ukrainas föränderliga behov. Parlamentet välkomnar den nödvändiga flexibiliteten i paketet inom ramen för den undantagsordning som fastställs i artikel 13.5 i förslaget till förordning om inrättande av stödlånet</w:t>
      </w:r>
      <w:r w:rsidR="00680672" w:rsidRPr="005F6183">
        <w:rPr>
          <w:rStyle w:val="FootnoteReference"/>
        </w:rPr>
        <w:footnoteReference w:id="1"/>
      </w:r>
      <w:r w:rsidR="00680672" w:rsidRPr="005F6183">
        <w:t>.</w:t>
      </w:r>
    </w:p>
    <w:p w14:paraId="6DCB4F5A" w14:textId="25C5788E" w:rsidR="00680672" w:rsidRPr="005F6183" w:rsidRDefault="00F90E54" w:rsidP="00680672">
      <w:pPr>
        <w:pStyle w:val="NormalHanging12a"/>
        <w:widowControl/>
      </w:pPr>
      <w:r w:rsidRPr="005F6183">
        <w:t>13</w:t>
      </w:r>
      <w:r w:rsidR="00680672" w:rsidRPr="005F6183">
        <w:t>.</w:t>
      </w:r>
      <w:r w:rsidR="00680672" w:rsidRPr="005F6183">
        <w:tab/>
        <w:t xml:space="preserve">Europaparlamentet upprepar sin fasta övertygelse att Ryssland måste betala för de massiva skador som orsakats i Ukraina, och uppmanar än en gång EU att använda de kontanta medel som har samband med ryska statliga tillgångar som </w:t>
      </w:r>
      <w:proofErr w:type="spellStart"/>
      <w:r w:rsidR="00680672" w:rsidRPr="005F6183">
        <w:t>immobiliserats</w:t>
      </w:r>
      <w:proofErr w:type="spellEnd"/>
      <w:r w:rsidR="00680672" w:rsidRPr="005F6183">
        <w:t xml:space="preserve"> inom ramen för EU:s sanktioner för att säkra ett skadeståndslån som skulle stödja Ukrainas försvar och återuppbyggnad och öka trycket på Ryssland att upphöra med sitt anfallskrig. Parlamentet stöder helhjärtat rådets slutsats att medlagstiftarna bör fortsätta att arbeta med kommissionens förslag om krigsskadeståndslån.</w:t>
      </w:r>
    </w:p>
    <w:p w14:paraId="2BB024F6" w14:textId="23AEACB0" w:rsidR="00680672" w:rsidRPr="005F6183" w:rsidRDefault="00F90E54" w:rsidP="00680672">
      <w:pPr>
        <w:pStyle w:val="NormalHanging12a"/>
        <w:widowControl/>
      </w:pPr>
      <w:r w:rsidRPr="005F6183">
        <w:t>14</w:t>
      </w:r>
      <w:r w:rsidR="00680672" w:rsidRPr="005F6183">
        <w:t>.</w:t>
      </w:r>
      <w:r w:rsidR="00680672" w:rsidRPr="005F6183">
        <w:tab/>
        <w:t>Europaparlamentet uppmanar med kraft EU att i samordning med Nato stödja förstärkningen av Ukrainas försvarsförmågor genom att utveckla ett förstärkt industriellt partnerskap som möjliggör teknik- och kunskapsöverföring och att bistå med integreringen av Ukrainas försvarstekniska och försvarsindustriella bas i den europeiska försvarstekniska och försvarsindustriella basen och samtidigt stödja den europeiska försvarstekniska och försvarsindustriella basens verksamhet i Ukraina. Parlamentet uppmanar med kraft medlemsstaterna och deras försvarsindustrier att göra ytterligare investeringar och utveckla partnerskap med Ukraina för gemensam utveckling i EU och ukrainsk industris produktion inom EU. Parlamentet berömmer den danska modellen för stöd till Ukraina och efterlyser starkare incitament för närmare samarbete och integrering mellan den europeiska försvarstekniska och försvarsindustriella basen och Ukrainas försvarsindusindustriella bas. Parlamentet uppmanar med kraft de medlemsstater som kan tillhandahålla luftförsvarssystem att leverera sådana vapen till Ukraina för att landet ska kunna skydda mer av sin kritiska infrastruktur och att förse Ukraina med långdistansrobotsystem så att landet kan anfalla militär och strategisk infrastruktur. Parlamentet efterlyser med kraft ett hävande av att de återstående restriktioner som förhindrar att västliga vapensystem som levereras till Ukraina används mot militära mål på ryskt territorium som ansvarar för att angripa Ukrainas befolkning och kritisk civil infrastruktur. Parlamentet understryker vikten av att säkerställa att ukrainsk militär personal får lämplig utbildning inom ramen för Europeiska unionens uppdrag för militärt bistånd till Ukraina (</w:t>
      </w:r>
      <w:proofErr w:type="spellStart"/>
      <w:r w:rsidR="00680672" w:rsidRPr="005F6183">
        <w:t>Eumam</w:t>
      </w:r>
      <w:proofErr w:type="spellEnd"/>
      <w:r w:rsidR="00680672" w:rsidRPr="005F6183">
        <w:t xml:space="preserve"> Ukraina) och efterlyser en utvidgning av </w:t>
      </w:r>
      <w:proofErr w:type="spellStart"/>
      <w:r w:rsidR="00680672" w:rsidRPr="005F6183">
        <w:t>Eumam</w:t>
      </w:r>
      <w:proofErr w:type="spellEnd"/>
      <w:r w:rsidR="00680672" w:rsidRPr="005F6183">
        <w:t xml:space="preserve"> Ukrainas mandat, inbegripet möjligheten att utvidga </w:t>
      </w:r>
      <w:r w:rsidR="00680672" w:rsidRPr="005F6183">
        <w:lastRenderedPageBreak/>
        <w:t>utbildningsverksamheten till ukrainskt territorium efter en vapenvila, för att stärka Ukrainas nationella utbildningskapacitet.</w:t>
      </w:r>
    </w:p>
    <w:p w14:paraId="1F86AF2F" w14:textId="7F23B240" w:rsidR="00680672" w:rsidRPr="005F6183" w:rsidRDefault="00F90E54" w:rsidP="00680672">
      <w:pPr>
        <w:pStyle w:val="NormalHanging12a"/>
        <w:widowControl/>
      </w:pPr>
      <w:r w:rsidRPr="005F6183">
        <w:t>15</w:t>
      </w:r>
      <w:r w:rsidR="00680672" w:rsidRPr="005F6183">
        <w:t>.</w:t>
      </w:r>
      <w:r w:rsidR="00680672" w:rsidRPr="005F6183">
        <w:tab/>
        <w:t>Europaparlamentet begär att Ukraina inkluderas i EU:s korridorer för militär rörlighet. Parlamentet upprepar vikten av att säkerställa snabb förflyttning av utrustning och trupper från väst till öst och av att dra lärdom av de ukrainska väpnade styrkornas erfarenheter.</w:t>
      </w:r>
    </w:p>
    <w:p w14:paraId="0CFB724C" w14:textId="177A4B0C" w:rsidR="00680672" w:rsidRPr="005F6183" w:rsidRDefault="00F90E54" w:rsidP="00680672">
      <w:pPr>
        <w:pStyle w:val="NormalHanging12a"/>
        <w:widowControl/>
      </w:pPr>
      <w:r w:rsidRPr="005F6183">
        <w:t>16</w:t>
      </w:r>
      <w:r w:rsidR="00680672" w:rsidRPr="005F6183">
        <w:t>.</w:t>
      </w:r>
      <w:r w:rsidR="00680672" w:rsidRPr="005F6183">
        <w:tab/>
        <w:t>Europaparlamentet välkomnar antagandet av förordning (EU) 2026/261 om utfasning av importen av rysk naturgas och förberedelse av utfasningen av importen av rysk olja</w:t>
      </w:r>
      <w:r w:rsidR="00680672" w:rsidRPr="005F6183">
        <w:rPr>
          <w:rStyle w:val="FootnoteReference"/>
        </w:rPr>
        <w:footnoteReference w:id="2"/>
      </w:r>
      <w:r w:rsidR="00680672" w:rsidRPr="005F6183">
        <w:t xml:space="preserve">. Parlamentet uppmanar med kraft kommissionen att påskynda utfasningen av andra ryska energikällor, inbegripet olja och alla petroleumprodukter, uran, anrikat uran samt kärnbränsle och kärnkraftstjänster, i linje med de åtaganden som gjorts i </w:t>
      </w:r>
      <w:proofErr w:type="spellStart"/>
      <w:r w:rsidR="00680672" w:rsidRPr="005F6183">
        <w:t>REPowerEU</w:t>
      </w:r>
      <w:proofErr w:type="spellEnd"/>
      <w:r w:rsidR="00680672" w:rsidRPr="005F6183">
        <w:t xml:space="preserve">-färdplanen. Parlamentet understryker att denna åtgärd är ett avgörande steg för att få slut på EU:s beroende av ryska fossila bränslen och utsätta den ryska ekonomin för ytterligare påfrestningar. Parlamentet beklagar att sju av EU:s medlemsstater importerade mer rysk energi 2025 än 2024. Parlamentet understryker att rörledningarna Nord </w:t>
      </w:r>
      <w:proofErr w:type="spellStart"/>
      <w:r w:rsidR="00680672" w:rsidRPr="005F6183">
        <w:t>Stream</w:t>
      </w:r>
      <w:proofErr w:type="spellEnd"/>
      <w:r w:rsidR="00680672" w:rsidRPr="005F6183">
        <w:t xml:space="preserve"> 1 och 2 aldrig får återaktiveras och begär att de avvecklas permanent med hänsyn till den strategiska säkerheten. Parlamentet påminner om att medlemsstaterna ska avstå från varje åtgärd som skulle kunna äventyra uppnåendet av EU:s mål.</w:t>
      </w:r>
    </w:p>
    <w:p w14:paraId="255C8762" w14:textId="499DC055" w:rsidR="00680672" w:rsidRPr="005F6183" w:rsidRDefault="00F90E54" w:rsidP="00680672">
      <w:pPr>
        <w:pStyle w:val="NormalHanging12a"/>
        <w:widowControl/>
      </w:pPr>
      <w:r w:rsidRPr="005F6183">
        <w:t>17</w:t>
      </w:r>
      <w:r w:rsidR="00680672" w:rsidRPr="005F6183">
        <w:t>.</w:t>
      </w:r>
      <w:r w:rsidR="00680672" w:rsidRPr="005F6183">
        <w:tab/>
        <w:t>Europaparlamentet fördömer skarpt Ryska federationens systematiska deportering, tvångsförflyttning och försök till assimilering av ukrainska barn. Parlamentet efterlyser ett omedelbart och villkorslöst upphörande med dessa metoder och ett säkert och obehindrat återbördande av alla olagligt deporterade ukrainska barn. Parlamentet uttrycker sitt stöd för de organisationer och personer som arbetar med att återbörda dessa barn och för initiativet ”Bring Kids Back UA”. Parlamentet välkomnar det arbete som utförs av den internationella koalitionen för återförande av ukrainska barn som en viktig plattform för samordnade internationella åtgärder, inbegripet spårning av deporterade barn, kontroll av deras identitet, rättsliga status och vistelseort, säkerställande av deras återvändande och strävan efter ansvarsskyldighet.</w:t>
      </w:r>
    </w:p>
    <w:p w14:paraId="27E635D2" w14:textId="269F711F" w:rsidR="005B381D" w:rsidRPr="005F6183" w:rsidRDefault="00F90E54" w:rsidP="00680672">
      <w:pPr>
        <w:pStyle w:val="NormalHanging12a"/>
        <w:widowControl/>
        <w:rPr>
          <w:bCs/>
          <w:iCs/>
        </w:rPr>
      </w:pPr>
      <w:r w:rsidRPr="005F6183">
        <w:rPr>
          <w:bCs/>
          <w:iCs/>
        </w:rPr>
        <w:t>18</w:t>
      </w:r>
      <w:r w:rsidR="005B381D" w:rsidRPr="005F6183">
        <w:rPr>
          <w:bCs/>
          <w:iCs/>
        </w:rPr>
        <w:t>.</w:t>
      </w:r>
      <w:r w:rsidR="005B381D" w:rsidRPr="005F6183">
        <w:rPr>
          <w:bCs/>
          <w:iCs/>
        </w:rPr>
        <w:tab/>
        <w:t>Europaparlamentet fördömer skarpt användningen av sexuellt och könsrelaterat våld som ett vapen i krig och betonar att detta utgör en krigsförbrytelse. Parlamentet fördömer också sexuellt och könsrelaterat våld i transitcentrum i Ukraina och runt om i EU. Parlamentet beklagar att direktivet om tillfälligt skydd</w:t>
      </w:r>
      <w:r w:rsidR="005B381D" w:rsidRPr="005F6183">
        <w:rPr>
          <w:rStyle w:val="FootnoteReference"/>
          <w:bCs/>
          <w:iCs/>
        </w:rPr>
        <w:footnoteReference w:id="3"/>
      </w:r>
      <w:r w:rsidR="005B381D" w:rsidRPr="005F6183">
        <w:rPr>
          <w:bCs/>
          <w:iCs/>
        </w:rPr>
        <w:t xml:space="preserve"> tolkas så snävt att många kvinnor som har flytt från Rysslands anfallskrig inte kan få tillgång till abortvård eller annan sexuell och reproduktiv hälsobehandling, inbegripet behandling efter sexuella övergrepp. Parlamentet upprepar sin uppmaning i sin resolution av den 29 februari </w:t>
      </w:r>
      <w:r w:rsidR="005B381D" w:rsidRPr="005F6183">
        <w:rPr>
          <w:bCs/>
          <w:iCs/>
        </w:rPr>
        <w:lastRenderedPageBreak/>
        <w:t>2024</w:t>
      </w:r>
      <w:r w:rsidR="005B381D" w:rsidRPr="005F6183">
        <w:rPr>
          <w:rStyle w:val="FootnoteReference"/>
          <w:bCs/>
          <w:iCs/>
        </w:rPr>
        <w:footnoteReference w:id="4"/>
      </w:r>
      <w:r w:rsidR="005B381D" w:rsidRPr="005F6183">
        <w:rPr>
          <w:bCs/>
          <w:iCs/>
        </w:rPr>
        <w:t xml:space="preserve"> till kommissionen att se över direktivet för att säkerställa att alla medlemsstater är skyldiga att erbjuda samma vård som kvinnor annars skulle kunna få i Ukraina.</w:t>
      </w:r>
    </w:p>
    <w:p w14:paraId="7AFB1173" w14:textId="6C0A2F28" w:rsidR="008C527B" w:rsidRPr="005F6183" w:rsidRDefault="008C527B" w:rsidP="00680672">
      <w:pPr>
        <w:pStyle w:val="NormalHanging12a"/>
        <w:widowControl/>
        <w:rPr>
          <w:bCs/>
          <w:iCs/>
        </w:rPr>
      </w:pPr>
      <w:r w:rsidRPr="005F6183">
        <w:rPr>
          <w:bCs/>
          <w:iCs/>
        </w:rPr>
        <w:t>19.</w:t>
      </w:r>
      <w:r w:rsidRPr="005F6183">
        <w:rPr>
          <w:bCs/>
          <w:iCs/>
        </w:rPr>
        <w:tab/>
        <w:t>Europaparlamentet betonar att antalet ukrainare som identifierats som offer för människohandel i Europeiska unionen är alarmerande högt och har ökat sedan Rysslands fullskaliga invasion. Parlamentet uppmanar medlemsstaterna att öka sitt stöd, bland annat genom ekonomiska medel, till offren och till förebyggande åtgärder.</w:t>
      </w:r>
    </w:p>
    <w:p w14:paraId="69C26FCC" w14:textId="43E866D4" w:rsidR="00680672" w:rsidRPr="005F6183" w:rsidRDefault="008C527B" w:rsidP="00680672">
      <w:pPr>
        <w:pStyle w:val="NormalHanging12a"/>
        <w:widowControl/>
      </w:pPr>
      <w:r w:rsidRPr="005F6183">
        <w:t>20</w:t>
      </w:r>
      <w:r w:rsidR="00680672" w:rsidRPr="005F6183">
        <w:t>.</w:t>
      </w:r>
      <w:r w:rsidR="00680672" w:rsidRPr="005F6183">
        <w:tab/>
        <w:t>Europaparlamentet uppmanar EU och dess medlemsstater att införa sanktioner mot det ryska försvarsministeriets militärpolis, den federala säkerhetstjänsten och den federala kriminalvårdsmyndigheten för deras systematiska inblandning i krigsförbrytelser och brott mot mänskligheten, inbegripet påtvingade försvinnanden, godtyckliga frihetsberövanden, tortyr och frihetsberövande i isoleringscell. Parlamentet uppmanar dessutom EU och dess medlemsstater att införa personliga sanktioner mot alla institutionschefer för och andra ryska tjänstemän vid ryska kriminalvårdsanstalter där ukrainska civila olagligen hålls frihetsberövade. Parlamentet uppmanar EU och dess medlemsstater att förbjuda rysk militär personal som har deltagit i anfallskriget mot Ukraina att resa in i Schengenområdet. Parlamentet uppmanar enträget medlemsstaterna att systematiskt ta sig an frågan om kringgående av sanktioner och att säkerställa ett fullständigt och effektivt genomförande.</w:t>
      </w:r>
    </w:p>
    <w:p w14:paraId="6347E3F6" w14:textId="45BDA6B6" w:rsidR="00680672" w:rsidRPr="005F6183" w:rsidRDefault="00F90E54" w:rsidP="00680672">
      <w:pPr>
        <w:pStyle w:val="NormalHanging12a"/>
        <w:widowControl/>
      </w:pPr>
      <w:r w:rsidRPr="005F6183">
        <w:t>2</w:t>
      </w:r>
      <w:r w:rsidR="008C527B" w:rsidRPr="005F6183">
        <w:t>1</w:t>
      </w:r>
      <w:r w:rsidR="00680672" w:rsidRPr="005F6183">
        <w:t>.</w:t>
      </w:r>
      <w:r w:rsidR="00680672" w:rsidRPr="005F6183">
        <w:tab/>
        <w:t>Europaparlamentet uppmanar rådet att föra upp Wagnergruppen och dess efterföljare på förteckningen över terroristorganisationer enligt rådets gemensamma ståndpunkt 2001/931/GUSP av den 27 december 2001 om tillämpning av särskilda åtgärder i syfte att bekämpa terrorism</w:t>
      </w:r>
      <w:r w:rsidR="00680672" w:rsidRPr="005F6183">
        <w:rPr>
          <w:rStyle w:val="FootnoteReference"/>
        </w:rPr>
        <w:footnoteReference w:id="5"/>
      </w:r>
      <w:r w:rsidR="00680672" w:rsidRPr="005F6183">
        <w:t>. Parlamentet betonar att betecknandet av dessa enheter som terroristorganisationer, utöver de frysningar av tillgångar som för närvarande tillämpas på dem, gör det möjligt att åtala rekryterare, kombattanter och anhängare och tillämpa straffrättsliga påföljder mot dem.</w:t>
      </w:r>
    </w:p>
    <w:p w14:paraId="58014210" w14:textId="17B169D7" w:rsidR="00680672" w:rsidRPr="005F6183" w:rsidRDefault="00F90E54" w:rsidP="00680672">
      <w:pPr>
        <w:pStyle w:val="NormalHanging12a"/>
        <w:widowControl/>
      </w:pPr>
      <w:r w:rsidRPr="005F6183">
        <w:t>2</w:t>
      </w:r>
      <w:r w:rsidR="008C527B" w:rsidRPr="005F6183">
        <w:t>2</w:t>
      </w:r>
      <w:r w:rsidR="00680672" w:rsidRPr="005F6183">
        <w:t>.</w:t>
      </w:r>
      <w:r w:rsidR="00680672" w:rsidRPr="005F6183">
        <w:tab/>
        <w:t>Europaparlamentet framhåller det oroväckande faktum att ett ökande antal utländska stridande i den ryska armén har förts till Ryssland eller till frontlinjerna i Ukraina under falska förespeglingar. Parlamentet uppmanar med kraft regeringarna i Sydafrika, Ghana, Kenya, Botswana och andra afrikanska nationer att slå ned på bedräglig rekryteringsverksamhet som leder till att unga män tvingas strida i frontlinjen tillsammans med ryska styrkor. Parlamentet uppmanar de berörda länderna att proaktivt varna sina medborgare för farorna med att resa till Ryssland på grund av jobberbjudanden som antingen direkt eller indirekt har samband med den ryska armén. Parlamentet uppmanar sociala medieplattformar att vidta åtgärder för att förhindra att deras tjänster missbrukas i syfte att genomföra dessa bedrägliga rekryteringskampanjer. Parlamentet fördömer den politik som förs av vissa regeringar, såsom regeringarna i Kuba och en del centralasiatiska länder, som inte hindrar sina medborgare från att delta i Rysslands anfallskrig eller till och med går så långt att de främjar ett sådant deltagande.</w:t>
      </w:r>
    </w:p>
    <w:p w14:paraId="435036A8" w14:textId="0C3608CB" w:rsidR="00680672" w:rsidRPr="005F6183" w:rsidRDefault="00F90E54" w:rsidP="00680672">
      <w:pPr>
        <w:pStyle w:val="NormalHanging12a"/>
        <w:widowControl/>
      </w:pPr>
      <w:r w:rsidRPr="005F6183">
        <w:t>2</w:t>
      </w:r>
      <w:r w:rsidR="008C527B" w:rsidRPr="005F6183">
        <w:t>3</w:t>
      </w:r>
      <w:r w:rsidR="00680672" w:rsidRPr="005F6183">
        <w:t>.</w:t>
      </w:r>
      <w:r w:rsidR="00680672" w:rsidRPr="005F6183">
        <w:tab/>
        <w:t xml:space="preserve">Europaparlamentet betonar att Rysslands skoningslösa attacker mot Ukrainas energiinfrastruktur inte bara bryter mot folkrätten utan även är en medveten strategi för </w:t>
      </w:r>
      <w:r w:rsidR="00680672" w:rsidRPr="005F6183">
        <w:lastRenderedPageBreak/>
        <w:t>att urholka det ukrainska motståndet, skapa tumult i de drabbade områdena och göra energi till ett vapen för att utöva tvång. Parlamentet uppmanar EU och dess medlemsstater att utvidga och institutionalisera energistödet till Ukraina. Parlamentet framhåller den kritiska betydelsen av fortsatt och utökat humanitärt bistånd från EU och medlemsstaterna till Ukraina som reaktion på den akuta humanitära situation som förorsakats av Rysslands systematiska attacker mot ukrainska städer och kritisk civil infrastruktur.</w:t>
      </w:r>
    </w:p>
    <w:p w14:paraId="774D9283" w14:textId="0FFC0341" w:rsidR="00680672" w:rsidRPr="005F6183" w:rsidRDefault="00F90E54" w:rsidP="00680672">
      <w:pPr>
        <w:pStyle w:val="NormalHanging12a"/>
        <w:widowControl/>
      </w:pPr>
      <w:r w:rsidRPr="005F6183">
        <w:t>2</w:t>
      </w:r>
      <w:r w:rsidR="008C527B" w:rsidRPr="005F6183">
        <w:t>4</w:t>
      </w:r>
      <w:r w:rsidR="00680672" w:rsidRPr="005F6183">
        <w:t>.</w:t>
      </w:r>
      <w:r w:rsidR="00680672" w:rsidRPr="005F6183">
        <w:tab/>
        <w:t>Europaparlamentet uppmanar eftertryckligen kommissionen att aktivt stödja internationella rättsmekanismer och säkerställa ansvarsskyldighet och skadestånd för krigsförbrytelser och aggressionsbrott. Parlamentet uppmuntrar EU och dess medlemsstater att stödja inrättandet av en särskild domstol för att lagföra Rysslands aggressionsbrott mot Ukraina.</w:t>
      </w:r>
    </w:p>
    <w:p w14:paraId="21B73804" w14:textId="102B8F2C" w:rsidR="00F90E54" w:rsidRPr="005F6183" w:rsidRDefault="00F90E54" w:rsidP="00680672">
      <w:pPr>
        <w:pStyle w:val="NormalHanging12a"/>
        <w:widowControl/>
        <w:rPr>
          <w:bCs/>
          <w:iCs/>
        </w:rPr>
      </w:pPr>
      <w:r w:rsidRPr="005F6183">
        <w:rPr>
          <w:bCs/>
          <w:iCs/>
        </w:rPr>
        <w:t>2</w:t>
      </w:r>
      <w:r w:rsidR="008C527B" w:rsidRPr="005F6183">
        <w:rPr>
          <w:bCs/>
          <w:iCs/>
        </w:rPr>
        <w:t>5</w:t>
      </w:r>
      <w:r w:rsidRPr="005F6183">
        <w:rPr>
          <w:bCs/>
          <w:iCs/>
        </w:rPr>
        <w:t>.</w:t>
      </w:r>
      <w:r w:rsidRPr="005F6183">
        <w:rPr>
          <w:bCs/>
          <w:iCs/>
        </w:rPr>
        <w:tab/>
        <w:t>Europaparlamentet välkomnar Ukrainas anslutning till Internationella brottmålsdomstolen (ICC). Parlamentet bekräftar sitt starka stöd för ICC:s utredning i Ukraina och dess övergripande insatser för att lagföra personer som är ansvariga för folkmord, krigsförbrytelser, brott mot mänskligheten och aggressionsbrott. Parlamentet uttrycker sin djupa oro över USA:s sanktioner mot ICC, dess åklagare, domare och personal. Parlamentet uppmanar kommissionen att aktivera den blockerande stadgan för att skydda ICC från extraterritoriella sanktioner.</w:t>
      </w:r>
    </w:p>
    <w:p w14:paraId="75FA905E" w14:textId="52158E3B" w:rsidR="00680672" w:rsidRPr="005F6183" w:rsidRDefault="00F90E54" w:rsidP="00680672">
      <w:pPr>
        <w:pStyle w:val="NormalHanging12a"/>
        <w:widowControl/>
      </w:pPr>
      <w:r w:rsidRPr="005F6183">
        <w:t>2</w:t>
      </w:r>
      <w:r w:rsidR="008C527B" w:rsidRPr="005F6183">
        <w:t>6</w:t>
      </w:r>
      <w:r w:rsidR="00680672" w:rsidRPr="005F6183">
        <w:t>.</w:t>
      </w:r>
      <w:r w:rsidR="00680672" w:rsidRPr="005F6183">
        <w:tab/>
        <w:t xml:space="preserve">Europaparlamentet uppmanar de ukrainska myndigheterna att upprätthålla parlamentarisk pluralism som en hörnsten i det demokratiska styret och att säkerställa ett konstruktivt och meningsfullt samarbete med alla parlamentariska politiska krafter som är representerade i </w:t>
      </w:r>
      <w:proofErr w:type="spellStart"/>
      <w:r w:rsidR="00680672" w:rsidRPr="005F6183">
        <w:t>Verchovna</w:t>
      </w:r>
      <w:proofErr w:type="spellEnd"/>
      <w:r w:rsidR="00680672" w:rsidRPr="005F6183">
        <w:t xml:space="preserve"> Rada.</w:t>
      </w:r>
    </w:p>
    <w:p w14:paraId="49623678" w14:textId="10D62FEB" w:rsidR="00F90E54" w:rsidRPr="005F6183" w:rsidRDefault="00F90E54" w:rsidP="00680672">
      <w:pPr>
        <w:pStyle w:val="NormalHanging12a"/>
        <w:widowControl/>
        <w:rPr>
          <w:bCs/>
          <w:iCs/>
        </w:rPr>
      </w:pPr>
      <w:r w:rsidRPr="005F6183">
        <w:rPr>
          <w:bCs/>
          <w:iCs/>
        </w:rPr>
        <w:t>2</w:t>
      </w:r>
      <w:r w:rsidR="008C527B" w:rsidRPr="005F6183">
        <w:rPr>
          <w:bCs/>
          <w:iCs/>
        </w:rPr>
        <w:t>7</w:t>
      </w:r>
      <w:r w:rsidRPr="005F6183">
        <w:rPr>
          <w:bCs/>
          <w:iCs/>
        </w:rPr>
        <w:t>.</w:t>
      </w:r>
      <w:r w:rsidRPr="005F6183">
        <w:rPr>
          <w:bCs/>
          <w:iCs/>
        </w:rPr>
        <w:tab/>
        <w:t xml:space="preserve">Europaparlamentet lovordar det mycket viktiga arbete som under hela kriget dagligen utförts av den ukrainska hälso- och sjukvården, särskilt av ukrainska sjuksköterskor. Parlamentet framhåller mot denna bakgrund det viktiga arbete som utförts av den ukrainska medicinska rörelsen ”Be Like </w:t>
      </w:r>
      <w:proofErr w:type="spellStart"/>
      <w:r w:rsidRPr="005F6183">
        <w:rPr>
          <w:bCs/>
          <w:iCs/>
        </w:rPr>
        <w:t>We</w:t>
      </w:r>
      <w:proofErr w:type="spellEnd"/>
      <w:r w:rsidRPr="005F6183">
        <w:rPr>
          <w:bCs/>
          <w:iCs/>
        </w:rPr>
        <w:t xml:space="preserve"> </w:t>
      </w:r>
      <w:proofErr w:type="spellStart"/>
      <w:r w:rsidRPr="005F6183">
        <w:rPr>
          <w:bCs/>
          <w:iCs/>
        </w:rPr>
        <w:t>Are</w:t>
      </w:r>
      <w:proofErr w:type="spellEnd"/>
      <w:r w:rsidRPr="005F6183">
        <w:rPr>
          <w:bCs/>
          <w:iCs/>
        </w:rPr>
        <w:t>”, en gräsrotsrörelse som främst består av sjuksköterskor, för att stödja hälso- och sjukvårdspersonal och försvara deras rättigheter.</w:t>
      </w:r>
    </w:p>
    <w:p w14:paraId="28814BD4" w14:textId="1FFE616D" w:rsidR="00680672" w:rsidRPr="005F6183" w:rsidRDefault="00F90E54" w:rsidP="00680672">
      <w:pPr>
        <w:pStyle w:val="NormalHanging12a"/>
        <w:widowControl/>
      </w:pPr>
      <w:r w:rsidRPr="005F6183">
        <w:t>2</w:t>
      </w:r>
      <w:r w:rsidR="008C527B" w:rsidRPr="005F6183">
        <w:t>8</w:t>
      </w:r>
      <w:r w:rsidR="00680672" w:rsidRPr="005F6183">
        <w:t>.</w:t>
      </w:r>
      <w:r w:rsidR="00680672" w:rsidRPr="005F6183">
        <w:tab/>
        <w:t>Europaparlamentet noterar de flesta EU-medlemsstaters orubbliga engagemang för Ukraina, men betonar sitt missnöje med de medlemsstater som hindrar eller aktivt undergräver EU:s ståndpunkter och politik. Parlamentet påminner om principen om lojalt samarbete enligt artikel 4.3 i fördraget om Europeiska unionen, enligt vilken medlemsstaterna ska avstå från varje åtgärd som kan äventyra fullgörandet av unionens mål. Parlamentet uppmanar rådet att snarast lösa det dödläge som hindrar ibruktagandet av fonden för bistånd till Ukraina inom ramen för den europeiska fredsfaciliteten, vilket är avgörande för genomförandet av EU:s långsiktiga säkerhetsåtaganden gentemot Ukraina.</w:t>
      </w:r>
    </w:p>
    <w:p w14:paraId="0346CA3A" w14:textId="7CEC4CF7" w:rsidR="00961AB4" w:rsidRPr="005F6183" w:rsidRDefault="00F90E54" w:rsidP="00961AB4">
      <w:pPr>
        <w:pStyle w:val="NormalHanging12a"/>
        <w:widowControl/>
      </w:pPr>
      <w:r w:rsidRPr="005F6183">
        <w:t>2</w:t>
      </w:r>
      <w:r w:rsidR="008C527B" w:rsidRPr="005F6183">
        <w:t>9</w:t>
      </w:r>
      <w:r w:rsidR="00680672" w:rsidRPr="005F6183">
        <w:t>.</w:t>
      </w:r>
      <w:r w:rsidR="00680672" w:rsidRPr="005F6183">
        <w:tab/>
        <w:t xml:space="preserve">Europaparlamentet uppdrar åt talmannen att översända denna resolution till rådet, kommissionen, vice ordföranden för kommissionen/unionens höga representant för utrikesfrågor och säkerhetspolitik, medlemsstaternas regeringar och parlament, Ukrainas president, regering och </w:t>
      </w:r>
      <w:proofErr w:type="spellStart"/>
      <w:r w:rsidR="00680672" w:rsidRPr="005F6183">
        <w:t>Verchovna</w:t>
      </w:r>
      <w:proofErr w:type="spellEnd"/>
      <w:r w:rsidR="00680672" w:rsidRPr="005F6183">
        <w:t xml:space="preserve"> rada, FN:s generalsekreterare, Förenta staternas kongress, de ryska myndigheterna och myndigheterna i de övriga länder som nämns i denna resolution.</w:t>
      </w:r>
    </w:p>
    <w:sectPr w:rsidR="00961AB4" w:rsidRPr="005F6183" w:rsidSect="00961A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BCA7A" w14:textId="77777777" w:rsidR="00EF6E49" w:rsidRPr="00961AB4" w:rsidRDefault="00EF6E49">
      <w:r w:rsidRPr="00961AB4">
        <w:separator/>
      </w:r>
    </w:p>
  </w:endnote>
  <w:endnote w:type="continuationSeparator" w:id="0">
    <w:p w14:paraId="08A8881D" w14:textId="77777777" w:rsidR="00EF6E49" w:rsidRPr="00961AB4" w:rsidRDefault="00EF6E49">
      <w:r w:rsidRPr="00961A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F612E" w14:textId="77777777" w:rsidR="00064002" w:rsidRPr="00961AB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DB1EE" w14:textId="77777777" w:rsidR="00064002" w:rsidRPr="00961AB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F5A5D" w14:textId="77777777" w:rsidR="00064002" w:rsidRPr="00961A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4FA71" w14:textId="77777777" w:rsidR="00EF6E49" w:rsidRPr="00961AB4" w:rsidRDefault="00EF6E49">
      <w:r w:rsidRPr="00961AB4">
        <w:separator/>
      </w:r>
    </w:p>
  </w:footnote>
  <w:footnote w:type="continuationSeparator" w:id="0">
    <w:p w14:paraId="2AD43C27" w14:textId="77777777" w:rsidR="00EF6E49" w:rsidRPr="00961AB4" w:rsidRDefault="00EF6E49">
      <w:r w:rsidRPr="00961AB4">
        <w:continuationSeparator/>
      </w:r>
    </w:p>
  </w:footnote>
  <w:footnote w:id="1">
    <w:p w14:paraId="2B980D79" w14:textId="0543469D" w:rsidR="00680672" w:rsidRPr="00961AB4" w:rsidRDefault="00680672" w:rsidP="00961AB4">
      <w:pPr>
        <w:pStyle w:val="FootnoteText"/>
        <w:ind w:left="567" w:hanging="567"/>
        <w:rPr>
          <w:sz w:val="24"/>
          <w:lang w:val="sv-SE"/>
        </w:rPr>
      </w:pPr>
      <w:r w:rsidRPr="00961AB4">
        <w:rPr>
          <w:rStyle w:val="FootnoteReference"/>
          <w:sz w:val="24"/>
          <w:lang w:val="sv-SE"/>
        </w:rPr>
        <w:footnoteRef/>
      </w:r>
      <w:r w:rsidR="00961AB4" w:rsidRPr="00961AB4">
        <w:rPr>
          <w:sz w:val="24"/>
          <w:lang w:val="sv-SE"/>
        </w:rPr>
        <w:t xml:space="preserve"> </w:t>
      </w:r>
      <w:r w:rsidR="00961AB4" w:rsidRPr="00961AB4">
        <w:rPr>
          <w:sz w:val="24"/>
          <w:lang w:val="sv-SE"/>
        </w:rPr>
        <w:tab/>
      </w:r>
      <w:r w:rsidRPr="00961AB4">
        <w:rPr>
          <w:sz w:val="24"/>
          <w:lang w:val="sv-SE"/>
        </w:rPr>
        <w:t>Kommissionens förslag av den 14 januari 2026 till Europaparlamentets och rådets förordning om genomförande av fördjupat samarbete vad gäller inrättandet av Ukrainastödslånet 2026 och 2027 (COM(2026)0020).</w:t>
      </w:r>
    </w:p>
  </w:footnote>
  <w:footnote w:id="2">
    <w:p w14:paraId="0349AAC2" w14:textId="6070A3B9" w:rsidR="00680672" w:rsidRPr="00961AB4" w:rsidRDefault="00680672" w:rsidP="00961AB4">
      <w:pPr>
        <w:pStyle w:val="FootnoteText"/>
        <w:ind w:left="567" w:hanging="567"/>
        <w:rPr>
          <w:sz w:val="24"/>
          <w:lang w:val="sv-SE"/>
        </w:rPr>
      </w:pPr>
      <w:r w:rsidRPr="00961AB4">
        <w:rPr>
          <w:rStyle w:val="FootnoteReference"/>
          <w:sz w:val="24"/>
          <w:lang w:val="sv-SE"/>
        </w:rPr>
        <w:footnoteRef/>
      </w:r>
      <w:r w:rsidR="00961AB4" w:rsidRPr="00961AB4">
        <w:rPr>
          <w:sz w:val="24"/>
          <w:lang w:val="sv-SE"/>
        </w:rPr>
        <w:t xml:space="preserve"> </w:t>
      </w:r>
      <w:r w:rsidR="00961AB4" w:rsidRPr="00961AB4">
        <w:rPr>
          <w:sz w:val="24"/>
          <w:lang w:val="sv-SE"/>
        </w:rPr>
        <w:tab/>
      </w:r>
      <w:r w:rsidRPr="00961AB4">
        <w:rPr>
          <w:sz w:val="24"/>
          <w:lang w:val="sv-SE"/>
        </w:rPr>
        <w:t xml:space="preserve">Europaparlamentets och rådets förordning (EU) 2026/261 av den 26 januari 2026 om utfasning av importen av rysk naturgas och förberedelse av utfasningen av importen av rysk olja, om förbättrad övervakning av potentiella energiberoenden och om ändring av förordning (EU) 2017/1938 (EUT L, 2026/261, 2.2.2026, ELI: </w:t>
      </w:r>
      <w:hyperlink r:id="rId1" w:history="1">
        <w:r w:rsidRPr="00961AB4">
          <w:rPr>
            <w:rStyle w:val="Hyperlink"/>
            <w:sz w:val="24"/>
            <w:lang w:val="sv-SE"/>
          </w:rPr>
          <w:t>http://data.europa.eu/eli/reg/2026/261/oj</w:t>
        </w:r>
      </w:hyperlink>
      <w:r w:rsidRPr="00961AB4">
        <w:rPr>
          <w:sz w:val="24"/>
          <w:lang w:val="sv-SE"/>
        </w:rPr>
        <w:t>).</w:t>
      </w:r>
    </w:p>
  </w:footnote>
  <w:footnote w:id="3">
    <w:p w14:paraId="6649EBEA" w14:textId="10518CAE" w:rsidR="005B381D" w:rsidRPr="005F6183" w:rsidRDefault="00F90E54" w:rsidP="005F6183">
      <w:pPr>
        <w:pStyle w:val="Normal6a"/>
        <w:ind w:left="567" w:hanging="567"/>
      </w:pPr>
      <w:r w:rsidRPr="005F6183">
        <w:rPr>
          <w:vertAlign w:val="superscript"/>
        </w:rPr>
        <w:t>3</w:t>
      </w:r>
      <w:r w:rsidR="005B381D" w:rsidRPr="005B381D">
        <w:t xml:space="preserve"> </w:t>
      </w:r>
      <w:r w:rsidR="005B381D" w:rsidRPr="005F6183">
        <w:tab/>
        <w:t>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w:t>
      </w:r>
      <w:r w:rsidR="005B381D" w:rsidRPr="005F6183">
        <w:t>12, ELI: </w:t>
      </w:r>
      <w:hyperlink r:id="rId2" w:tooltip="Gives access to this document through its ELI URI." w:history="1">
        <w:r w:rsidR="005B381D" w:rsidRPr="005F6183">
          <w:rPr>
            <w:rStyle w:val="Hyperlink"/>
          </w:rPr>
          <w:t>http://data.europa.eu/eli/dir/2001/55/oj</w:t>
        </w:r>
      </w:hyperlink>
      <w:r w:rsidR="005B381D" w:rsidRPr="005F6183">
        <w:t>).</w:t>
      </w:r>
    </w:p>
  </w:footnote>
  <w:footnote w:id="4">
    <w:p w14:paraId="4337984C" w14:textId="74D117BB" w:rsidR="005B381D" w:rsidRPr="005F6183" w:rsidRDefault="005B381D" w:rsidP="005F6183">
      <w:pPr>
        <w:pStyle w:val="FootnoteText"/>
        <w:ind w:left="567" w:hanging="567"/>
        <w:rPr>
          <w:sz w:val="24"/>
          <w:szCs w:val="24"/>
          <w:lang w:val="sv-SE"/>
        </w:rPr>
      </w:pPr>
      <w:r>
        <w:rPr>
          <w:rStyle w:val="FootnoteReference"/>
        </w:rPr>
        <w:footnoteRef/>
      </w:r>
      <w:r w:rsidRPr="005F6183">
        <w:rPr>
          <w:lang w:val="sv-SE"/>
        </w:rPr>
        <w:t xml:space="preserve"> </w:t>
      </w:r>
      <w:r w:rsidRPr="005F6183">
        <w:rPr>
          <w:lang w:val="sv-SE"/>
        </w:rPr>
        <w:tab/>
      </w:r>
      <w:r w:rsidRPr="005F6183">
        <w:rPr>
          <w:sz w:val="24"/>
          <w:szCs w:val="24"/>
          <w:lang w:val="sv-SE"/>
        </w:rPr>
        <w:t xml:space="preserve">Europaparlamentets resolution av den 29 februari 2024 om behovet av EU:s orubbliga stöd till Ukraina efter två år av Rysslands anfallskrig mot Ukraina (EUT C, C/2024/6745, 26.11.2024, ELI: </w:t>
      </w:r>
      <w:hyperlink r:id="rId3" w:history="1">
        <w:r w:rsidRPr="005F6183">
          <w:rPr>
            <w:rStyle w:val="Hyperlink"/>
            <w:sz w:val="24"/>
            <w:szCs w:val="24"/>
            <w:lang w:val="sv-SE"/>
          </w:rPr>
          <w:t>http://data.europa.eu/eli/C/2024/6745/oj</w:t>
        </w:r>
      </w:hyperlink>
      <w:r w:rsidRPr="005F6183">
        <w:rPr>
          <w:sz w:val="24"/>
          <w:szCs w:val="24"/>
          <w:lang w:val="sv-SE"/>
        </w:rPr>
        <w:t>).</w:t>
      </w:r>
    </w:p>
  </w:footnote>
  <w:footnote w:id="5">
    <w:p w14:paraId="3C28991D" w14:textId="46DA6C02" w:rsidR="00680672" w:rsidRPr="005B381D" w:rsidRDefault="00680672" w:rsidP="00961AB4">
      <w:pPr>
        <w:pStyle w:val="FootnoteText"/>
        <w:ind w:left="567" w:hanging="567"/>
        <w:rPr>
          <w:sz w:val="24"/>
          <w:lang w:val="fi-FI"/>
        </w:rPr>
      </w:pPr>
      <w:r w:rsidRPr="00961AB4">
        <w:rPr>
          <w:rStyle w:val="FootnoteReference"/>
          <w:sz w:val="24"/>
          <w:lang w:val="sv-SE"/>
        </w:rPr>
        <w:footnoteRef/>
      </w:r>
      <w:r w:rsidR="00961AB4" w:rsidRPr="005B381D">
        <w:rPr>
          <w:sz w:val="24"/>
          <w:lang w:val="fi-FI"/>
        </w:rPr>
        <w:t xml:space="preserve"> </w:t>
      </w:r>
      <w:r w:rsidR="00961AB4" w:rsidRPr="005B381D">
        <w:rPr>
          <w:sz w:val="24"/>
          <w:lang w:val="fi-FI"/>
        </w:rPr>
        <w:tab/>
      </w:r>
      <w:r w:rsidRPr="005B381D">
        <w:rPr>
          <w:sz w:val="24"/>
          <w:lang w:val="fi-FI"/>
        </w:rPr>
        <w:t xml:space="preserve">EGT L 344, 28.12.2001, s. 93, ELI: </w:t>
      </w:r>
      <w:hyperlink r:id="rId4" w:history="1">
        <w:r w:rsidRPr="005B381D">
          <w:rPr>
            <w:rStyle w:val="Hyperlink"/>
            <w:sz w:val="24"/>
            <w:lang w:val="fi-FI"/>
          </w:rPr>
          <w:t>http://data.europa.eu/eli/compos/2001/931/oj</w:t>
        </w:r>
      </w:hyperlink>
      <w:r w:rsidRPr="005B381D">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3CC41" w14:textId="77777777" w:rsidR="00064002" w:rsidRPr="00961AB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0622F" w14:textId="77777777" w:rsidR="00064002" w:rsidRPr="00961AB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933F3" w14:textId="77777777" w:rsidR="00064002" w:rsidRPr="00961A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8917401">
    <w:abstractNumId w:val="9"/>
  </w:num>
  <w:num w:numId="2" w16cid:durableId="166218361">
    <w:abstractNumId w:val="9"/>
  </w:num>
  <w:num w:numId="3" w16cid:durableId="1469856747">
    <w:abstractNumId w:val="7"/>
  </w:num>
  <w:num w:numId="4" w16cid:durableId="20711193">
    <w:abstractNumId w:val="7"/>
  </w:num>
  <w:num w:numId="5" w16cid:durableId="1792506372">
    <w:abstractNumId w:val="6"/>
  </w:num>
  <w:num w:numId="6" w16cid:durableId="372269684">
    <w:abstractNumId w:val="6"/>
  </w:num>
  <w:num w:numId="7" w16cid:durableId="1437477115">
    <w:abstractNumId w:val="5"/>
  </w:num>
  <w:num w:numId="8" w16cid:durableId="463935628">
    <w:abstractNumId w:val="5"/>
  </w:num>
  <w:num w:numId="9" w16cid:durableId="1795170925">
    <w:abstractNumId w:val="4"/>
  </w:num>
  <w:num w:numId="10" w16cid:durableId="190921664">
    <w:abstractNumId w:val="4"/>
  </w:num>
  <w:num w:numId="11" w16cid:durableId="486167009">
    <w:abstractNumId w:val="8"/>
  </w:num>
  <w:num w:numId="12" w16cid:durableId="681475016">
    <w:abstractNumId w:val="8"/>
  </w:num>
  <w:num w:numId="13" w16cid:durableId="124205686">
    <w:abstractNumId w:val="3"/>
  </w:num>
  <w:num w:numId="14" w16cid:durableId="27487611">
    <w:abstractNumId w:val="3"/>
  </w:num>
  <w:num w:numId="15" w16cid:durableId="1343893883">
    <w:abstractNumId w:val="2"/>
  </w:num>
  <w:num w:numId="16" w16cid:durableId="1952397561">
    <w:abstractNumId w:val="2"/>
  </w:num>
  <w:num w:numId="17" w16cid:durableId="1854612838">
    <w:abstractNumId w:val="1"/>
  </w:num>
  <w:num w:numId="18" w16cid:durableId="1123307888">
    <w:abstractNumId w:val="1"/>
  </w:num>
  <w:num w:numId="19" w16cid:durableId="1086153663">
    <w:abstractNumId w:val="0"/>
  </w:num>
  <w:num w:numId="20" w16cid:durableId="443161691">
    <w:abstractNumId w:val="0"/>
  </w:num>
  <w:num w:numId="21" w16cid:durableId="59519484">
    <w:abstractNumId w:val="9"/>
  </w:num>
  <w:num w:numId="22" w16cid:durableId="1850636277">
    <w:abstractNumId w:val="7"/>
  </w:num>
  <w:num w:numId="23" w16cid:durableId="2099791413">
    <w:abstractNumId w:val="6"/>
  </w:num>
  <w:num w:numId="24" w16cid:durableId="416562274">
    <w:abstractNumId w:val="5"/>
  </w:num>
  <w:num w:numId="25" w16cid:durableId="1604679023">
    <w:abstractNumId w:val="4"/>
  </w:num>
  <w:num w:numId="26" w16cid:durableId="853030183">
    <w:abstractNumId w:val="8"/>
  </w:num>
  <w:num w:numId="27" w16cid:durableId="1077284177">
    <w:abstractNumId w:val="3"/>
  </w:num>
  <w:num w:numId="28" w16cid:durableId="344283652">
    <w:abstractNumId w:val="2"/>
  </w:num>
  <w:num w:numId="29" w16cid:durableId="1921403751">
    <w:abstractNumId w:val="1"/>
  </w:num>
  <w:num w:numId="30" w16cid:durableId="1566993859">
    <w:abstractNumId w:val="0"/>
  </w:num>
  <w:num w:numId="31" w16cid:durableId="2143886253">
    <w:abstractNumId w:val="9"/>
  </w:num>
  <w:num w:numId="32" w16cid:durableId="274824847">
    <w:abstractNumId w:val="7"/>
  </w:num>
  <w:num w:numId="33" w16cid:durableId="847673110">
    <w:abstractNumId w:val="6"/>
  </w:num>
  <w:num w:numId="34" w16cid:durableId="269093369">
    <w:abstractNumId w:val="5"/>
  </w:num>
  <w:num w:numId="35" w16cid:durableId="2005817511">
    <w:abstractNumId w:val="4"/>
  </w:num>
  <w:num w:numId="36" w16cid:durableId="1140729202">
    <w:abstractNumId w:val="8"/>
  </w:num>
  <w:num w:numId="37" w16cid:durableId="1622765332">
    <w:abstractNumId w:val="3"/>
  </w:num>
  <w:num w:numId="38" w16cid:durableId="1893887649">
    <w:abstractNumId w:val="2"/>
  </w:num>
  <w:num w:numId="39" w16cid:durableId="306278573">
    <w:abstractNumId w:val="1"/>
  </w:num>
  <w:num w:numId="40" w16cid:durableId="1509562803">
    <w:abstractNumId w:val="0"/>
  </w:num>
  <w:num w:numId="41" w16cid:durableId="1839924635">
    <w:abstractNumId w:val="10"/>
  </w:num>
  <w:num w:numId="42" w16cid:durableId="496504427">
    <w:abstractNumId w:val="10"/>
  </w:num>
  <w:num w:numId="43" w16cid:durableId="204683465">
    <w:abstractNumId w:val="10"/>
  </w:num>
  <w:num w:numId="44" w16cid:durableId="20061301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43/2026"/>
    <w:docVar w:name="dvlangue" w:val="SV"/>
    <w:docVar w:name="dvnumam" w:val="0"/>
    <w:docVar w:name="dvpe" w:val="782.958"/>
    <w:docVar w:name="dvtitre" w:val="Europaparlamentets resolution av den xx xx 2026 om fyra år av Rysslands anfallskrig mot Ukraina och de europeiska bidragen till en rättvis fred och varaktig säkerhet för Ukraina(2026/2599(RSP))"/>
  </w:docVars>
  <w:rsids>
    <w:rsidRoot w:val="00EF6E49"/>
    <w:rsid w:val="00002272"/>
    <w:rsid w:val="00064002"/>
    <w:rsid w:val="000677B9"/>
    <w:rsid w:val="000831BA"/>
    <w:rsid w:val="000A42CC"/>
    <w:rsid w:val="000E7DD9"/>
    <w:rsid w:val="0010095E"/>
    <w:rsid w:val="00125B37"/>
    <w:rsid w:val="00187494"/>
    <w:rsid w:val="001F32AE"/>
    <w:rsid w:val="001F43B4"/>
    <w:rsid w:val="002767FF"/>
    <w:rsid w:val="002B18FE"/>
    <w:rsid w:val="002B5493"/>
    <w:rsid w:val="00343214"/>
    <w:rsid w:val="00361C00"/>
    <w:rsid w:val="00395FA1"/>
    <w:rsid w:val="003E15D4"/>
    <w:rsid w:val="0041158D"/>
    <w:rsid w:val="00411CCE"/>
    <w:rsid w:val="0041666E"/>
    <w:rsid w:val="00421060"/>
    <w:rsid w:val="00471C19"/>
    <w:rsid w:val="004867E3"/>
    <w:rsid w:val="00494A28"/>
    <w:rsid w:val="004C0004"/>
    <w:rsid w:val="004C5D52"/>
    <w:rsid w:val="004D1AF5"/>
    <w:rsid w:val="0050519A"/>
    <w:rsid w:val="005072A1"/>
    <w:rsid w:val="00514517"/>
    <w:rsid w:val="00545827"/>
    <w:rsid w:val="00560270"/>
    <w:rsid w:val="005B381D"/>
    <w:rsid w:val="005C2568"/>
    <w:rsid w:val="005F1B17"/>
    <w:rsid w:val="005F6183"/>
    <w:rsid w:val="006037C0"/>
    <w:rsid w:val="006631B6"/>
    <w:rsid w:val="00680577"/>
    <w:rsid w:val="00680672"/>
    <w:rsid w:val="006F74FA"/>
    <w:rsid w:val="00731ADD"/>
    <w:rsid w:val="00734777"/>
    <w:rsid w:val="00747932"/>
    <w:rsid w:val="00751A4A"/>
    <w:rsid w:val="00756632"/>
    <w:rsid w:val="00762C74"/>
    <w:rsid w:val="00764459"/>
    <w:rsid w:val="00786EC0"/>
    <w:rsid w:val="007D1690"/>
    <w:rsid w:val="007E22AD"/>
    <w:rsid w:val="00817416"/>
    <w:rsid w:val="00842779"/>
    <w:rsid w:val="00865F67"/>
    <w:rsid w:val="00881A7B"/>
    <w:rsid w:val="008840E5"/>
    <w:rsid w:val="00887B3E"/>
    <w:rsid w:val="008C2AC6"/>
    <w:rsid w:val="008C527B"/>
    <w:rsid w:val="00930C23"/>
    <w:rsid w:val="0093193B"/>
    <w:rsid w:val="009509D8"/>
    <w:rsid w:val="00950B64"/>
    <w:rsid w:val="00961AB4"/>
    <w:rsid w:val="00964B8F"/>
    <w:rsid w:val="00981893"/>
    <w:rsid w:val="00A1687D"/>
    <w:rsid w:val="00A43E52"/>
    <w:rsid w:val="00A4678D"/>
    <w:rsid w:val="00A778C7"/>
    <w:rsid w:val="00AB441E"/>
    <w:rsid w:val="00AB6293"/>
    <w:rsid w:val="00AE0928"/>
    <w:rsid w:val="00AF3B82"/>
    <w:rsid w:val="00B12E95"/>
    <w:rsid w:val="00B22876"/>
    <w:rsid w:val="00B558F0"/>
    <w:rsid w:val="00BD48FE"/>
    <w:rsid w:val="00BD5E45"/>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6E49"/>
    <w:rsid w:val="00F04346"/>
    <w:rsid w:val="00F075DC"/>
    <w:rsid w:val="00F149E9"/>
    <w:rsid w:val="00F5134D"/>
    <w:rsid w:val="00F74202"/>
    <w:rsid w:val="00F87713"/>
    <w:rsid w:val="00F90E5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5B9817"/>
  <w15:chartTrackingRefBased/>
  <w15:docId w15:val="{C1DAA630-B325-4EE6-A5AC-60274C6B2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80672"/>
    <w:rPr>
      <w:b/>
    </w:rPr>
  </w:style>
  <w:style w:type="paragraph" w:customStyle="1" w:styleId="NormalHanging12a">
    <w:name w:val="NormalHanging12a"/>
    <w:basedOn w:val="Normal"/>
    <w:rsid w:val="00680672"/>
    <w:pPr>
      <w:spacing w:after="240"/>
      <w:ind w:left="567" w:hanging="567"/>
    </w:pPr>
  </w:style>
  <w:style w:type="paragraph" w:customStyle="1" w:styleId="EPComma">
    <w:name w:val="EPComma"/>
    <w:basedOn w:val="Normal"/>
    <w:link w:val="EPCommaChar"/>
    <w:rsid w:val="00680672"/>
    <w:pPr>
      <w:spacing w:before="480" w:after="240"/>
    </w:pPr>
  </w:style>
  <w:style w:type="character" w:customStyle="1" w:styleId="EPCommaChar">
    <w:name w:val="EPComma Char"/>
    <w:basedOn w:val="DefaultParagraphFont"/>
    <w:link w:val="EPComma"/>
    <w:rsid w:val="00680672"/>
    <w:rPr>
      <w:sz w:val="24"/>
      <w:lang w:val="sv-SE"/>
    </w:rPr>
  </w:style>
  <w:style w:type="character" w:styleId="Hyperlink">
    <w:name w:val="Hyperlink"/>
    <w:basedOn w:val="DefaultParagraphFont"/>
    <w:rsid w:val="00680672"/>
    <w:rPr>
      <w:color w:val="0563C1" w:themeColor="hyperlink"/>
      <w:u w:val="single"/>
    </w:rPr>
  </w:style>
  <w:style w:type="paragraph" w:styleId="Revision">
    <w:name w:val="Revision"/>
    <w:hidden/>
    <w:uiPriority w:val="99"/>
    <w:semiHidden/>
    <w:rsid w:val="005B381D"/>
    <w:rPr>
      <w:sz w:val="24"/>
      <w:lang w:val="sv-SE"/>
    </w:rPr>
  </w:style>
  <w:style w:type="character" w:styleId="CommentReference">
    <w:name w:val="annotation reference"/>
    <w:basedOn w:val="DefaultParagraphFont"/>
    <w:rsid w:val="005B381D"/>
    <w:rPr>
      <w:sz w:val="16"/>
      <w:szCs w:val="16"/>
    </w:rPr>
  </w:style>
  <w:style w:type="paragraph" w:styleId="CommentText">
    <w:name w:val="annotation text"/>
    <w:basedOn w:val="Normal"/>
    <w:link w:val="CommentTextChar"/>
    <w:rsid w:val="005B381D"/>
    <w:rPr>
      <w:sz w:val="20"/>
    </w:rPr>
  </w:style>
  <w:style w:type="character" w:customStyle="1" w:styleId="CommentTextChar">
    <w:name w:val="Comment Text Char"/>
    <w:basedOn w:val="DefaultParagraphFont"/>
    <w:link w:val="CommentText"/>
    <w:rsid w:val="005B381D"/>
    <w:rPr>
      <w:lang w:val="sv-SE"/>
    </w:rPr>
  </w:style>
  <w:style w:type="paragraph" w:styleId="CommentSubject">
    <w:name w:val="annotation subject"/>
    <w:basedOn w:val="CommentText"/>
    <w:next w:val="CommentText"/>
    <w:link w:val="CommentSubjectChar"/>
    <w:rsid w:val="005B381D"/>
    <w:rPr>
      <w:b/>
      <w:bCs/>
    </w:rPr>
  </w:style>
  <w:style w:type="character" w:customStyle="1" w:styleId="CommentSubjectChar">
    <w:name w:val="Comment Subject Char"/>
    <w:basedOn w:val="CommentTextChar"/>
    <w:link w:val="CommentSubject"/>
    <w:rsid w:val="005B381D"/>
    <w:rPr>
      <w:b/>
      <w:bCs/>
      <w:lang w:val="sv-SE"/>
    </w:rPr>
  </w:style>
  <w:style w:type="paragraph" w:customStyle="1" w:styleId="Normal6a">
    <w:name w:val="Normal6a"/>
    <w:basedOn w:val="Normal"/>
    <w:rsid w:val="005B381D"/>
    <w:pPr>
      <w:spacing w:after="120"/>
    </w:pPr>
  </w:style>
  <w:style w:type="character" w:styleId="UnresolvedMention">
    <w:name w:val="Unresolved Mention"/>
    <w:basedOn w:val="DefaultParagraphFont"/>
    <w:uiPriority w:val="99"/>
    <w:semiHidden/>
    <w:unhideWhenUsed/>
    <w:rsid w:val="00F90E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5/oj" TargetMode="External"/><Relationship Id="rId2" Type="http://schemas.openxmlformats.org/officeDocument/2006/relationships/hyperlink" Target="http://data.europa.eu/eli/dir/2001/55/oj" TargetMode="External"/><Relationship Id="rId1" Type="http://schemas.openxmlformats.org/officeDocument/2006/relationships/hyperlink" Target="http://data.europa.eu/eli/reg/2026/261/oj" TargetMode="External"/><Relationship Id="rId4" Type="http://schemas.openxmlformats.org/officeDocument/2006/relationships/hyperlink" Target="http://data.europa.eu/eli/compos/2001/931/oj/s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3428</Words>
  <Characters>22464</Characters>
  <Application>Microsoft Office Word</Application>
  <DocSecurity>0</DocSecurity>
  <Lines>187</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2026-02-24T12:04:00Z</dcterms:created>
  <dcterms:modified xsi:type="dcterms:W3CDTF">2026-02-24T12:04:00Z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B10-0143/2026</vt:lpwstr>
  </property>
  <property fmtid="{D5CDD505-2E9C-101B-9397-08002B2CF9AE}" pid="4" name="&lt;Type&gt;">
    <vt:lpwstr>RR</vt:lpwstr>
  </property>
</Properties>
</file>