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06A7" w14:paraId="4BB457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352990" w14:textId="77777777" w:rsidR="00751A4A" w:rsidRPr="005406A7" w:rsidRDefault="000A4BEB" w:rsidP="0010095E">
            <w:pPr>
              <w:pStyle w:val="EPName"/>
            </w:pPr>
            <w:r w:rsidRPr="005406A7">
              <w:t>Parlamento europeo</w:t>
            </w:r>
          </w:p>
          <w:p w14:paraId="6B8855C6" w14:textId="77777777" w:rsidR="00751A4A" w:rsidRPr="005406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06A7">
              <w:t>2024</w:t>
            </w:r>
            <w:r w:rsidR="00817416" w:rsidRPr="005406A7">
              <w:t>-202</w:t>
            </w:r>
            <w:r w:rsidRPr="005406A7">
              <w:t>9</w:t>
            </w:r>
          </w:p>
        </w:tc>
        <w:tc>
          <w:tcPr>
            <w:tcW w:w="2268" w:type="dxa"/>
            <w:shd w:val="clear" w:color="auto" w:fill="auto"/>
          </w:tcPr>
          <w:p w14:paraId="684F77D0" w14:textId="77777777" w:rsidR="00751A4A" w:rsidRPr="005406A7" w:rsidRDefault="00187494" w:rsidP="0010095E">
            <w:pPr>
              <w:pStyle w:val="EPLogo"/>
            </w:pPr>
            <w:r w:rsidRPr="005406A7">
              <w:rPr>
                <w:noProof/>
                <w:lang w:eastAsia="ja-JP"/>
              </w:rPr>
              <w:drawing>
                <wp:inline distT="0" distB="0" distL="0" distR="0" wp14:anchorId="6A075C2C" wp14:editId="3767F7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9E187B" w14:textId="77777777" w:rsidR="00D058B8" w:rsidRPr="005406A7" w:rsidRDefault="00D058B8" w:rsidP="004C5D52">
      <w:pPr>
        <w:pStyle w:val="LineTop"/>
      </w:pPr>
    </w:p>
    <w:p w14:paraId="2C1E0A6A" w14:textId="77777777" w:rsidR="00680577" w:rsidRPr="005406A7" w:rsidRDefault="000A4BEB" w:rsidP="00680577">
      <w:pPr>
        <w:pStyle w:val="EPBodyTA1"/>
      </w:pPr>
      <w:r w:rsidRPr="005406A7">
        <w:t>TESTI APPROVATI</w:t>
      </w:r>
    </w:p>
    <w:p w14:paraId="17825549" w14:textId="77777777" w:rsidR="00D058B8" w:rsidRPr="005406A7" w:rsidRDefault="00D058B8" w:rsidP="00D058B8">
      <w:pPr>
        <w:pStyle w:val="LineBottom"/>
      </w:pPr>
    </w:p>
    <w:p w14:paraId="7E0E7DA6" w14:textId="22D28496" w:rsidR="000A4BEB" w:rsidRPr="005406A7" w:rsidRDefault="000A4BEB" w:rsidP="000A4BEB">
      <w:pPr>
        <w:pStyle w:val="ATHeading1"/>
      </w:pPr>
      <w:bookmarkStart w:id="0" w:name="TANumber"/>
      <w:r w:rsidRPr="005406A7">
        <w:t>P10_</w:t>
      </w:r>
      <w:proofErr w:type="gramStart"/>
      <w:r w:rsidRPr="005406A7">
        <w:t>TA(</w:t>
      </w:r>
      <w:proofErr w:type="gramEnd"/>
      <w:r w:rsidRPr="005406A7">
        <w:t>2026)00</w:t>
      </w:r>
      <w:r w:rsidR="00C003A8" w:rsidRPr="005406A7">
        <w:t>57</w:t>
      </w:r>
      <w:bookmarkEnd w:id="0"/>
    </w:p>
    <w:p w14:paraId="0CF748FC" w14:textId="77777777" w:rsidR="000A4BEB" w:rsidRPr="005406A7" w:rsidRDefault="000A4BEB" w:rsidP="000A4BEB">
      <w:pPr>
        <w:pStyle w:val="ATHeading2"/>
      </w:pPr>
      <w:bookmarkStart w:id="1" w:name="title"/>
      <w:r w:rsidRPr="005406A7">
        <w:t>Armonizzazione di taluni aspetti del diritto in materia di insolvenza</w:t>
      </w:r>
      <w:bookmarkEnd w:id="1"/>
    </w:p>
    <w:p w14:paraId="05B7B2CF" w14:textId="77777777" w:rsidR="000A4BEB" w:rsidRPr="005406A7" w:rsidRDefault="000A4BEB" w:rsidP="000A4BEB">
      <w:pPr>
        <w:rPr>
          <w:i/>
          <w:vanish/>
        </w:rPr>
      </w:pPr>
      <w:r w:rsidRPr="005406A7">
        <w:rPr>
          <w:i/>
        </w:rPr>
        <w:fldChar w:fldCharType="begin"/>
      </w:r>
      <w:r w:rsidRPr="005406A7">
        <w:rPr>
          <w:i/>
        </w:rPr>
        <w:instrText xml:space="preserve"> TC"(</w:instrText>
      </w:r>
      <w:bookmarkStart w:id="2" w:name="DocNumber"/>
      <w:r w:rsidRPr="005406A7">
        <w:rPr>
          <w:i/>
        </w:rPr>
        <w:instrText>A10-0126/2025</w:instrText>
      </w:r>
      <w:bookmarkEnd w:id="2"/>
      <w:r w:rsidRPr="005406A7">
        <w:rPr>
          <w:i/>
        </w:rPr>
        <w:instrText xml:space="preserve"> - Relatore: Emil Radev)"\l3 \n&gt; \* MERGEFORMAT </w:instrText>
      </w:r>
      <w:r w:rsidRPr="005406A7">
        <w:rPr>
          <w:i/>
        </w:rPr>
        <w:fldChar w:fldCharType="end"/>
      </w:r>
    </w:p>
    <w:p w14:paraId="735358B5" w14:textId="77777777" w:rsidR="000A4BEB" w:rsidRPr="005406A7" w:rsidRDefault="000A4BEB" w:rsidP="000A4BEB">
      <w:pPr>
        <w:rPr>
          <w:vanish/>
        </w:rPr>
      </w:pPr>
      <w:bookmarkStart w:id="3" w:name="Commission"/>
      <w:r w:rsidRPr="005406A7">
        <w:rPr>
          <w:vanish/>
        </w:rPr>
        <w:t>Commissione giuridica</w:t>
      </w:r>
      <w:bookmarkEnd w:id="3"/>
    </w:p>
    <w:p w14:paraId="5F7F09B8" w14:textId="77777777" w:rsidR="000A4BEB" w:rsidRPr="005406A7" w:rsidRDefault="000A4BEB" w:rsidP="000A4BEB">
      <w:pPr>
        <w:rPr>
          <w:vanish/>
        </w:rPr>
      </w:pPr>
      <w:bookmarkStart w:id="4" w:name="PE"/>
      <w:r w:rsidRPr="005406A7">
        <w:rPr>
          <w:vanish/>
        </w:rPr>
        <w:t>PE771.863</w:t>
      </w:r>
      <w:bookmarkEnd w:id="4"/>
    </w:p>
    <w:p w14:paraId="27A4BC53" w14:textId="77777777" w:rsidR="000A4BEB" w:rsidRPr="005406A7" w:rsidRDefault="000A4BEB" w:rsidP="000A4BEB">
      <w:pPr>
        <w:pStyle w:val="ATHeading3"/>
      </w:pPr>
      <w:bookmarkStart w:id="5" w:name="Sujet"/>
      <w:r w:rsidRPr="005406A7">
        <w:t>Risoluzione legislativa del Parlamento europeo del 10 marzo 2026 sulla proposta di direttiva del Parlamento europeo e del Consiglio che armonizza taluni aspetti del diritto in materia di insolvenza</w:t>
      </w:r>
      <w:bookmarkEnd w:id="5"/>
      <w:r w:rsidRPr="005406A7">
        <w:t xml:space="preserve"> </w:t>
      </w:r>
      <w:bookmarkStart w:id="6" w:name="References"/>
      <w:r w:rsidRPr="005406A7">
        <w:t>(COM(2022)0702 – C9-0410/2022 – 2022/0408(COD))</w:t>
      </w:r>
      <w:bookmarkEnd w:id="6"/>
    </w:p>
    <w:p w14:paraId="75D985E1" w14:textId="77777777" w:rsidR="00D52857" w:rsidRPr="005406A7" w:rsidRDefault="00D52857" w:rsidP="00D52857">
      <w:pPr>
        <w:pStyle w:val="NormalBold"/>
      </w:pPr>
      <w:r w:rsidRPr="005406A7">
        <w:t>(Procedura legislativa ordinaria: prima lettura)</w:t>
      </w:r>
    </w:p>
    <w:p w14:paraId="34F1FEC0" w14:textId="77777777" w:rsidR="00D52857" w:rsidRPr="005406A7" w:rsidRDefault="00D52857" w:rsidP="00D52857">
      <w:pPr>
        <w:pStyle w:val="EPComma"/>
      </w:pPr>
      <w:r w:rsidRPr="005406A7">
        <w:rPr>
          <w:i/>
          <w:iCs/>
        </w:rPr>
        <w:t>Il Parlamento europeo</w:t>
      </w:r>
      <w:r w:rsidRPr="005406A7">
        <w:t>,</w:t>
      </w:r>
    </w:p>
    <w:p w14:paraId="42C6E8E3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vista la proposta della Commissione al Parlamento europeo e al Consiglio (COM(2022)0702),</w:t>
      </w:r>
    </w:p>
    <w:p w14:paraId="63E11DD6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visti l'articolo 294, paragrafo 2, e l'articolo 114 del trattato sul funzionamento dell'Unione europea, a norma dei quali la proposta gli è stata presentata dalla Commissione (C9</w:t>
      </w:r>
      <w:r w:rsidRPr="005406A7">
        <w:noBreakHyphen/>
        <w:t>0410/2022),</w:t>
      </w:r>
    </w:p>
    <w:p w14:paraId="4E427E9F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visto l'articolo 294, paragrafo 3, del trattato sul funzionamento dell'Unione europea,</w:t>
      </w:r>
    </w:p>
    <w:p w14:paraId="222E8070" w14:textId="5A313BE3" w:rsidR="00DE0197" w:rsidRPr="005406A7" w:rsidRDefault="00DE0197" w:rsidP="00D52857">
      <w:pPr>
        <w:pStyle w:val="NormalHanging12a"/>
      </w:pPr>
      <w:r w:rsidRPr="005406A7">
        <w:t>–</w:t>
      </w:r>
      <w:r w:rsidRPr="005406A7">
        <w:tab/>
        <w:t>visto il parere del Comitato economico e sociale europeo del 22 marzo 2023</w:t>
      </w:r>
      <w:r w:rsidRPr="005406A7">
        <w:rPr>
          <w:rStyle w:val="FootnoteReference"/>
        </w:rPr>
        <w:footnoteReference w:id="1"/>
      </w:r>
      <w:r w:rsidRPr="005406A7">
        <w:t>,</w:t>
      </w:r>
    </w:p>
    <w:p w14:paraId="3C0F3D5C" w14:textId="000055BF" w:rsidR="00DE0197" w:rsidRPr="005406A7" w:rsidRDefault="00DE0197" w:rsidP="00D52857">
      <w:pPr>
        <w:pStyle w:val="NormalHanging12a"/>
      </w:pPr>
      <w:r w:rsidRPr="005406A7">
        <w:t>–</w:t>
      </w:r>
      <w:r w:rsidRPr="005406A7">
        <w:tab/>
      </w:r>
      <w:r w:rsidRPr="005406A7">
        <w:rPr>
          <w:szCs w:val="24"/>
        </w:rPr>
        <w:t xml:space="preserve">visti </w:t>
      </w:r>
      <w:r w:rsidRPr="005406A7">
        <w:t>l'accordo provvisorio approvato dalla commissione competente</w:t>
      </w:r>
      <w:r w:rsidRPr="005406A7">
        <w:rPr>
          <w:b/>
        </w:rPr>
        <w:t xml:space="preserve"> </w:t>
      </w:r>
      <w:r w:rsidRPr="005406A7">
        <w:t>a norma dell'articolo 75, paragrafo 4, del regolamento e l'impegno assunto dal rappresentante del Consiglio, con lettera del 5 dicembre 2025, di approvare la posizione del Parlamento europeo, in conformità dell'articolo 294, paragrafo 4, del trattato sul funzionamento dell'Unione europea,</w:t>
      </w:r>
    </w:p>
    <w:p w14:paraId="68007878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visto l'articolo 60 del suo regolamento,</w:t>
      </w:r>
    </w:p>
    <w:p w14:paraId="751A8435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visto il parere della commissione per i problemi economici e monetari,</w:t>
      </w:r>
    </w:p>
    <w:p w14:paraId="154EE5AF" w14:textId="77777777" w:rsidR="00D52857" w:rsidRPr="005406A7" w:rsidRDefault="00D52857" w:rsidP="00D52857">
      <w:pPr>
        <w:pStyle w:val="NormalHanging12a"/>
      </w:pPr>
      <w:r w:rsidRPr="005406A7">
        <w:t>–</w:t>
      </w:r>
      <w:r w:rsidRPr="005406A7">
        <w:tab/>
        <w:t>vista la relazione della commissione giuridica (A10</w:t>
      </w:r>
      <w:r w:rsidRPr="005406A7">
        <w:noBreakHyphen/>
        <w:t>0126/2025),</w:t>
      </w:r>
    </w:p>
    <w:p w14:paraId="0ECE2AF1" w14:textId="77777777" w:rsidR="00D52857" w:rsidRPr="005406A7" w:rsidRDefault="00D52857" w:rsidP="00D52857">
      <w:pPr>
        <w:pStyle w:val="NormalHanging12a"/>
      </w:pPr>
      <w:r w:rsidRPr="005406A7">
        <w:t>1.</w:t>
      </w:r>
      <w:r w:rsidRPr="005406A7">
        <w:tab/>
        <w:t xml:space="preserve">adotta la posizione in prima lettura figurante </w:t>
      </w:r>
      <w:proofErr w:type="gramStart"/>
      <w:r w:rsidRPr="005406A7">
        <w:t>in appresso</w:t>
      </w:r>
      <w:proofErr w:type="gramEnd"/>
      <w:r w:rsidRPr="005406A7">
        <w:t>;</w:t>
      </w:r>
    </w:p>
    <w:p w14:paraId="65DBE346" w14:textId="74365054" w:rsidR="00D52857" w:rsidRPr="005406A7" w:rsidRDefault="00DE0197" w:rsidP="00D52857">
      <w:pPr>
        <w:pStyle w:val="NormalHanging12a"/>
      </w:pPr>
      <w:r w:rsidRPr="005406A7">
        <w:t>2</w:t>
      </w:r>
      <w:r w:rsidR="00D52857" w:rsidRPr="005406A7">
        <w:t>.</w:t>
      </w:r>
      <w:r w:rsidR="00D52857" w:rsidRPr="005406A7">
        <w:tab/>
        <w:t xml:space="preserve">chiede alla Commissione di presentargli nuovamente la proposta qualora la sostituisca, </w:t>
      </w:r>
      <w:r w:rsidR="00D52857" w:rsidRPr="005406A7">
        <w:lastRenderedPageBreak/>
        <w:t>la modifichi sostanzialmente o intenda modificarla sostanzialmente;</w:t>
      </w:r>
    </w:p>
    <w:p w14:paraId="3FAADCBB" w14:textId="62B49662" w:rsidR="00D52857" w:rsidRPr="005406A7" w:rsidRDefault="00DE0197" w:rsidP="00D52857">
      <w:pPr>
        <w:pStyle w:val="NormalHanging12a"/>
      </w:pPr>
      <w:r w:rsidRPr="005406A7">
        <w:t>3</w:t>
      </w:r>
      <w:r w:rsidR="00D52857" w:rsidRPr="005406A7">
        <w:t>.</w:t>
      </w:r>
      <w:r w:rsidR="00D52857" w:rsidRPr="005406A7">
        <w:tab/>
        <w:t>incarica la sua Presidente di trasmettere la posizione del Parlamento al Consiglio e alla Commissione nonché ai parlamenti nazionali.</w:t>
      </w:r>
    </w:p>
    <w:p w14:paraId="1EAED1C2" w14:textId="77777777" w:rsidR="00DE0197" w:rsidRPr="005406A7" w:rsidRDefault="00DE0197" w:rsidP="00D52857">
      <w:pPr>
        <w:pStyle w:val="NormalHanging12a"/>
        <w:sectPr w:rsidR="00DE0197" w:rsidRPr="005406A7" w:rsidSect="00D9423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17C0E9A" w14:textId="44FA0EC9" w:rsidR="00EC10DB" w:rsidRPr="005406A7" w:rsidRDefault="00EC10DB" w:rsidP="00EC10D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406A7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5406A7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5406A7">
        <w:rPr>
          <w:rFonts w:eastAsia="Calibri"/>
          <w:b/>
          <w:bCs/>
          <w:color w:val="000000"/>
          <w:szCs w:val="24"/>
        </w:rPr>
        <w:t>202</w:t>
      </w:r>
      <w:r w:rsidR="00283454" w:rsidRPr="005406A7">
        <w:rPr>
          <w:rFonts w:eastAsia="Calibri"/>
          <w:b/>
          <w:bCs/>
          <w:color w:val="000000"/>
          <w:szCs w:val="24"/>
        </w:rPr>
        <w:t>2</w:t>
      </w:r>
      <w:r w:rsidRPr="005406A7">
        <w:rPr>
          <w:rFonts w:eastAsia="Calibri"/>
          <w:b/>
          <w:bCs/>
          <w:color w:val="000000"/>
          <w:szCs w:val="24"/>
        </w:rPr>
        <w:t>)0408</w:t>
      </w:r>
    </w:p>
    <w:p w14:paraId="03F64F31" w14:textId="4815FF0C" w:rsidR="00EC10DB" w:rsidRPr="005406A7" w:rsidRDefault="00EC10DB" w:rsidP="00EC10DB">
      <w:pPr>
        <w:spacing w:before="360" w:after="360"/>
        <w:rPr>
          <w:b/>
        </w:rPr>
      </w:pPr>
      <w:r w:rsidRPr="005406A7">
        <w:rPr>
          <w:b/>
        </w:rPr>
        <w:t xml:space="preserve">Posizione del Parlamento europeo definita in prima lettura il </w:t>
      </w:r>
      <w:r w:rsidR="002D1E93" w:rsidRPr="005406A7">
        <w:rPr>
          <w:b/>
        </w:rPr>
        <w:t>10 marzo 2026</w:t>
      </w:r>
      <w:r w:rsidRPr="005406A7">
        <w:rPr>
          <w:b/>
        </w:rPr>
        <w:t xml:space="preserve"> in vista dell'adozione della direttiva (UE) 2026/... del Parlamento europeo e del Consiglio che armonizza taluni aspetti del diritto in materia di insolvenza</w:t>
      </w:r>
    </w:p>
    <w:p w14:paraId="70B4FAD3" w14:textId="4143F4EB" w:rsidR="00E365E1" w:rsidRPr="005406A7" w:rsidRDefault="005406A7" w:rsidP="005406A7">
      <w:pPr>
        <w:rPr>
          <w:i/>
        </w:rPr>
      </w:pPr>
      <w:r w:rsidRPr="005406A7">
        <w:rPr>
          <w:i/>
        </w:rPr>
        <w:t>(Dato l'accordo tra il Parlamento e il Consiglio, la posizione del Parlamento corrisponde all'atto legislativo finale, la direttiva (UE) 2026/</w:t>
      </w:r>
      <w:r w:rsidRPr="005406A7">
        <w:rPr>
          <w:i/>
        </w:rPr>
        <w:t>799</w:t>
      </w:r>
      <w:r w:rsidRPr="005406A7">
        <w:rPr>
          <w:i/>
        </w:rPr>
        <w:t>.)</w:t>
      </w:r>
    </w:p>
    <w:sectPr w:rsidR="00E365E1" w:rsidRPr="005406A7" w:rsidSect="00D94230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D15E8" w14:textId="77777777" w:rsidR="000A4BEB" w:rsidRPr="00D94230" w:rsidRDefault="000A4BEB">
      <w:r w:rsidRPr="00D94230">
        <w:separator/>
      </w:r>
    </w:p>
  </w:endnote>
  <w:endnote w:type="continuationSeparator" w:id="0">
    <w:p w14:paraId="2BFC72E1" w14:textId="77777777" w:rsidR="000A4BEB" w:rsidRPr="00D94230" w:rsidRDefault="000A4BEB">
      <w:r w:rsidRPr="00D942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93046" w14:textId="77777777" w:rsidR="00EC10DB" w:rsidRPr="00EC10DB" w:rsidRDefault="00EC10DB" w:rsidP="00EC10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B8DDF" w14:textId="77777777" w:rsidR="000A4BEB" w:rsidRPr="00D94230" w:rsidRDefault="000A4BEB">
      <w:r w:rsidRPr="00D94230">
        <w:separator/>
      </w:r>
    </w:p>
  </w:footnote>
  <w:footnote w:type="continuationSeparator" w:id="0">
    <w:p w14:paraId="1D93ACDA" w14:textId="77777777" w:rsidR="000A4BEB" w:rsidRPr="00D94230" w:rsidRDefault="000A4BEB">
      <w:r w:rsidRPr="00D94230">
        <w:continuationSeparator/>
      </w:r>
    </w:p>
  </w:footnote>
  <w:footnote w:id="1">
    <w:p w14:paraId="2DD35061" w14:textId="73D03A34" w:rsidR="00DE0197" w:rsidRPr="003F6D1A" w:rsidRDefault="00DE0197">
      <w:pPr>
        <w:pStyle w:val="FootnoteText"/>
        <w:rPr>
          <w:sz w:val="24"/>
          <w:szCs w:val="24"/>
          <w:lang w:val="it-IT"/>
        </w:rPr>
      </w:pPr>
      <w:r w:rsidRPr="002D1E93">
        <w:rPr>
          <w:rStyle w:val="FootnoteReference"/>
          <w:sz w:val="24"/>
          <w:szCs w:val="24"/>
        </w:rPr>
        <w:footnoteRef/>
      </w:r>
      <w:r w:rsidRPr="002D1E93">
        <w:rPr>
          <w:sz w:val="24"/>
          <w:szCs w:val="24"/>
          <w:lang w:val="it-IT"/>
        </w:rPr>
        <w:t xml:space="preserve"> </w:t>
      </w:r>
      <w:r w:rsidRPr="002D1E93">
        <w:rPr>
          <w:sz w:val="24"/>
          <w:szCs w:val="24"/>
          <w:lang w:val="it-IT"/>
        </w:rPr>
        <w:tab/>
        <w:t>GU C 184 del 25.</w:t>
      </w:r>
      <w:r w:rsidR="003F63C8">
        <w:rPr>
          <w:sz w:val="24"/>
          <w:szCs w:val="24"/>
          <w:lang w:val="it-IT"/>
        </w:rPr>
        <w:t>5</w:t>
      </w:r>
      <w:r w:rsidRPr="002D1E93">
        <w:rPr>
          <w:sz w:val="24"/>
          <w:szCs w:val="24"/>
          <w:lang w:val="it-IT"/>
        </w:rPr>
        <w:t>.2023, pag. 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408425557">
    <w:abstractNumId w:val="2"/>
  </w:num>
  <w:num w:numId="2" w16cid:durableId="511846231">
    <w:abstractNumId w:val="13"/>
  </w:num>
  <w:num w:numId="3" w16cid:durableId="1849711167">
    <w:abstractNumId w:val="7"/>
  </w:num>
  <w:num w:numId="4" w16cid:durableId="222370147">
    <w:abstractNumId w:val="18"/>
  </w:num>
  <w:num w:numId="5" w16cid:durableId="1765224766">
    <w:abstractNumId w:val="21"/>
  </w:num>
  <w:num w:numId="6" w16cid:durableId="1193617883">
    <w:abstractNumId w:val="20"/>
  </w:num>
  <w:num w:numId="7" w16cid:durableId="1513186612">
    <w:abstractNumId w:val="37"/>
  </w:num>
  <w:num w:numId="8" w16cid:durableId="1973290246">
    <w:abstractNumId w:val="14"/>
  </w:num>
  <w:num w:numId="9" w16cid:durableId="475797889">
    <w:abstractNumId w:val="9"/>
  </w:num>
  <w:num w:numId="10" w16cid:durableId="440681932">
    <w:abstractNumId w:val="38"/>
  </w:num>
  <w:num w:numId="11" w16cid:durableId="1906988600">
    <w:abstractNumId w:val="12"/>
  </w:num>
  <w:num w:numId="12" w16cid:durableId="832914939">
    <w:abstractNumId w:val="5"/>
  </w:num>
  <w:num w:numId="13" w16cid:durableId="1152912750">
    <w:abstractNumId w:val="4"/>
  </w:num>
  <w:num w:numId="14" w16cid:durableId="242449776">
    <w:abstractNumId w:val="31"/>
  </w:num>
  <w:num w:numId="15" w16cid:durableId="361636823">
    <w:abstractNumId w:val="29"/>
  </w:num>
  <w:num w:numId="16" w16cid:durableId="92097237">
    <w:abstractNumId w:val="24"/>
  </w:num>
  <w:num w:numId="17" w16cid:durableId="1125848842">
    <w:abstractNumId w:val="6"/>
  </w:num>
  <w:num w:numId="18" w16cid:durableId="1466007105">
    <w:abstractNumId w:val="27"/>
  </w:num>
  <w:num w:numId="19" w16cid:durableId="1475875094">
    <w:abstractNumId w:val="1"/>
  </w:num>
  <w:num w:numId="20" w16cid:durableId="1816027014">
    <w:abstractNumId w:val="28"/>
  </w:num>
  <w:num w:numId="21" w16cid:durableId="1689023111">
    <w:abstractNumId w:val="25"/>
  </w:num>
  <w:num w:numId="22" w16cid:durableId="1106273980">
    <w:abstractNumId w:val="3"/>
  </w:num>
  <w:num w:numId="23" w16cid:durableId="154153400">
    <w:abstractNumId w:val="32"/>
  </w:num>
  <w:num w:numId="24" w16cid:durableId="366873316">
    <w:abstractNumId w:val="36"/>
  </w:num>
  <w:num w:numId="25" w16cid:durableId="1037966521">
    <w:abstractNumId w:val="22"/>
  </w:num>
  <w:num w:numId="26" w16cid:durableId="1971782157">
    <w:abstractNumId w:val="30"/>
  </w:num>
  <w:num w:numId="27" w16cid:durableId="2094692991">
    <w:abstractNumId w:val="26"/>
  </w:num>
  <w:num w:numId="28" w16cid:durableId="1095132390">
    <w:abstractNumId w:val="17"/>
  </w:num>
  <w:num w:numId="29" w16cid:durableId="1755589573">
    <w:abstractNumId w:val="0"/>
  </w:num>
  <w:num w:numId="30" w16cid:durableId="1059204818">
    <w:abstractNumId w:val="10"/>
  </w:num>
  <w:num w:numId="31" w16cid:durableId="1023554113">
    <w:abstractNumId w:val="8"/>
  </w:num>
  <w:num w:numId="32" w16cid:durableId="1342467967">
    <w:abstractNumId w:val="11"/>
  </w:num>
  <w:num w:numId="33" w16cid:durableId="1277717369">
    <w:abstractNumId w:val="23"/>
  </w:num>
  <w:num w:numId="34" w16cid:durableId="1186288313">
    <w:abstractNumId w:val="15"/>
  </w:num>
  <w:num w:numId="35" w16cid:durableId="525561290">
    <w:abstractNumId w:val="16"/>
  </w:num>
  <w:num w:numId="36" w16cid:durableId="50227971">
    <w:abstractNumId w:val="19"/>
  </w:num>
  <w:num w:numId="37" w16cid:durableId="1579635249">
    <w:abstractNumId w:val="34"/>
  </w:num>
  <w:num w:numId="38" w16cid:durableId="328409989">
    <w:abstractNumId w:val="33"/>
  </w:num>
  <w:num w:numId="39" w16cid:durableId="1055085742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IT"/>
    <w:docVar w:name="dvnumam" w:val="278"/>
    <w:docVar w:name="dvpe" w:val="771.863"/>
    <w:docVar w:name="dvrapporteur" w:val="Relatore: "/>
    <w:docVar w:name="dvstar" w:val="***I"/>
    <w:docVar w:name="dvtitre" w:val="Risoluzione legislativa del Parlamento europeo del 10 marzo 2026 sulla proposta di direttiva del Parlamento europeo e del Consiglio che armonizza taluni aspetti del diritto in materia di insolvenza(COM(2022)0702 – C9-0410/2022 – 2022/0408(COD))"/>
  </w:docVars>
  <w:rsids>
    <w:rsidRoot w:val="000A4BEB"/>
    <w:rsid w:val="00002272"/>
    <w:rsid w:val="00064002"/>
    <w:rsid w:val="000677B9"/>
    <w:rsid w:val="000831BA"/>
    <w:rsid w:val="000A42CC"/>
    <w:rsid w:val="000A4BEB"/>
    <w:rsid w:val="000C6066"/>
    <w:rsid w:val="000E7DD9"/>
    <w:rsid w:val="0010095E"/>
    <w:rsid w:val="00125B37"/>
    <w:rsid w:val="0015002C"/>
    <w:rsid w:val="001565E2"/>
    <w:rsid w:val="00187494"/>
    <w:rsid w:val="001F32AE"/>
    <w:rsid w:val="00225215"/>
    <w:rsid w:val="00233109"/>
    <w:rsid w:val="002767FF"/>
    <w:rsid w:val="00283454"/>
    <w:rsid w:val="002B18FE"/>
    <w:rsid w:val="002B5493"/>
    <w:rsid w:val="002D1E93"/>
    <w:rsid w:val="0030407F"/>
    <w:rsid w:val="00343214"/>
    <w:rsid w:val="00361C00"/>
    <w:rsid w:val="0039132C"/>
    <w:rsid w:val="00395FA1"/>
    <w:rsid w:val="003E15D4"/>
    <w:rsid w:val="003F63C8"/>
    <w:rsid w:val="003F6D1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6A7"/>
    <w:rsid w:val="00545827"/>
    <w:rsid w:val="00560270"/>
    <w:rsid w:val="00590163"/>
    <w:rsid w:val="005C2568"/>
    <w:rsid w:val="005D0D21"/>
    <w:rsid w:val="005F1B17"/>
    <w:rsid w:val="006037C0"/>
    <w:rsid w:val="006631B6"/>
    <w:rsid w:val="0067476B"/>
    <w:rsid w:val="00680577"/>
    <w:rsid w:val="006F74FA"/>
    <w:rsid w:val="00731ADD"/>
    <w:rsid w:val="00734777"/>
    <w:rsid w:val="00747932"/>
    <w:rsid w:val="00747FCB"/>
    <w:rsid w:val="00751A4A"/>
    <w:rsid w:val="00756632"/>
    <w:rsid w:val="00762C74"/>
    <w:rsid w:val="00786EC0"/>
    <w:rsid w:val="007C5062"/>
    <w:rsid w:val="007D1690"/>
    <w:rsid w:val="007E22AD"/>
    <w:rsid w:val="00817416"/>
    <w:rsid w:val="00842779"/>
    <w:rsid w:val="00863718"/>
    <w:rsid w:val="00865F67"/>
    <w:rsid w:val="00881A7B"/>
    <w:rsid w:val="008840E5"/>
    <w:rsid w:val="00887B3E"/>
    <w:rsid w:val="008B18CA"/>
    <w:rsid w:val="008C2AC6"/>
    <w:rsid w:val="00930C23"/>
    <w:rsid w:val="0093193B"/>
    <w:rsid w:val="009509D8"/>
    <w:rsid w:val="00950B64"/>
    <w:rsid w:val="00981893"/>
    <w:rsid w:val="00A1687D"/>
    <w:rsid w:val="00A231AC"/>
    <w:rsid w:val="00A2540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BCA"/>
    <w:rsid w:val="00B558F0"/>
    <w:rsid w:val="00BD48FE"/>
    <w:rsid w:val="00BD7BD8"/>
    <w:rsid w:val="00BE6ADC"/>
    <w:rsid w:val="00C003A8"/>
    <w:rsid w:val="00C05BFE"/>
    <w:rsid w:val="00C23CD4"/>
    <w:rsid w:val="00C35CD5"/>
    <w:rsid w:val="00C61C0C"/>
    <w:rsid w:val="00C941CB"/>
    <w:rsid w:val="00CC2357"/>
    <w:rsid w:val="00CF071A"/>
    <w:rsid w:val="00D058B8"/>
    <w:rsid w:val="00D52857"/>
    <w:rsid w:val="00D56C11"/>
    <w:rsid w:val="00D834A0"/>
    <w:rsid w:val="00D872DF"/>
    <w:rsid w:val="00D91E21"/>
    <w:rsid w:val="00D94230"/>
    <w:rsid w:val="00DA7FCD"/>
    <w:rsid w:val="00DE0197"/>
    <w:rsid w:val="00DF7203"/>
    <w:rsid w:val="00E33684"/>
    <w:rsid w:val="00E365E1"/>
    <w:rsid w:val="00E820A4"/>
    <w:rsid w:val="00EB006A"/>
    <w:rsid w:val="00EB4772"/>
    <w:rsid w:val="00EC10DB"/>
    <w:rsid w:val="00ED169E"/>
    <w:rsid w:val="00ED4235"/>
    <w:rsid w:val="00F04346"/>
    <w:rsid w:val="00F075DC"/>
    <w:rsid w:val="00F149E9"/>
    <w:rsid w:val="00F5134D"/>
    <w:rsid w:val="00F5499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BBB0A"/>
  <w15:chartTrackingRefBased/>
  <w15:docId w15:val="{F3AF9054-90FA-4249-A12C-67880CD2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528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528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8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8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8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857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857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857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857"/>
    <w:rPr>
      <w:rFonts w:ascii="Arial" w:hAnsi="Arial"/>
      <w:b/>
      <w:i/>
      <w:sz w:val="18"/>
      <w:lang w:val="it-IT"/>
    </w:rPr>
  </w:style>
  <w:style w:type="paragraph" w:styleId="TOCHeading">
    <w:name w:val="TOC Heading"/>
    <w:basedOn w:val="Normal"/>
    <w:next w:val="Normal"/>
    <w:uiPriority w:val="39"/>
    <w:unhideWhenUsed/>
    <w:qFormat/>
    <w:rsid w:val="00D528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528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5285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52857"/>
    <w:pPr>
      <w:spacing w:after="120"/>
    </w:pPr>
  </w:style>
  <w:style w:type="paragraph" w:customStyle="1" w:styleId="PageHeading">
    <w:name w:val="PageHeading"/>
    <w:basedOn w:val="Normal"/>
    <w:rsid w:val="00D528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5285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52857"/>
    <w:rPr>
      <w:b/>
      <w:sz w:val="24"/>
      <w:lang w:val="it-IT"/>
    </w:rPr>
  </w:style>
  <w:style w:type="paragraph" w:customStyle="1" w:styleId="NormalBold12a">
    <w:name w:val="NormalBold12a"/>
    <w:basedOn w:val="Normal"/>
    <w:rsid w:val="00D52857"/>
    <w:pPr>
      <w:spacing w:after="240"/>
    </w:pPr>
    <w:rPr>
      <w:b/>
    </w:rPr>
  </w:style>
  <w:style w:type="paragraph" w:customStyle="1" w:styleId="AmJustText">
    <w:name w:val="AmJustText"/>
    <w:basedOn w:val="Normal"/>
    <w:rsid w:val="00D5285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528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52857"/>
    <w:pPr>
      <w:spacing w:after="480"/>
      <w:ind w:left="1417"/>
    </w:pPr>
  </w:style>
  <w:style w:type="paragraph" w:customStyle="1" w:styleId="CoverNormal">
    <w:name w:val="CoverNormal"/>
    <w:basedOn w:val="Normal"/>
    <w:rsid w:val="00D52857"/>
    <w:pPr>
      <w:ind w:left="1418"/>
    </w:pPr>
  </w:style>
  <w:style w:type="paragraph" w:customStyle="1" w:styleId="AmCrossRef">
    <w:name w:val="AmCrossRef"/>
    <w:basedOn w:val="Normal"/>
    <w:rsid w:val="00D528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5285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528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528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528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5285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52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857"/>
    <w:rPr>
      <w:sz w:val="24"/>
      <w:lang w:val="it-IT"/>
    </w:rPr>
  </w:style>
  <w:style w:type="paragraph" w:customStyle="1" w:styleId="AmOrLang">
    <w:name w:val="AmOrLang"/>
    <w:basedOn w:val="Normal"/>
    <w:rsid w:val="00D528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528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528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D52857"/>
    <w:rPr>
      <w:b/>
      <w:sz w:val="24"/>
      <w:lang w:val="it-IT"/>
    </w:rPr>
  </w:style>
  <w:style w:type="paragraph" w:customStyle="1" w:styleId="NormalBold12b">
    <w:name w:val="NormalBold12b"/>
    <w:basedOn w:val="Normal"/>
    <w:link w:val="NormalBold12bChar"/>
    <w:rsid w:val="00D52857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D52857"/>
    <w:rPr>
      <w:b/>
      <w:sz w:val="24"/>
      <w:lang w:val="it-IT"/>
    </w:rPr>
  </w:style>
  <w:style w:type="paragraph" w:customStyle="1" w:styleId="EPBody">
    <w:name w:val="EPBody"/>
    <w:basedOn w:val="Normal"/>
    <w:rsid w:val="00D528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528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52857"/>
    <w:pPr>
      <w:spacing w:before="480" w:after="240"/>
    </w:pPr>
  </w:style>
  <w:style w:type="paragraph" w:customStyle="1" w:styleId="Lgendesigne">
    <w:name w:val="Légende signe"/>
    <w:basedOn w:val="Normal"/>
    <w:rsid w:val="00D528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528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52857"/>
    <w:rPr>
      <w:sz w:val="18"/>
    </w:rPr>
  </w:style>
  <w:style w:type="paragraph" w:customStyle="1" w:styleId="msonormal0">
    <w:name w:val="msonormal"/>
    <w:basedOn w:val="Normal"/>
    <w:rsid w:val="00D5285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D52857"/>
    <w:rPr>
      <w:noProof/>
      <w:sz w:val="24"/>
    </w:rPr>
  </w:style>
  <w:style w:type="paragraph" w:customStyle="1" w:styleId="Normal12">
    <w:name w:val="Normal12"/>
    <w:basedOn w:val="Normal"/>
    <w:link w:val="Normal12Char"/>
    <w:rsid w:val="00D5285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5285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5285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5285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5285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5285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52857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D52857"/>
    <w:pPr>
      <w:spacing w:after="120"/>
    </w:pPr>
  </w:style>
  <w:style w:type="paragraph" w:customStyle="1" w:styleId="Normal12Italic">
    <w:name w:val="Normal12Italic"/>
    <w:basedOn w:val="Normal12"/>
    <w:rsid w:val="00D52857"/>
    <w:rPr>
      <w:i/>
    </w:rPr>
  </w:style>
  <w:style w:type="paragraph" w:customStyle="1" w:styleId="JustificationTitle">
    <w:name w:val="JustificationTitle"/>
    <w:basedOn w:val="Normal"/>
    <w:next w:val="Normal12"/>
    <w:rsid w:val="00D5285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5285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5285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528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52857"/>
    <w:pPr>
      <w:spacing w:before="240"/>
      <w:jc w:val="center"/>
    </w:pPr>
    <w:rPr>
      <w:i/>
    </w:rPr>
  </w:style>
  <w:style w:type="character" w:customStyle="1" w:styleId="Footer2Middle">
    <w:name w:val="Footer2Middle"/>
    <w:rsid w:val="00D5285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52857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D52857"/>
    <w:pPr>
      <w:spacing w:after="480"/>
    </w:pPr>
  </w:style>
  <w:style w:type="paragraph" w:customStyle="1" w:styleId="NormalBoldCenter">
    <w:name w:val="NormalBoldCenter"/>
    <w:basedOn w:val="Normal"/>
    <w:rsid w:val="00D52857"/>
    <w:pPr>
      <w:jc w:val="center"/>
    </w:pPr>
    <w:rPr>
      <w:b/>
    </w:rPr>
  </w:style>
  <w:style w:type="paragraph" w:customStyle="1" w:styleId="Footprint12b">
    <w:name w:val="Footprint12b"/>
    <w:basedOn w:val="Normal"/>
    <w:rsid w:val="00D5285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52857"/>
    <w:rPr>
      <w:szCs w:val="24"/>
    </w:rPr>
  </w:style>
  <w:style w:type="character" w:styleId="Hyperlink">
    <w:name w:val="Hyperlink"/>
    <w:basedOn w:val="DefaultParagraphFont"/>
    <w:rsid w:val="00D5285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D528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5285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285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528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52857"/>
    <w:rPr>
      <w:b/>
      <w:bCs/>
      <w:lang w:val="it-IT"/>
    </w:rPr>
  </w:style>
  <w:style w:type="paragraph" w:styleId="BalloonText">
    <w:name w:val="Balloon Text"/>
    <w:basedOn w:val="Normal"/>
    <w:link w:val="BalloonTextChar"/>
    <w:uiPriority w:val="99"/>
    <w:unhideWhenUsed/>
    <w:rsid w:val="00D52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2857"/>
    <w:rPr>
      <w:rFonts w:ascii="Segoe UI" w:hAnsi="Segoe UI" w:cs="Segoe UI"/>
      <w:sz w:val="18"/>
      <w:szCs w:val="18"/>
      <w:lang w:val="it-IT"/>
    </w:rPr>
  </w:style>
  <w:style w:type="paragraph" w:styleId="Revision">
    <w:name w:val="Revision"/>
    <w:hidden/>
    <w:uiPriority w:val="99"/>
    <w:semiHidden/>
    <w:rsid w:val="00D52857"/>
    <w:rPr>
      <w:sz w:val="24"/>
      <w:lang w:val="it-IT"/>
    </w:rPr>
  </w:style>
  <w:style w:type="paragraph" w:customStyle="1" w:styleId="Default">
    <w:name w:val="Default"/>
    <w:rsid w:val="00D52857"/>
    <w:pPr>
      <w:autoSpaceDE w:val="0"/>
      <w:autoSpaceDN w:val="0"/>
      <w:adjustRightInd w:val="0"/>
    </w:pPr>
    <w:rPr>
      <w:color w:val="000000"/>
      <w:sz w:val="24"/>
      <w:szCs w:val="24"/>
      <w:lang w:val="it-IT"/>
    </w:rPr>
  </w:style>
  <w:style w:type="paragraph" w:customStyle="1" w:styleId="oj-normal">
    <w:name w:val="oj-normal"/>
    <w:basedOn w:val="Normal"/>
    <w:rsid w:val="00D52857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D52857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D5285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D52857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D5285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D5285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D5285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D52857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anualNumPar1">
    <w:name w:val="Manual NumPar 1"/>
    <w:basedOn w:val="Normal"/>
    <w:rsid w:val="00D52857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285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5285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52857"/>
    <w:rPr>
      <w:rFonts w:ascii="Arial" w:eastAsiaTheme="majorEastAsia" w:hAnsi="Arial" w:cs="Arial"/>
      <w:b/>
      <w:bCs/>
      <w:kern w:val="28"/>
      <w:sz w:val="32"/>
      <w:szCs w:val="32"/>
      <w:lang w:val="it-I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85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52857"/>
    <w:rPr>
      <w:rFonts w:ascii="Arial" w:eastAsiaTheme="majorEastAsia" w:hAnsi="Arial" w:cs="Arial"/>
      <w:sz w:val="24"/>
      <w:szCs w:val="24"/>
      <w:lang w:val="it-IT" w:eastAsia="en-US"/>
    </w:rPr>
  </w:style>
  <w:style w:type="paragraph" w:styleId="NoSpacing">
    <w:name w:val="No Spacing"/>
    <w:basedOn w:val="Normal"/>
    <w:uiPriority w:val="1"/>
    <w:qFormat/>
    <w:rsid w:val="00D5285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D5285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5285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52857"/>
    <w:rPr>
      <w:rFonts w:eastAsiaTheme="minorHAnsi"/>
      <w:i/>
      <w:sz w:val="24"/>
      <w:szCs w:val="24"/>
      <w:lang w:val="it-I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85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857"/>
    <w:rPr>
      <w:rFonts w:eastAsiaTheme="minorHAnsi"/>
      <w:b/>
      <w:i/>
      <w:sz w:val="24"/>
      <w:szCs w:val="22"/>
      <w:lang w:val="it-IT" w:eastAsia="en-US"/>
    </w:rPr>
  </w:style>
  <w:style w:type="paragraph" w:styleId="Footer">
    <w:name w:val="footer"/>
    <w:basedOn w:val="Normal"/>
    <w:link w:val="FooterChar"/>
    <w:uiPriority w:val="99"/>
    <w:rsid w:val="00D52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857"/>
    <w:rPr>
      <w:sz w:val="24"/>
      <w:lang w:val="it-IT"/>
    </w:rPr>
  </w:style>
  <w:style w:type="paragraph" w:customStyle="1" w:styleId="AmDocTypeTab">
    <w:name w:val="AmDocTypeTab"/>
    <w:basedOn w:val="Normal"/>
    <w:rsid w:val="00EC10D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C10DB"/>
    <w:pPr>
      <w:spacing w:after="240"/>
      <w:jc w:val="center"/>
    </w:pPr>
  </w:style>
  <w:style w:type="paragraph" w:customStyle="1" w:styleId="AmDateTab">
    <w:name w:val="AmDateTab"/>
    <w:basedOn w:val="Normal"/>
    <w:rsid w:val="00EC10D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C10D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C10DB"/>
  </w:style>
  <w:style w:type="paragraph" w:customStyle="1" w:styleId="Langue">
    <w:name w:val="Langue"/>
    <w:basedOn w:val="Normal"/>
    <w:next w:val="Rfrenceinterne"/>
    <w:rsid w:val="00EC10DB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EC10DB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EC10D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EC10DB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EC10DB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EC10D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EC10DB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C10D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C10D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C10D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C10D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C10D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C10D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C10D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C10DB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EC10D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C10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C10D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C10D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C10D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C10D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EC10D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C10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C10D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C10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C10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C10D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C10D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C10D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C10D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C10D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C10D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C10D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C10D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C10D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C10D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C10D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C10D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C10D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C10D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C10D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C10D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C10D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C10D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C10D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C10D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C10D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C10D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C10DB"/>
    <w:pPr>
      <w:widowControl/>
      <w:numPr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C10DB"/>
    <w:pPr>
      <w:widowControl/>
      <w:numPr>
        <w:ilvl w:val="1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C10DB"/>
    <w:pPr>
      <w:widowControl/>
      <w:numPr>
        <w:ilvl w:val="2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C10DB"/>
    <w:pPr>
      <w:widowControl/>
      <w:numPr>
        <w:ilvl w:val="3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C10DB"/>
    <w:pPr>
      <w:widowControl/>
      <w:numPr>
        <w:ilvl w:val="4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C10DB"/>
    <w:pPr>
      <w:widowControl/>
      <w:numPr>
        <w:ilvl w:val="5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C10DB"/>
    <w:pPr>
      <w:widowControl/>
      <w:numPr>
        <w:ilvl w:val="6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C10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C10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C10D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C10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C10D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C10D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C10D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C10D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C10D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C10D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C10DB"/>
    <w:pPr>
      <w:widowControl/>
      <w:numPr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C10DB"/>
    <w:pPr>
      <w:widowControl/>
      <w:numPr>
        <w:ilvl w:val="2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C10DB"/>
    <w:pPr>
      <w:widowControl/>
      <w:numPr>
        <w:ilvl w:val="4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C10DB"/>
    <w:pPr>
      <w:widowControl/>
      <w:numPr>
        <w:ilvl w:val="6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C10DB"/>
    <w:pPr>
      <w:widowControl/>
      <w:numPr>
        <w:ilvl w:val="1"/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C10DB"/>
    <w:pPr>
      <w:widowControl/>
      <w:numPr>
        <w:ilvl w:val="3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C10DB"/>
    <w:pPr>
      <w:widowControl/>
      <w:numPr>
        <w:ilvl w:val="5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C10DB"/>
    <w:pPr>
      <w:widowControl/>
      <w:numPr>
        <w:ilvl w:val="7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C10DB"/>
    <w:pPr>
      <w:widowControl/>
      <w:numPr>
        <w:ilvl w:val="8"/>
        <w:numId w:val="10"/>
      </w:numPr>
      <w:tabs>
        <w:tab w:val="clear" w:pos="3118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C10DB"/>
    <w:pPr>
      <w:widowControl/>
      <w:numPr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C10DB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C10DB"/>
    <w:pPr>
      <w:widowControl/>
      <w:numPr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C10DB"/>
    <w:pPr>
      <w:widowControl/>
      <w:numPr>
        <w:numId w:val="14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C10DB"/>
    <w:pPr>
      <w:widowControl/>
      <w:numPr>
        <w:numId w:val="15"/>
      </w:numPr>
      <w:tabs>
        <w:tab w:val="clear" w:pos="311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C10DB"/>
    <w:pPr>
      <w:widowControl/>
      <w:numPr>
        <w:numId w:val="16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C10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C10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C10D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C10DB"/>
    <w:pPr>
      <w:widowControl/>
      <w:numPr>
        <w:numId w:val="17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C10D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C10D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C10D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C10D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C10D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C10D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C10D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C10D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C10D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C10D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C10D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C10D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C10D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C10D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C10D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C10D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C10D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C10D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C10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C10D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C10D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C10D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C10D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C10DB"/>
    <w:pPr>
      <w:spacing w:before="240"/>
    </w:pPr>
  </w:style>
  <w:style w:type="paragraph" w:customStyle="1" w:styleId="Accordtitre">
    <w:name w:val="Accord titre"/>
    <w:basedOn w:val="Normal"/>
    <w:rsid w:val="00EC10D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C10D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C10D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C10D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C10D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C10DB"/>
    <w:pPr>
      <w:spacing w:after="240"/>
    </w:pPr>
  </w:style>
  <w:style w:type="paragraph" w:customStyle="1" w:styleId="Annexetitre">
    <w:name w:val="Annexe titre"/>
    <w:basedOn w:val="Normal"/>
    <w:next w:val="Normal"/>
    <w:rsid w:val="00EC10D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C10D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C10D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C10DB"/>
    <w:rPr>
      <w:rFonts w:eastAsia="Calibri"/>
      <w:lang w:val="it-IT" w:eastAsia="en-US"/>
    </w:rPr>
  </w:style>
  <w:style w:type="character" w:styleId="EndnoteReference">
    <w:name w:val="endnote reference"/>
    <w:basedOn w:val="DefaultParagraphFont"/>
    <w:uiPriority w:val="99"/>
    <w:unhideWhenUsed/>
    <w:rsid w:val="00EC10DB"/>
    <w:rPr>
      <w:shd w:val="clear" w:color="auto" w:fill="auto"/>
      <w:vertAlign w:val="superscript"/>
    </w:rPr>
  </w:style>
  <w:style w:type="paragraph" w:styleId="ListBullet">
    <w:name w:val="List Bullet"/>
    <w:basedOn w:val="Normal"/>
    <w:uiPriority w:val="99"/>
    <w:unhideWhenUsed/>
    <w:rsid w:val="00EC10DB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C10DB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C10DB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C10DB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EC10DB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C10DB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C10DB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EC10DB"/>
    <w:pPr>
      <w:widowControl/>
      <w:tabs>
        <w:tab w:val="num" w:pos="2551"/>
      </w:tabs>
      <w:spacing w:before="120" w:after="120" w:line="360" w:lineRule="auto"/>
      <w:ind w:left="2551" w:hanging="567"/>
      <w:contextualSpacing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EC10DB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EC10DB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EC10DB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EC10DB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EC10D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EC10DB"/>
    <w:rPr>
      <w:rFonts w:ascii="Arial" w:hAnsi="Arial" w:cs="Arial"/>
      <w:b/>
      <w:sz w:val="36"/>
      <w:szCs w:val="36"/>
      <w:u w:color="606060"/>
      <w:lang w:val="it-IT" w:eastAsia="en-US"/>
    </w:rPr>
  </w:style>
  <w:style w:type="paragraph" w:customStyle="1" w:styleId="TBSubjectTable">
    <w:name w:val="TBSubjectTable"/>
    <w:basedOn w:val="TechnicalBlockBase"/>
    <w:rsid w:val="00EC10D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EC10D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C10D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C10D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it-IT" w:eastAsia="en-US"/>
    </w:rPr>
  </w:style>
  <w:style w:type="character" w:customStyle="1" w:styleId="TechnicalBlockBaseChar">
    <w:name w:val="TechnicalBlockBase Char"/>
    <w:basedOn w:val="EntEUChar"/>
    <w:link w:val="TechnicalBlockBase"/>
    <w:rsid w:val="00EC10DB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it-IT" w:eastAsia="en-US"/>
    </w:rPr>
  </w:style>
  <w:style w:type="paragraph" w:customStyle="1" w:styleId="NormalJustified">
    <w:name w:val="Normal Justified"/>
    <w:basedOn w:val="Normal"/>
    <w:rsid w:val="00EC10D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C10D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C10D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EC10D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C10D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C10D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C10D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C10D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C10D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C10D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C10D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C10D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C10D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C10DB"/>
    <w:pPr>
      <w:widowControl/>
      <w:numPr>
        <w:ilvl w:val="1"/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C10DB"/>
    <w:pPr>
      <w:widowControl/>
      <w:numPr>
        <w:ilvl w:val="3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C10DB"/>
    <w:pPr>
      <w:widowControl/>
      <w:numPr>
        <w:ilvl w:val="5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C10DB"/>
    <w:pPr>
      <w:widowControl/>
      <w:numPr>
        <w:ilvl w:val="7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C10DB"/>
    <w:pPr>
      <w:widowControl/>
      <w:numPr>
        <w:ilvl w:val="8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C10DB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C10DB"/>
    <w:pPr>
      <w:widowControl/>
      <w:numPr>
        <w:ilvl w:val="2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C10DB"/>
    <w:pPr>
      <w:widowControl/>
      <w:numPr>
        <w:ilvl w:val="4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C10DB"/>
    <w:pPr>
      <w:widowControl/>
      <w:numPr>
        <w:ilvl w:val="6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C10DB"/>
    <w:pPr>
      <w:widowControl/>
      <w:numPr>
        <w:numId w:val="30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C10DB"/>
    <w:pPr>
      <w:widowControl/>
      <w:numPr>
        <w:ilvl w:val="1"/>
        <w:numId w:val="30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C10DB"/>
    <w:pPr>
      <w:widowControl/>
      <w:numPr>
        <w:ilvl w:val="2"/>
        <w:numId w:val="30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C10DB"/>
    <w:pPr>
      <w:widowControl/>
      <w:numPr>
        <w:ilvl w:val="3"/>
        <w:numId w:val="30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C10DB"/>
    <w:pPr>
      <w:widowControl/>
      <w:numPr>
        <w:ilvl w:val="4"/>
        <w:numId w:val="30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C10DB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C10DB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C10DB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C10DB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C10DB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C10DB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C10DB"/>
    <w:pPr>
      <w:numPr>
        <w:numId w:val="23"/>
      </w:numPr>
      <w:tabs>
        <w:tab w:val="clear" w:pos="567"/>
        <w:tab w:val="num" w:pos="360"/>
      </w:tabs>
      <w:ind w:left="3118"/>
    </w:pPr>
  </w:style>
  <w:style w:type="paragraph" w:customStyle="1" w:styleId="DashEqual1">
    <w:name w:val="Dash Equal 1"/>
    <w:basedOn w:val="Dash1"/>
    <w:rsid w:val="00EC10DB"/>
    <w:pPr>
      <w:numPr>
        <w:numId w:val="24"/>
      </w:numPr>
      <w:tabs>
        <w:tab w:val="clear" w:pos="1134"/>
        <w:tab w:val="num" w:pos="360"/>
      </w:tabs>
      <w:ind w:left="3685"/>
    </w:pPr>
  </w:style>
  <w:style w:type="paragraph" w:customStyle="1" w:styleId="DashEqual2">
    <w:name w:val="Dash Equal 2"/>
    <w:basedOn w:val="Dash2"/>
    <w:rsid w:val="00EC10DB"/>
    <w:pPr>
      <w:numPr>
        <w:numId w:val="25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rsid w:val="00EC10DB"/>
    <w:pPr>
      <w:numPr>
        <w:numId w:val="26"/>
      </w:numPr>
      <w:tabs>
        <w:tab w:val="clear" w:pos="2268"/>
        <w:tab w:val="num" w:pos="360"/>
      </w:tabs>
      <w:ind w:left="850" w:hanging="850"/>
    </w:pPr>
  </w:style>
  <w:style w:type="paragraph" w:customStyle="1" w:styleId="DashEqual4">
    <w:name w:val="Dash Equal 4"/>
    <w:basedOn w:val="Dash4"/>
    <w:rsid w:val="00EC10DB"/>
    <w:pPr>
      <w:numPr>
        <w:numId w:val="27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EC10D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C10DB"/>
    <w:pPr>
      <w:numPr>
        <w:numId w:val="33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C10DB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C10DB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C10DB"/>
    <w:pPr>
      <w:jc w:val="center"/>
    </w:pPr>
  </w:style>
  <w:style w:type="paragraph" w:customStyle="1" w:styleId="Jardin">
    <w:name w:val="Jardin"/>
    <w:basedOn w:val="Normal"/>
    <w:rsid w:val="00EC10D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C10D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C10D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C10D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C10DB"/>
    <w:rPr>
      <w:b/>
    </w:rPr>
  </w:style>
  <w:style w:type="paragraph" w:customStyle="1" w:styleId="Annex">
    <w:name w:val="Annex"/>
    <w:basedOn w:val="Normal"/>
    <w:next w:val="Normal"/>
    <w:rsid w:val="00EC10D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C10D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C10D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C10D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C10D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TBEntInstit">
    <w:name w:val="TBEntInstit"/>
    <w:basedOn w:val="TechnicalBlockBase"/>
    <w:link w:val="EntInstitChar"/>
    <w:rsid w:val="00EC10D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EC10D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EC10D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EC10DB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EC10D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character" w:customStyle="1" w:styleId="EntInstitChar">
    <w:name w:val="EntInstit Char"/>
    <w:basedOn w:val="DefaultParagraphFont"/>
    <w:link w:val="TBEntInstit"/>
    <w:rsid w:val="00EC10DB"/>
    <w:rPr>
      <w:rFonts w:ascii="Arial" w:hAnsi="Arial" w:cs="Arial"/>
      <w:b/>
      <w:sz w:val="23"/>
      <w:u w:color="606060"/>
      <w:lang w:val="it-IT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EC10DB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it-IT" w:eastAsia="fr-BE"/>
    </w:rPr>
  </w:style>
  <w:style w:type="paragraph" w:customStyle="1" w:styleId="Text7">
    <w:name w:val="Text 7"/>
    <w:basedOn w:val="Normal"/>
    <w:rsid w:val="00EC10D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C10D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C10D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C10D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C10D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C10D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C10D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C10D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C10DB"/>
    <w:pPr>
      <w:widowControl/>
      <w:numPr>
        <w:numId w:val="34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C10DB"/>
    <w:pPr>
      <w:widowControl/>
      <w:numPr>
        <w:numId w:val="35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C10DB"/>
    <w:pPr>
      <w:widowControl/>
      <w:numPr>
        <w:numId w:val="36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C10DB"/>
    <w:pPr>
      <w:widowControl/>
      <w:numPr>
        <w:numId w:val="37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C10DB"/>
    <w:pPr>
      <w:widowControl/>
      <w:numPr>
        <w:numId w:val="38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C10DB"/>
    <w:pPr>
      <w:widowControl/>
      <w:numPr>
        <w:numId w:val="39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C10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C10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C10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C10D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C10D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C10D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C10D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C10D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C10D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C10D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C10D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C10D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C10D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C10D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C10D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C10D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C10D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C10D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C10D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C10D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C10D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C10D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C10D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C10D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C10D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C10D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C10D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it-IT" w:eastAsia="en-US"/>
    </w:rPr>
  </w:style>
  <w:style w:type="paragraph" w:customStyle="1" w:styleId="CommentFwdQuotedText">
    <w:name w:val="CommentFwdQuotedText"/>
    <w:basedOn w:val="Normal"/>
    <w:rsid w:val="00EC10D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C10DB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EC10D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10D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C10DB"/>
    <w:rPr>
      <w:color w:val="800080"/>
      <w:u w:val="single"/>
    </w:rPr>
  </w:style>
  <w:style w:type="character" w:styleId="FollowedHyperlink">
    <w:name w:val="FollowedHyperlink"/>
    <w:basedOn w:val="DefaultParagraphFont"/>
    <w:rsid w:val="00EC10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2026-05-20T09:03:00Z</dcterms:created>
  <dcterms:modified xsi:type="dcterms:W3CDTF">2026-05-20T09:03:00Z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