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F6113" w14:paraId="3F3202F3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88507A4" w14:textId="77777777" w:rsidR="00751A4A" w:rsidRPr="00DF6113" w:rsidRDefault="00EB223F" w:rsidP="0010095E">
            <w:pPr>
              <w:pStyle w:val="EPName"/>
            </w:pPr>
            <w:r w:rsidRPr="00DF6113">
              <w:t>Parlement européen</w:t>
            </w:r>
          </w:p>
          <w:p w14:paraId="6282F651" w14:textId="77777777" w:rsidR="00751A4A" w:rsidRPr="00DF611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F6113">
              <w:t>2024</w:t>
            </w:r>
            <w:r w:rsidR="00817416" w:rsidRPr="00DF6113">
              <w:t>-202</w:t>
            </w:r>
            <w:r w:rsidRPr="00DF6113">
              <w:t>9</w:t>
            </w:r>
          </w:p>
        </w:tc>
        <w:tc>
          <w:tcPr>
            <w:tcW w:w="2268" w:type="dxa"/>
            <w:shd w:val="clear" w:color="auto" w:fill="auto"/>
          </w:tcPr>
          <w:p w14:paraId="5530762A" w14:textId="77777777" w:rsidR="00751A4A" w:rsidRPr="00DF6113" w:rsidRDefault="00187494" w:rsidP="0010095E">
            <w:pPr>
              <w:pStyle w:val="EPLogo"/>
            </w:pPr>
            <w:r w:rsidRPr="00DF6113">
              <w:rPr>
                <w:noProof/>
                <w:lang w:eastAsia="ja-JP"/>
              </w:rPr>
              <w:drawing>
                <wp:inline distT="0" distB="0" distL="0" distR="0" wp14:anchorId="577A967E" wp14:editId="14EC524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A7E802" w14:textId="77777777" w:rsidR="00D058B8" w:rsidRPr="00DF6113" w:rsidRDefault="00D058B8" w:rsidP="004C5D52">
      <w:pPr>
        <w:pStyle w:val="LineTop"/>
      </w:pPr>
    </w:p>
    <w:p w14:paraId="507C9CB9" w14:textId="77777777" w:rsidR="00680577" w:rsidRPr="00DF6113" w:rsidRDefault="00EB223F" w:rsidP="00680577">
      <w:pPr>
        <w:pStyle w:val="EPBodyTA1"/>
      </w:pPr>
      <w:r w:rsidRPr="00DF6113">
        <w:t>TEXTES ADOPTÉS</w:t>
      </w:r>
    </w:p>
    <w:p w14:paraId="579532C2" w14:textId="77777777" w:rsidR="00D058B8" w:rsidRPr="00DF6113" w:rsidRDefault="00D058B8" w:rsidP="00D058B8">
      <w:pPr>
        <w:pStyle w:val="LineBottom"/>
      </w:pPr>
    </w:p>
    <w:p w14:paraId="11C9163E" w14:textId="6F84030D" w:rsidR="00EB223F" w:rsidRPr="00DF6113" w:rsidRDefault="00EB223F" w:rsidP="00EB223F">
      <w:pPr>
        <w:pStyle w:val="ATHeading1"/>
      </w:pPr>
      <w:bookmarkStart w:id="0" w:name="TANumber"/>
      <w:r w:rsidRPr="00DF6113">
        <w:t>P10_TA(2026)00</w:t>
      </w:r>
      <w:r w:rsidR="001126C1">
        <w:t>59</w:t>
      </w:r>
      <w:bookmarkEnd w:id="0"/>
    </w:p>
    <w:p w14:paraId="6A67133A" w14:textId="77777777" w:rsidR="00EB223F" w:rsidRPr="00DF6113" w:rsidRDefault="00EB223F" w:rsidP="00EB223F">
      <w:pPr>
        <w:pStyle w:val="ATHeading2"/>
      </w:pPr>
      <w:bookmarkStart w:id="1" w:name="title"/>
      <w:r w:rsidRPr="00DF6113">
        <w:t>Accroissement de l’efficacité de la garantie pour l’action extérieure</w:t>
      </w:r>
      <w:bookmarkEnd w:id="1"/>
    </w:p>
    <w:p w14:paraId="0F597596" w14:textId="05A3215D" w:rsidR="00EB223F" w:rsidRPr="00DF6113" w:rsidRDefault="00EB223F" w:rsidP="00EB223F">
      <w:pPr>
        <w:rPr>
          <w:i/>
          <w:vanish/>
        </w:rPr>
      </w:pPr>
      <w:r w:rsidRPr="00DF6113">
        <w:rPr>
          <w:i/>
        </w:rPr>
        <w:fldChar w:fldCharType="begin"/>
      </w:r>
      <w:r w:rsidRPr="00DF6113">
        <w:rPr>
          <w:i/>
        </w:rPr>
        <w:instrText xml:space="preserve"> TC"(</w:instrText>
      </w:r>
      <w:bookmarkStart w:id="2" w:name="DocNumber"/>
      <w:r w:rsidRPr="00DF6113">
        <w:rPr>
          <w:i/>
        </w:rPr>
        <w:instrText>A10-0221/2025</w:instrText>
      </w:r>
      <w:bookmarkEnd w:id="2"/>
      <w:r w:rsidRPr="00DF6113">
        <w:rPr>
          <w:i/>
        </w:rPr>
        <w:instrText xml:space="preserve"> - Rapporteurs: David McAllister</w:instrText>
      </w:r>
      <w:r w:rsidR="00FC10F7">
        <w:rPr>
          <w:i/>
        </w:rPr>
        <w:instrText xml:space="preserve">, </w:instrText>
      </w:r>
      <w:r w:rsidR="00FC10F7" w:rsidRPr="00DF6113">
        <w:rPr>
          <w:i/>
        </w:rPr>
        <w:instrText>Charles Goerens</w:instrText>
      </w:r>
      <w:r w:rsidRPr="00DF6113">
        <w:rPr>
          <w:i/>
        </w:rPr>
        <w:instrText xml:space="preserve">)"\l3 \n&gt; \* MERGEFORMAT </w:instrText>
      </w:r>
      <w:r w:rsidRPr="00DF6113">
        <w:rPr>
          <w:i/>
        </w:rPr>
        <w:fldChar w:fldCharType="end"/>
      </w:r>
    </w:p>
    <w:p w14:paraId="7600A2FA" w14:textId="77777777" w:rsidR="00EB223F" w:rsidRPr="00DF6113" w:rsidRDefault="00EB223F" w:rsidP="00EB223F">
      <w:pPr>
        <w:rPr>
          <w:vanish/>
        </w:rPr>
      </w:pPr>
      <w:bookmarkStart w:id="3" w:name="Commission"/>
      <w:r w:rsidRPr="00DF6113">
        <w:rPr>
          <w:vanish/>
        </w:rPr>
        <w:t>Commission des affaires étrangères, Commission du développement</w:t>
      </w:r>
      <w:bookmarkEnd w:id="3"/>
    </w:p>
    <w:p w14:paraId="11794676" w14:textId="77777777" w:rsidR="00EB223F" w:rsidRPr="00DF6113" w:rsidRDefault="00EB223F" w:rsidP="00EB223F">
      <w:pPr>
        <w:rPr>
          <w:vanish/>
        </w:rPr>
      </w:pPr>
      <w:bookmarkStart w:id="4" w:name="PE"/>
      <w:r w:rsidRPr="00DF6113">
        <w:rPr>
          <w:vanish/>
        </w:rPr>
        <w:t>PE776.794</w:t>
      </w:r>
      <w:bookmarkEnd w:id="4"/>
    </w:p>
    <w:p w14:paraId="7490D73C" w14:textId="17474DD6" w:rsidR="00EB223F" w:rsidRPr="00DF6113" w:rsidRDefault="00EB223F" w:rsidP="00EB223F">
      <w:pPr>
        <w:pStyle w:val="ATHeading3"/>
      </w:pPr>
      <w:bookmarkStart w:id="5" w:name="Sujet"/>
      <w:r w:rsidRPr="00DF6113">
        <w:t>Résolution législative du Parlement européen du</w:t>
      </w:r>
      <w:r w:rsidR="00DF6113" w:rsidRPr="00DF6113">
        <w:t xml:space="preserve"> </w:t>
      </w:r>
      <w:r w:rsidR="00DF6113" w:rsidRPr="00987069">
        <w:t>10</w:t>
      </w:r>
      <w:r w:rsidR="00DF6113" w:rsidRPr="00DF6113">
        <w:t xml:space="preserve"> mars</w:t>
      </w:r>
      <w:r w:rsidRPr="00DF6113">
        <w:t xml:space="preserve"> 2026 sur la proposition de règlement du Parlement européen et du Conseil modifiant le règlement (UE) 2021/947 en ce qui concerne l’accroissement de l’efficacité de la garantie pour l’action extérieure</w:t>
      </w:r>
      <w:bookmarkEnd w:id="5"/>
      <w:r w:rsidRPr="00DF6113">
        <w:t xml:space="preserve"> </w:t>
      </w:r>
      <w:bookmarkStart w:id="6" w:name="References"/>
      <w:r w:rsidRPr="00DF6113">
        <w:t>(COM(2025)0262 – C10-0107/2025 – 2025/0262(COD))</w:t>
      </w:r>
      <w:bookmarkEnd w:id="6"/>
    </w:p>
    <w:p w14:paraId="739E05BD" w14:textId="77777777" w:rsidR="00EB223F" w:rsidRPr="00DF6113" w:rsidRDefault="00EB223F" w:rsidP="00EB223F"/>
    <w:p w14:paraId="43511974" w14:textId="77777777" w:rsidR="00AB6655" w:rsidRPr="00DF6113" w:rsidRDefault="00AB6655" w:rsidP="00AB6655">
      <w:pPr>
        <w:pStyle w:val="NormalBold"/>
      </w:pPr>
      <w:bookmarkStart w:id="7" w:name="TextBodyBegin"/>
      <w:bookmarkEnd w:id="7"/>
      <w:r w:rsidRPr="00DF6113">
        <w:t>(Procédure législative ordinaire: première lecture)</w:t>
      </w:r>
    </w:p>
    <w:p w14:paraId="194A3DCD" w14:textId="77777777" w:rsidR="00AB6655" w:rsidRPr="00DF6113" w:rsidRDefault="00AB6655" w:rsidP="00AB6655">
      <w:pPr>
        <w:pStyle w:val="EPComma"/>
      </w:pPr>
      <w:r w:rsidRPr="00DF6113">
        <w:rPr>
          <w:i/>
        </w:rPr>
        <w:t>Le Parlement européen</w:t>
      </w:r>
      <w:r w:rsidRPr="00DF6113">
        <w:t>,</w:t>
      </w:r>
    </w:p>
    <w:p w14:paraId="50319FF6" w14:textId="77777777" w:rsidR="00AB6655" w:rsidRPr="00DF6113" w:rsidRDefault="00AB6655" w:rsidP="00AB6655">
      <w:pPr>
        <w:pStyle w:val="NormalHanging12a"/>
      </w:pPr>
      <w:r w:rsidRPr="00DF6113">
        <w:t>–</w:t>
      </w:r>
      <w:r w:rsidRPr="00DF6113">
        <w:tab/>
        <w:t>vu la proposition de la Commission au Parlement européen et au Conseil (COM(2025)0262),</w:t>
      </w:r>
    </w:p>
    <w:p w14:paraId="1AD28CF1" w14:textId="77777777" w:rsidR="00AB6655" w:rsidRPr="00DF6113" w:rsidRDefault="00AB6655" w:rsidP="00AB6655">
      <w:pPr>
        <w:pStyle w:val="NormalHanging12a"/>
      </w:pPr>
      <w:bookmarkStart w:id="8" w:name="_Hlk213247400"/>
      <w:r w:rsidRPr="00DF6113">
        <w:t>–</w:t>
      </w:r>
      <w:r w:rsidRPr="00DF6113">
        <w:tab/>
        <w:t>vu l’article 294, paragraphe 2, et les articles 209 et 212 du traité sur le fonctionnement de l’Union européenne, conformément auxquels la proposition lui a été présentée par la Commission (C10</w:t>
      </w:r>
      <w:r w:rsidRPr="00DF6113">
        <w:noBreakHyphen/>
        <w:t>0107/2025),</w:t>
      </w:r>
    </w:p>
    <w:p w14:paraId="28F4C245" w14:textId="77777777" w:rsidR="008952A0" w:rsidRDefault="00AB6655" w:rsidP="008952A0">
      <w:pPr>
        <w:pStyle w:val="NormalHanging12a"/>
      </w:pPr>
      <w:r w:rsidRPr="00DF6113">
        <w:t>–</w:t>
      </w:r>
      <w:r w:rsidRPr="00DF6113">
        <w:tab/>
        <w:t>vu l’article 294, paragraphe 3, du traité sur le fonctionnement de l’Union européenne,</w:t>
      </w:r>
    </w:p>
    <w:p w14:paraId="491B701A" w14:textId="4818D096" w:rsidR="008952A0" w:rsidRPr="00DF6113" w:rsidRDefault="008952A0" w:rsidP="008952A0">
      <w:pPr>
        <w:pStyle w:val="NormalHanging12a"/>
      </w:pPr>
      <w:r>
        <w:t>–</w:t>
      </w:r>
      <w:r>
        <w:tab/>
      </w:r>
      <w:r w:rsidRPr="008952A0">
        <w:t>vu l’accord provisoire approuvé en vertu de l’article 75, paragraphe 4, de son règlement intérieur par l</w:t>
      </w:r>
      <w:r w:rsidR="00ED106F">
        <w:t>es</w:t>
      </w:r>
      <w:r w:rsidRPr="008952A0">
        <w:t xml:space="preserve"> commission</w:t>
      </w:r>
      <w:r w:rsidR="00ED106F">
        <w:t>s</w:t>
      </w:r>
      <w:r w:rsidRPr="008952A0">
        <w:t xml:space="preserve"> compétente</w:t>
      </w:r>
      <w:r w:rsidR="00ED106F">
        <w:t>s</w:t>
      </w:r>
      <w:r w:rsidRPr="008952A0">
        <w:t xml:space="preserve"> et l’engagement pris par le représentant du Conseil, par lettre du 4 février 2026, d’approuver la position du Parlement européen, conformément à l’article 294, paragraphe 4, du traité sur le fonctionnement de l’Union européenne,</w:t>
      </w:r>
    </w:p>
    <w:p w14:paraId="309E0A27" w14:textId="77777777" w:rsidR="00AB6655" w:rsidRDefault="00AB6655" w:rsidP="00AB6655">
      <w:pPr>
        <w:pStyle w:val="NormalHanging12a"/>
      </w:pPr>
      <w:r w:rsidRPr="00DF6113">
        <w:t>–</w:t>
      </w:r>
      <w:r w:rsidRPr="00DF6113">
        <w:tab/>
        <w:t>vu l’article 60 de son règlement intérieur,</w:t>
      </w:r>
    </w:p>
    <w:p w14:paraId="13C88BE8" w14:textId="2D068BF6" w:rsidR="00FC10F7" w:rsidRPr="00DF6113" w:rsidRDefault="00FC10F7" w:rsidP="00AB6655">
      <w:pPr>
        <w:pStyle w:val="NormalHanging12a"/>
      </w:pPr>
      <w:r w:rsidRPr="0070765D">
        <w:rPr>
          <w:szCs w:val="24"/>
        </w:rPr>
        <w:t>–</w:t>
      </w:r>
      <w:r w:rsidRPr="0070765D">
        <w:rPr>
          <w:szCs w:val="24"/>
        </w:rPr>
        <w:tab/>
        <w:t xml:space="preserve">vu </w:t>
      </w:r>
      <w:r w:rsidRPr="00FC10F7">
        <w:rPr>
          <w:szCs w:val="24"/>
        </w:rPr>
        <w:t xml:space="preserve">les </w:t>
      </w:r>
      <w:r w:rsidRPr="00ED106F">
        <w:rPr>
          <w:szCs w:val="24"/>
        </w:rPr>
        <w:t xml:space="preserve">délibérations conjointes </w:t>
      </w:r>
      <w:r w:rsidRPr="00FC10F7">
        <w:rPr>
          <w:szCs w:val="24"/>
        </w:rPr>
        <w:t>de</w:t>
      </w:r>
      <w:r w:rsidRPr="0070765D">
        <w:rPr>
          <w:szCs w:val="24"/>
        </w:rPr>
        <w:t xml:space="preserve"> la commission des affaires étrangères et de la commission d</w:t>
      </w:r>
      <w:r>
        <w:rPr>
          <w:szCs w:val="24"/>
        </w:rPr>
        <w:t>u développement</w:t>
      </w:r>
      <w:r w:rsidRPr="0070765D">
        <w:rPr>
          <w:szCs w:val="24"/>
        </w:rPr>
        <w:t xml:space="preserve"> conformément à l’article 59 d</w:t>
      </w:r>
      <w:r>
        <w:rPr>
          <w:szCs w:val="24"/>
        </w:rPr>
        <w:t>u</w:t>
      </w:r>
      <w:r w:rsidRPr="0070765D">
        <w:rPr>
          <w:szCs w:val="24"/>
        </w:rPr>
        <w:t xml:space="preserve"> règlement intérieur,</w:t>
      </w:r>
    </w:p>
    <w:bookmarkEnd w:id="8"/>
    <w:p w14:paraId="39F85954" w14:textId="77777777" w:rsidR="00AB6655" w:rsidRPr="00DF6113" w:rsidRDefault="00AB6655" w:rsidP="00AB6655">
      <w:pPr>
        <w:pStyle w:val="NormalHanging12a"/>
      </w:pPr>
      <w:r w:rsidRPr="00DF6113">
        <w:t>–</w:t>
      </w:r>
      <w:r w:rsidRPr="00DF6113">
        <w:tab/>
        <w:t>vu le rapport de la commission des affaires étrangères et de la commission du développement (A10-0221/2025),</w:t>
      </w:r>
    </w:p>
    <w:p w14:paraId="0787B938" w14:textId="77777777" w:rsidR="00AB6655" w:rsidRPr="00DF6113" w:rsidRDefault="00AB6655" w:rsidP="00AB6655">
      <w:pPr>
        <w:pStyle w:val="NormalHanging12a"/>
      </w:pPr>
      <w:r w:rsidRPr="00DF6113">
        <w:t>1.</w:t>
      </w:r>
      <w:r w:rsidRPr="00DF6113">
        <w:tab/>
        <w:t>arrête la position en première lecture figurant ci-après;</w:t>
      </w:r>
    </w:p>
    <w:p w14:paraId="7CD95AAE" w14:textId="77777777" w:rsidR="00AB6655" w:rsidRPr="00DF6113" w:rsidRDefault="00AB6655" w:rsidP="00AB6655">
      <w:pPr>
        <w:pStyle w:val="NormalHanging12a"/>
      </w:pPr>
      <w:r w:rsidRPr="00DF6113">
        <w:lastRenderedPageBreak/>
        <w:t>2.</w:t>
      </w:r>
      <w:r w:rsidRPr="00DF6113">
        <w:tab/>
        <w:t>demande à la Commission de le saisir à nouveau, si elle remplace, modifie de manière substantielle ou entend modifier de manière substantielle sa proposition;</w:t>
      </w:r>
    </w:p>
    <w:p w14:paraId="3978AE09" w14:textId="77777777" w:rsidR="00AB6655" w:rsidRPr="00DF6113" w:rsidRDefault="00AB6655" w:rsidP="00AB6655">
      <w:pPr>
        <w:pStyle w:val="NormalHanging12a"/>
      </w:pPr>
      <w:r w:rsidRPr="00DF6113">
        <w:t>3.</w:t>
      </w:r>
      <w:r w:rsidRPr="00DF6113">
        <w:tab/>
        <w:t>charge sa Présidente de transmettre la position du Parlement au Conseil et à la Commission ainsi qu’aux parlements nationaux.</w:t>
      </w:r>
    </w:p>
    <w:p w14:paraId="10C942CC" w14:textId="77777777" w:rsidR="001126C1" w:rsidRDefault="001126C1" w:rsidP="00AB6655">
      <w:pPr>
        <w:sectPr w:rsidR="001126C1" w:rsidSect="008144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1003943" w14:textId="77777777" w:rsidR="008952A0" w:rsidRPr="0024398B" w:rsidRDefault="008952A0" w:rsidP="008952A0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4398B">
        <w:rPr>
          <w:rFonts w:eastAsia="Calibri"/>
          <w:b/>
          <w:bCs/>
          <w:color w:val="000000"/>
          <w:szCs w:val="24"/>
        </w:rPr>
        <w:lastRenderedPageBreak/>
        <w:t>P10_TC1-COD(2025)0262</w:t>
      </w:r>
    </w:p>
    <w:p w14:paraId="2EE4DB2A" w14:textId="71304751" w:rsidR="008952A0" w:rsidRDefault="008952A0" w:rsidP="00106B39">
      <w:pPr>
        <w:spacing w:after="480"/>
        <w:rPr>
          <w:b/>
        </w:rPr>
      </w:pPr>
      <w:r w:rsidRPr="0070765D">
        <w:rPr>
          <w:b/>
        </w:rPr>
        <w:t xml:space="preserve">Position du Parlement européen arrêtée en première lecture le </w:t>
      </w:r>
      <w:r>
        <w:rPr>
          <w:b/>
        </w:rPr>
        <w:t>10 mars 2026</w:t>
      </w:r>
      <w:r w:rsidRPr="0070765D">
        <w:rPr>
          <w:b/>
        </w:rPr>
        <w:t xml:space="preserve"> en vue de l’adoption du </w:t>
      </w:r>
      <w:r w:rsidRPr="008952A0">
        <w:rPr>
          <w:b/>
        </w:rPr>
        <w:t>règlement (UE) 2026/...</w:t>
      </w:r>
      <w:r w:rsidRPr="0070765D">
        <w:rPr>
          <w:b/>
        </w:rPr>
        <w:t xml:space="preserve"> du Parlement européen et du Conseil </w:t>
      </w:r>
      <w:r w:rsidRPr="008952A0">
        <w:rPr>
          <w:b/>
        </w:rPr>
        <w:t>modifiant le règlement (UE) 2021/947 en ce qui concerne l'accroissement de l'efficacité de la garantie pour l'action extérieure</w:t>
      </w:r>
    </w:p>
    <w:p w14:paraId="6B87EA19" w14:textId="640B3EF5" w:rsidR="00106B39" w:rsidRPr="0070765D" w:rsidRDefault="00106B39" w:rsidP="00106B39">
      <w:pPr>
        <w:pStyle w:val="Datedadoption"/>
        <w:spacing w:after="480" w:line="240" w:lineRule="auto"/>
        <w:jc w:val="left"/>
        <w:rPr>
          <w:b w:val="0"/>
          <w:i/>
          <w:szCs w:val="24"/>
        </w:rPr>
      </w:pPr>
      <w:r w:rsidRPr="0070765D">
        <w:rPr>
          <w:b w:val="0"/>
          <w:i/>
          <w:szCs w:val="24"/>
        </w:rPr>
        <w:t>(Étant donné l'accord intervenu entre le Parlement et le Conseil, la position du Parlement correspond à l'acte législatif final, le règlement (UE) 202</w:t>
      </w:r>
      <w:r>
        <w:rPr>
          <w:b w:val="0"/>
          <w:i/>
          <w:szCs w:val="24"/>
        </w:rPr>
        <w:t>6</w:t>
      </w:r>
      <w:r w:rsidRPr="0070765D">
        <w:rPr>
          <w:b w:val="0"/>
          <w:i/>
          <w:szCs w:val="24"/>
        </w:rPr>
        <w:t>/</w:t>
      </w:r>
      <w:r>
        <w:rPr>
          <w:b w:val="0"/>
          <w:i/>
          <w:szCs w:val="24"/>
        </w:rPr>
        <w:t>995</w:t>
      </w:r>
      <w:r w:rsidRPr="0070765D">
        <w:rPr>
          <w:b w:val="0"/>
          <w:i/>
          <w:szCs w:val="24"/>
        </w:rPr>
        <w:t>.)</w:t>
      </w:r>
    </w:p>
    <w:p w14:paraId="7ACFC913" w14:textId="0E8273AE" w:rsidR="008952A0" w:rsidRPr="008952A0" w:rsidRDefault="008952A0" w:rsidP="008952A0">
      <w:pPr>
        <w:widowControl/>
        <w:tabs>
          <w:tab w:val="left" w:pos="5669"/>
        </w:tabs>
        <w:spacing w:line="360" w:lineRule="auto"/>
        <w:rPr>
          <w:rFonts w:eastAsia="Calibri"/>
          <w:i/>
          <w:color w:val="000000"/>
          <w:szCs w:val="22"/>
          <w:lang w:eastAsia="fr-FR" w:bidi="fr-FR"/>
        </w:rPr>
      </w:pPr>
    </w:p>
    <w:sectPr w:rsidR="008952A0" w:rsidRPr="008952A0" w:rsidSect="0081440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9549" w14:textId="77777777" w:rsidR="00EB223F" w:rsidRPr="00814406" w:rsidRDefault="00EB223F">
      <w:r w:rsidRPr="00814406">
        <w:separator/>
      </w:r>
    </w:p>
  </w:endnote>
  <w:endnote w:type="continuationSeparator" w:id="0">
    <w:p w14:paraId="47D0A304" w14:textId="77777777" w:rsidR="00EB223F" w:rsidRPr="00814406" w:rsidRDefault="00EB223F">
      <w:r w:rsidRPr="008144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5180B" w14:textId="77777777" w:rsidR="00064002" w:rsidRPr="00814406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597B7" w14:textId="77777777" w:rsidR="00064002" w:rsidRPr="00814406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BE5F" w14:textId="77777777" w:rsidR="00064002" w:rsidRPr="00814406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7C82B" w14:textId="77777777" w:rsidR="00EB223F" w:rsidRPr="00814406" w:rsidRDefault="00EB223F">
      <w:r w:rsidRPr="00814406">
        <w:separator/>
      </w:r>
    </w:p>
  </w:footnote>
  <w:footnote w:type="continuationSeparator" w:id="0">
    <w:p w14:paraId="7F324B58" w14:textId="77777777" w:rsidR="00EB223F" w:rsidRPr="00814406" w:rsidRDefault="00EB223F">
      <w:r w:rsidRPr="008144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1667" w14:textId="77777777" w:rsidR="00064002" w:rsidRPr="00814406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60C9" w14:textId="77777777" w:rsidR="00064002" w:rsidRPr="00814406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90B4" w14:textId="77777777" w:rsidR="00064002" w:rsidRPr="00814406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8A04733"/>
    <w:multiLevelType w:val="hybridMultilevel"/>
    <w:tmpl w:val="4574C3BE"/>
    <w:lvl w:ilvl="0" w:tplc="12EE74A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30188262">
    <w:abstractNumId w:val="9"/>
  </w:num>
  <w:num w:numId="2" w16cid:durableId="194268050">
    <w:abstractNumId w:val="9"/>
  </w:num>
  <w:num w:numId="3" w16cid:durableId="628557750">
    <w:abstractNumId w:val="7"/>
  </w:num>
  <w:num w:numId="4" w16cid:durableId="944922605">
    <w:abstractNumId w:val="7"/>
  </w:num>
  <w:num w:numId="5" w16cid:durableId="1384716711">
    <w:abstractNumId w:val="6"/>
  </w:num>
  <w:num w:numId="6" w16cid:durableId="2000451852">
    <w:abstractNumId w:val="6"/>
  </w:num>
  <w:num w:numId="7" w16cid:durableId="305159305">
    <w:abstractNumId w:val="5"/>
  </w:num>
  <w:num w:numId="8" w16cid:durableId="605889101">
    <w:abstractNumId w:val="5"/>
  </w:num>
  <w:num w:numId="9" w16cid:durableId="227762081">
    <w:abstractNumId w:val="4"/>
  </w:num>
  <w:num w:numId="10" w16cid:durableId="1742436208">
    <w:abstractNumId w:val="4"/>
  </w:num>
  <w:num w:numId="11" w16cid:durableId="1596398573">
    <w:abstractNumId w:val="8"/>
  </w:num>
  <w:num w:numId="12" w16cid:durableId="2003506797">
    <w:abstractNumId w:val="8"/>
  </w:num>
  <w:num w:numId="13" w16cid:durableId="1015037804">
    <w:abstractNumId w:val="3"/>
  </w:num>
  <w:num w:numId="14" w16cid:durableId="2033219204">
    <w:abstractNumId w:val="3"/>
  </w:num>
  <w:num w:numId="15" w16cid:durableId="1010982879">
    <w:abstractNumId w:val="2"/>
  </w:num>
  <w:num w:numId="16" w16cid:durableId="2130317818">
    <w:abstractNumId w:val="2"/>
  </w:num>
  <w:num w:numId="17" w16cid:durableId="673842402">
    <w:abstractNumId w:val="1"/>
  </w:num>
  <w:num w:numId="18" w16cid:durableId="933824896">
    <w:abstractNumId w:val="1"/>
  </w:num>
  <w:num w:numId="19" w16cid:durableId="69543900">
    <w:abstractNumId w:val="0"/>
  </w:num>
  <w:num w:numId="20" w16cid:durableId="1514957733">
    <w:abstractNumId w:val="0"/>
  </w:num>
  <w:num w:numId="21" w16cid:durableId="1362317684">
    <w:abstractNumId w:val="9"/>
  </w:num>
  <w:num w:numId="22" w16cid:durableId="2021616895">
    <w:abstractNumId w:val="7"/>
  </w:num>
  <w:num w:numId="23" w16cid:durableId="1483963120">
    <w:abstractNumId w:val="6"/>
  </w:num>
  <w:num w:numId="24" w16cid:durableId="1672833798">
    <w:abstractNumId w:val="5"/>
  </w:num>
  <w:num w:numId="25" w16cid:durableId="1100293575">
    <w:abstractNumId w:val="4"/>
  </w:num>
  <w:num w:numId="26" w16cid:durableId="812454187">
    <w:abstractNumId w:val="8"/>
  </w:num>
  <w:num w:numId="27" w16cid:durableId="1295678371">
    <w:abstractNumId w:val="3"/>
  </w:num>
  <w:num w:numId="28" w16cid:durableId="1902520986">
    <w:abstractNumId w:val="2"/>
  </w:num>
  <w:num w:numId="29" w16cid:durableId="2141147853">
    <w:abstractNumId w:val="1"/>
  </w:num>
  <w:num w:numId="30" w16cid:durableId="1011764184">
    <w:abstractNumId w:val="0"/>
  </w:num>
  <w:num w:numId="31" w16cid:durableId="1462192898">
    <w:abstractNumId w:val="9"/>
  </w:num>
  <w:num w:numId="32" w16cid:durableId="1231964097">
    <w:abstractNumId w:val="7"/>
  </w:num>
  <w:num w:numId="33" w16cid:durableId="946617727">
    <w:abstractNumId w:val="6"/>
  </w:num>
  <w:num w:numId="34" w16cid:durableId="503671986">
    <w:abstractNumId w:val="5"/>
  </w:num>
  <w:num w:numId="35" w16cid:durableId="704256170">
    <w:abstractNumId w:val="4"/>
  </w:num>
  <w:num w:numId="36" w16cid:durableId="137306523">
    <w:abstractNumId w:val="8"/>
  </w:num>
  <w:num w:numId="37" w16cid:durableId="1344892343">
    <w:abstractNumId w:val="3"/>
  </w:num>
  <w:num w:numId="38" w16cid:durableId="1050303452">
    <w:abstractNumId w:val="2"/>
  </w:num>
  <w:num w:numId="39" w16cid:durableId="1583029182">
    <w:abstractNumId w:val="1"/>
  </w:num>
  <w:num w:numId="40" w16cid:durableId="406343359">
    <w:abstractNumId w:val="0"/>
  </w:num>
  <w:num w:numId="41" w16cid:durableId="1320354045">
    <w:abstractNumId w:val="10"/>
  </w:num>
  <w:num w:numId="42" w16cid:durableId="1736394461">
    <w:abstractNumId w:val="10"/>
  </w:num>
  <w:num w:numId="43" w16cid:durableId="112942615">
    <w:abstractNumId w:val="10"/>
  </w:num>
  <w:num w:numId="44" w16cid:durableId="1906526128">
    <w:abstractNumId w:val="12"/>
  </w:num>
  <w:num w:numId="45" w16cid:durableId="5015536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21/2025"/>
    <w:docVar w:name="dvlangue" w:val="FR"/>
    <w:docVar w:name="dvnumam" w:val="0"/>
    <w:docVar w:name="dvpe" w:val="776.794"/>
    <w:docVar w:name="dvrapporteur" w:val="Rapporteurs: "/>
    <w:docVar w:name="dvstar" w:val="***I"/>
    <w:docVar w:name="dvtitre" w:val="Résolution législative du Parlement européen du ... 2026 sur la proposition de règlement du Parlement européen et du Conseil modifiant le règlement (UE) 2021/947 en ce qui concerne l’accroissement de l’efficacité de la garantie pour l’action extérieure(COM(2025)0262 – C10-0107/2025 – 2025/0262(COD))"/>
  </w:docVars>
  <w:rsids>
    <w:rsidRoot w:val="00EB223F"/>
    <w:rsid w:val="00002272"/>
    <w:rsid w:val="00064002"/>
    <w:rsid w:val="000677B9"/>
    <w:rsid w:val="000831BA"/>
    <w:rsid w:val="000A42CC"/>
    <w:rsid w:val="000E7DD9"/>
    <w:rsid w:val="0010095E"/>
    <w:rsid w:val="00106B39"/>
    <w:rsid w:val="001126C1"/>
    <w:rsid w:val="00125B37"/>
    <w:rsid w:val="00187494"/>
    <w:rsid w:val="001C0840"/>
    <w:rsid w:val="001F32AE"/>
    <w:rsid w:val="0027388E"/>
    <w:rsid w:val="002767FF"/>
    <w:rsid w:val="002B18FE"/>
    <w:rsid w:val="002B5493"/>
    <w:rsid w:val="00343214"/>
    <w:rsid w:val="00361C00"/>
    <w:rsid w:val="00395FA1"/>
    <w:rsid w:val="003C731F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4E3B"/>
    <w:rsid w:val="005C2568"/>
    <w:rsid w:val="005F1B17"/>
    <w:rsid w:val="006037C0"/>
    <w:rsid w:val="00654D76"/>
    <w:rsid w:val="006631B6"/>
    <w:rsid w:val="00680577"/>
    <w:rsid w:val="006F74FA"/>
    <w:rsid w:val="00713F34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4406"/>
    <w:rsid w:val="00817416"/>
    <w:rsid w:val="00842779"/>
    <w:rsid w:val="00865F67"/>
    <w:rsid w:val="00881A7B"/>
    <w:rsid w:val="008840E5"/>
    <w:rsid w:val="00887B3E"/>
    <w:rsid w:val="008952A0"/>
    <w:rsid w:val="008C2AC6"/>
    <w:rsid w:val="00930C23"/>
    <w:rsid w:val="0093193B"/>
    <w:rsid w:val="009509D8"/>
    <w:rsid w:val="00950B64"/>
    <w:rsid w:val="00981893"/>
    <w:rsid w:val="00987069"/>
    <w:rsid w:val="00A1687D"/>
    <w:rsid w:val="00A43E52"/>
    <w:rsid w:val="00A4678D"/>
    <w:rsid w:val="00A54985"/>
    <w:rsid w:val="00A778C7"/>
    <w:rsid w:val="00AB441E"/>
    <w:rsid w:val="00AB6293"/>
    <w:rsid w:val="00AB6655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E5C08"/>
    <w:rsid w:val="00CF071A"/>
    <w:rsid w:val="00D058B8"/>
    <w:rsid w:val="00D55D2F"/>
    <w:rsid w:val="00D56C11"/>
    <w:rsid w:val="00D834A0"/>
    <w:rsid w:val="00D872DF"/>
    <w:rsid w:val="00D91E21"/>
    <w:rsid w:val="00DA70AA"/>
    <w:rsid w:val="00DA7FCD"/>
    <w:rsid w:val="00DF6113"/>
    <w:rsid w:val="00E365E1"/>
    <w:rsid w:val="00E707C3"/>
    <w:rsid w:val="00E820A4"/>
    <w:rsid w:val="00EA69E6"/>
    <w:rsid w:val="00EB006A"/>
    <w:rsid w:val="00EB223F"/>
    <w:rsid w:val="00EB4772"/>
    <w:rsid w:val="00ED106F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10F7"/>
    <w:rsid w:val="00FD0C7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B98A5"/>
  <w15:chartTrackingRefBased/>
  <w15:docId w15:val="{A7523F40-B19C-45B8-A6D8-52ABEEE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AB6655"/>
    <w:rPr>
      <w:b/>
    </w:rPr>
  </w:style>
  <w:style w:type="paragraph" w:customStyle="1" w:styleId="NormalHanging12a">
    <w:name w:val="NormalHanging12a"/>
    <w:basedOn w:val="Normal"/>
    <w:rsid w:val="00AB6655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AB6655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AB6655"/>
    <w:pPr>
      <w:spacing w:before="480" w:after="240"/>
    </w:pPr>
  </w:style>
  <w:style w:type="paragraph" w:customStyle="1" w:styleId="Normal6">
    <w:name w:val="Normal6"/>
    <w:basedOn w:val="Normal"/>
    <w:link w:val="Normal6Char"/>
    <w:rsid w:val="00AB6655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AB6655"/>
    <w:rPr>
      <w:b/>
      <w:sz w:val="24"/>
      <w:lang w:val="fr-FR"/>
    </w:rPr>
  </w:style>
  <w:style w:type="character" w:customStyle="1" w:styleId="Normal6Char">
    <w:name w:val="Normal6 Char"/>
    <w:basedOn w:val="DefaultParagraphFont"/>
    <w:link w:val="Normal6"/>
    <w:rsid w:val="00AB6655"/>
    <w:rPr>
      <w:sz w:val="24"/>
      <w:lang w:val="fr-FR"/>
    </w:rPr>
  </w:style>
  <w:style w:type="paragraph" w:customStyle="1" w:styleId="ColumnHeading">
    <w:name w:val="ColumnHeading"/>
    <w:basedOn w:val="Normal"/>
    <w:rsid w:val="00AB6655"/>
    <w:pPr>
      <w:spacing w:after="240"/>
      <w:jc w:val="center"/>
    </w:pPr>
    <w:rPr>
      <w:i/>
    </w:rPr>
  </w:style>
  <w:style w:type="paragraph" w:styleId="Revision">
    <w:name w:val="Revision"/>
    <w:hidden/>
    <w:uiPriority w:val="99"/>
    <w:semiHidden/>
    <w:rsid w:val="008952A0"/>
    <w:rPr>
      <w:sz w:val="24"/>
      <w:lang w:val="fr-FR"/>
    </w:rPr>
  </w:style>
  <w:style w:type="character" w:styleId="Hyperlink">
    <w:name w:val="Hyperlink"/>
    <w:basedOn w:val="DefaultParagraphFont"/>
    <w:rsid w:val="008952A0"/>
    <w:rPr>
      <w:color w:val="0563C1" w:themeColor="hyperlink"/>
      <w:u w:val="single"/>
    </w:rPr>
  </w:style>
  <w:style w:type="paragraph" w:customStyle="1" w:styleId="Datedadoption">
    <w:name w:val="Date d'adoption"/>
    <w:basedOn w:val="Normal"/>
    <w:next w:val="Normal"/>
    <w:rsid w:val="00106B39"/>
    <w:pPr>
      <w:widowControl/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MAGHOUZ Yousra_DLA</dc:creator>
  <cp:keywords/>
  <cp:lastModifiedBy>MAGHOUZ Yousra</cp:lastModifiedBy>
  <cp:revision>2</cp:revision>
  <cp:lastPrinted>2004-11-19T15:42:00Z</cp:lastPrinted>
  <dcterms:created xsi:type="dcterms:W3CDTF">2026-05-19T12:43:00Z</dcterms:created>
  <dcterms:modified xsi:type="dcterms:W3CDTF">2026-05-19T12:43:00Z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P10_TA(2026)0059_</vt:lpwstr>
  </property>
  <property fmtid="{D5CDD505-2E9C-101B-9397-08002B2CF9AE}" pid="4" name="&lt;Type&gt;">
    <vt:lpwstr>RR</vt:lpwstr>
  </property>
</Properties>
</file>