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20BAD" w14:paraId="0D134F6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2710A64" w14:textId="77777777" w:rsidR="00751A4A" w:rsidRPr="00720BAD" w:rsidRDefault="001F7D0B" w:rsidP="0010095E">
            <w:pPr>
              <w:pStyle w:val="EPName"/>
            </w:pPr>
            <w:r w:rsidRPr="00720BAD">
              <w:t>Europos Parlamentas</w:t>
            </w:r>
          </w:p>
          <w:p w14:paraId="25A89517" w14:textId="77777777" w:rsidR="00751A4A" w:rsidRPr="00720BA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20BAD">
              <w:t>2024</w:t>
            </w:r>
            <w:r w:rsidR="00817416" w:rsidRPr="00720BAD">
              <w:t>-202</w:t>
            </w:r>
            <w:r w:rsidRPr="00720BAD">
              <w:t>9</w:t>
            </w:r>
          </w:p>
        </w:tc>
        <w:tc>
          <w:tcPr>
            <w:tcW w:w="2268" w:type="dxa"/>
            <w:shd w:val="clear" w:color="auto" w:fill="auto"/>
          </w:tcPr>
          <w:p w14:paraId="4F6C695F" w14:textId="77777777" w:rsidR="00751A4A" w:rsidRPr="00720BAD" w:rsidRDefault="00187494" w:rsidP="0010095E">
            <w:pPr>
              <w:pStyle w:val="EPLogo"/>
            </w:pPr>
            <w:r w:rsidRPr="00720BAD">
              <w:rPr>
                <w:noProof/>
                <w:lang w:eastAsia="ja-JP"/>
              </w:rPr>
              <w:drawing>
                <wp:inline distT="0" distB="0" distL="0" distR="0" wp14:anchorId="5D134C4E" wp14:editId="4863372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DB1AB5" w14:textId="77777777" w:rsidR="00D058B8" w:rsidRPr="00720BAD" w:rsidRDefault="00D058B8" w:rsidP="004C5D52">
      <w:pPr>
        <w:pStyle w:val="LineTop"/>
      </w:pPr>
    </w:p>
    <w:p w14:paraId="489C733C" w14:textId="77777777" w:rsidR="00680577" w:rsidRPr="00720BAD" w:rsidRDefault="001F7D0B" w:rsidP="00680577">
      <w:pPr>
        <w:pStyle w:val="EPBodyTA1"/>
      </w:pPr>
      <w:r w:rsidRPr="00720BAD">
        <w:t>PRIIMTI TEKSTAI</w:t>
      </w:r>
    </w:p>
    <w:p w14:paraId="34FDAAB3" w14:textId="77777777" w:rsidR="00D058B8" w:rsidRPr="00720BAD" w:rsidRDefault="00D058B8" w:rsidP="00D058B8">
      <w:pPr>
        <w:pStyle w:val="LineBottom"/>
      </w:pPr>
    </w:p>
    <w:p w14:paraId="028A7012" w14:textId="47D7082A" w:rsidR="001F7D0B" w:rsidRPr="00720BAD" w:rsidRDefault="001F7D0B" w:rsidP="001F7D0B">
      <w:pPr>
        <w:pStyle w:val="ATHeading1"/>
      </w:pPr>
      <w:bookmarkStart w:id="0" w:name="TANumber"/>
      <w:r w:rsidRPr="00720BAD">
        <w:t>P10_TA(2026)00</w:t>
      </w:r>
      <w:r w:rsidR="00F32561">
        <w:t>59</w:t>
      </w:r>
      <w:bookmarkEnd w:id="0"/>
    </w:p>
    <w:p w14:paraId="13FA0A41" w14:textId="0950B660" w:rsidR="001F7D0B" w:rsidRPr="00720BAD" w:rsidRDefault="00203910" w:rsidP="001F7D0B">
      <w:pPr>
        <w:pStyle w:val="ATHeading2"/>
      </w:pPr>
      <w:bookmarkStart w:id="1" w:name="title"/>
      <w:r w:rsidRPr="007B6306">
        <w:rPr>
          <w:bCs/>
        </w:rPr>
        <w:t>Didesnis išorės veiksmų garantijos veiksmingumas</w:t>
      </w:r>
      <w:bookmarkEnd w:id="1"/>
    </w:p>
    <w:p w14:paraId="7A681D6E" w14:textId="5AB76972" w:rsidR="001F7D0B" w:rsidRPr="00720BAD" w:rsidRDefault="001F7D0B" w:rsidP="001F7D0B">
      <w:pPr>
        <w:rPr>
          <w:i/>
          <w:vanish/>
        </w:rPr>
      </w:pPr>
      <w:r w:rsidRPr="00720BAD">
        <w:rPr>
          <w:i/>
        </w:rPr>
        <w:fldChar w:fldCharType="begin"/>
      </w:r>
      <w:r w:rsidRPr="00720BAD">
        <w:rPr>
          <w:i/>
        </w:rPr>
        <w:instrText xml:space="preserve"> TC"(</w:instrText>
      </w:r>
      <w:bookmarkStart w:id="2" w:name="DocNumber"/>
      <w:r w:rsidRPr="00720BAD">
        <w:rPr>
          <w:i/>
        </w:rPr>
        <w:instrText>A10-0221/2025</w:instrText>
      </w:r>
      <w:bookmarkEnd w:id="2"/>
      <w:r w:rsidRPr="00720BAD">
        <w:rPr>
          <w:i/>
        </w:rPr>
        <w:instrText xml:space="preserve"> - Pranešėjai: </w:instrText>
      </w:r>
      <w:proofErr w:type="spellStart"/>
      <w:r w:rsidRPr="00720BAD">
        <w:rPr>
          <w:i/>
        </w:rPr>
        <w:instrText>David</w:instrText>
      </w:r>
      <w:proofErr w:type="spellEnd"/>
      <w:r w:rsidRPr="00720BAD">
        <w:rPr>
          <w:i/>
        </w:rPr>
        <w:instrText xml:space="preserve"> </w:instrText>
      </w:r>
      <w:proofErr w:type="spellStart"/>
      <w:r w:rsidRPr="00720BAD">
        <w:rPr>
          <w:i/>
        </w:rPr>
        <w:instrText>McAllister</w:instrText>
      </w:r>
      <w:proofErr w:type="spellEnd"/>
      <w:r w:rsidR="0091096F">
        <w:rPr>
          <w:i/>
        </w:rPr>
        <w:instrText xml:space="preserve">, </w:instrText>
      </w:r>
      <w:proofErr w:type="spellStart"/>
      <w:r w:rsidR="0091096F" w:rsidRPr="00720BAD">
        <w:rPr>
          <w:i/>
        </w:rPr>
        <w:instrText>Charles</w:instrText>
      </w:r>
      <w:proofErr w:type="spellEnd"/>
      <w:r w:rsidR="0091096F" w:rsidRPr="00720BAD">
        <w:rPr>
          <w:i/>
        </w:rPr>
        <w:instrText xml:space="preserve"> </w:instrText>
      </w:r>
      <w:proofErr w:type="spellStart"/>
      <w:r w:rsidR="0091096F" w:rsidRPr="00720BAD">
        <w:rPr>
          <w:i/>
        </w:rPr>
        <w:instrText>Goerens</w:instrText>
      </w:r>
      <w:proofErr w:type="spellEnd"/>
      <w:r w:rsidRPr="00720BAD">
        <w:rPr>
          <w:i/>
        </w:rPr>
        <w:instrText xml:space="preserve">)"\l3 \n&gt; \* MERGEFORMAT </w:instrText>
      </w:r>
      <w:r w:rsidRPr="00720BAD">
        <w:rPr>
          <w:i/>
        </w:rPr>
        <w:fldChar w:fldCharType="end"/>
      </w:r>
    </w:p>
    <w:p w14:paraId="073DF030" w14:textId="77777777" w:rsidR="001F7D0B" w:rsidRPr="00720BAD" w:rsidRDefault="001F7D0B" w:rsidP="001F7D0B">
      <w:pPr>
        <w:rPr>
          <w:vanish/>
        </w:rPr>
      </w:pPr>
      <w:bookmarkStart w:id="3" w:name="Commission"/>
      <w:r w:rsidRPr="00720BAD">
        <w:rPr>
          <w:vanish/>
        </w:rPr>
        <w:t>Užsienio reikalų komitetas, Vystymosi komitetas</w:t>
      </w:r>
      <w:bookmarkEnd w:id="3"/>
    </w:p>
    <w:p w14:paraId="6E341237" w14:textId="77777777" w:rsidR="001F7D0B" w:rsidRPr="00720BAD" w:rsidRDefault="001F7D0B" w:rsidP="001F7D0B">
      <w:pPr>
        <w:rPr>
          <w:vanish/>
        </w:rPr>
      </w:pPr>
      <w:bookmarkStart w:id="4" w:name="PE"/>
      <w:r w:rsidRPr="00720BAD">
        <w:rPr>
          <w:vanish/>
        </w:rPr>
        <w:t>PE776.794</w:t>
      </w:r>
      <w:bookmarkEnd w:id="4"/>
    </w:p>
    <w:p w14:paraId="5EABAB55" w14:textId="77777777" w:rsidR="001F7D0B" w:rsidRPr="00720BAD" w:rsidRDefault="001F7D0B" w:rsidP="001F7D0B">
      <w:pPr>
        <w:pStyle w:val="ATHeading3"/>
      </w:pPr>
      <w:bookmarkStart w:id="5" w:name="Sujet"/>
      <w:r w:rsidRPr="00720BAD">
        <w:t>2026 m. kovo 10 d. Europos Parlamento teisėkūros rezoliucija dėl pasiūlymo dėl Europos Parlamento ir Tarybos reglamento, kuriuo dėl didesnio išorės veiksmų garantijos veiksmingumo iš dalies keičiamas Reglamentas (ES) 2021/947</w:t>
      </w:r>
      <w:bookmarkEnd w:id="5"/>
      <w:r w:rsidRPr="00720BAD">
        <w:t xml:space="preserve"> </w:t>
      </w:r>
      <w:bookmarkStart w:id="6" w:name="References"/>
      <w:r w:rsidRPr="00720BAD">
        <w:t>(COM(2025)0262 – C10-0107/2025 – 2025/0262(COD))</w:t>
      </w:r>
      <w:bookmarkEnd w:id="6"/>
    </w:p>
    <w:p w14:paraId="7AD8D6AF" w14:textId="77777777" w:rsidR="001F7D0B" w:rsidRPr="00720BAD" w:rsidRDefault="001F7D0B" w:rsidP="001F7D0B"/>
    <w:p w14:paraId="1BE2C858" w14:textId="77777777" w:rsidR="004A6D19" w:rsidRPr="00720BAD" w:rsidRDefault="004A6D19" w:rsidP="004A6D19">
      <w:pPr>
        <w:pStyle w:val="NormalBold"/>
      </w:pPr>
      <w:bookmarkStart w:id="7" w:name="TextBodyBegin"/>
      <w:bookmarkEnd w:id="7"/>
      <w:r w:rsidRPr="00720BAD">
        <w:t>(Įprasta teisėkūros procedūra: pirmasis svarstymas)</w:t>
      </w:r>
    </w:p>
    <w:p w14:paraId="662C8872" w14:textId="77777777" w:rsidR="004A6D19" w:rsidRPr="00720BAD" w:rsidRDefault="004A6D19" w:rsidP="004A6D19">
      <w:pPr>
        <w:pStyle w:val="EPComma"/>
      </w:pPr>
      <w:r w:rsidRPr="00720BAD">
        <w:rPr>
          <w:i/>
        </w:rPr>
        <w:t>Europos Parlamentas</w:t>
      </w:r>
      <w:r w:rsidRPr="00720BAD">
        <w:t>,</w:t>
      </w:r>
    </w:p>
    <w:p w14:paraId="557B6B42" w14:textId="77777777" w:rsidR="004A6D19" w:rsidRPr="00720BAD" w:rsidRDefault="004A6D19" w:rsidP="004A6D19">
      <w:pPr>
        <w:pStyle w:val="NormalHanging12a"/>
      </w:pPr>
      <w:r w:rsidRPr="00720BAD">
        <w:t>–</w:t>
      </w:r>
      <w:r w:rsidRPr="00720BAD">
        <w:tab/>
        <w:t>atsižvelgdamas į Komisijos pasiūlymą Europos Parlamentui ir Tarybai (COM(2025)0262),</w:t>
      </w:r>
    </w:p>
    <w:p w14:paraId="7ACEA7C0" w14:textId="77777777" w:rsidR="004A6D19" w:rsidRPr="00720BAD" w:rsidRDefault="004A6D19" w:rsidP="004A6D19">
      <w:pPr>
        <w:pStyle w:val="NormalHanging12a"/>
      </w:pPr>
      <w:bookmarkStart w:id="8" w:name="_Hlk213247400"/>
      <w:r w:rsidRPr="00720BAD">
        <w:t>–</w:t>
      </w:r>
      <w:r w:rsidRPr="00720BAD">
        <w:tab/>
        <w:t>atsižvelgdamas į Sutarties dėl Europos Sąjungos veikimo 294 straipsnio 2 dalį ir 209 ir 212 straipsnius, pagal kuriuos Komisija pateikė pasiūlymą Parlamentui (C10</w:t>
      </w:r>
      <w:r w:rsidRPr="00720BAD">
        <w:noBreakHyphen/>
        <w:t>0107/2025),</w:t>
      </w:r>
    </w:p>
    <w:p w14:paraId="65067CB7" w14:textId="77777777" w:rsidR="004A6D19" w:rsidRDefault="004A6D19" w:rsidP="004A6D19">
      <w:pPr>
        <w:pStyle w:val="NormalHanging12a"/>
      </w:pPr>
      <w:r w:rsidRPr="00720BAD">
        <w:t>–</w:t>
      </w:r>
      <w:r w:rsidRPr="00720BAD">
        <w:tab/>
        <w:t>atsižvelgdamas į Sutarties dėl Europos Sąjungos veikimo 294 straipsnio 3 dalį,</w:t>
      </w:r>
    </w:p>
    <w:p w14:paraId="546C44D2" w14:textId="5F055E26" w:rsidR="00F72EEC" w:rsidRPr="00720BAD" w:rsidRDefault="00F72EEC" w:rsidP="004A6D19">
      <w:pPr>
        <w:pStyle w:val="NormalHanging12a"/>
      </w:pPr>
      <w:r>
        <w:t>–</w:t>
      </w:r>
      <w:r>
        <w:tab/>
        <w:t>atsižvelgdamas į preliminarų susitarimą, kurį atsaking</w:t>
      </w:r>
      <w:r w:rsidR="00566A9C">
        <w:t>i</w:t>
      </w:r>
      <w:r>
        <w:t xml:space="preserve"> komiteta</w:t>
      </w:r>
      <w:r w:rsidR="00566A9C">
        <w:t>i</w:t>
      </w:r>
      <w:r>
        <w:t xml:space="preserve"> patvirtino pagal Darbo tvarkos taisyklių 75 straipsnio 4 dalį, ir į 2026 m. vasario 4 d. laišku Tarybos atstovo prisiimtą įsipareigojimą pritarti Parlamento pozicijai pagal Sutarties dėl Europos Sąjungos veikimo 294 straipsnio 4 dalį,</w:t>
      </w:r>
    </w:p>
    <w:p w14:paraId="44EB5E02" w14:textId="77777777" w:rsidR="004A6D19" w:rsidRDefault="004A6D19" w:rsidP="004A6D19">
      <w:pPr>
        <w:pStyle w:val="NormalHanging12a"/>
      </w:pPr>
      <w:r w:rsidRPr="00720BAD">
        <w:t>–</w:t>
      </w:r>
      <w:r w:rsidRPr="00720BAD">
        <w:tab/>
        <w:t>atsižvelgdamas į Darbo tvarkos taisyklių 60 straipsnį,</w:t>
      </w:r>
    </w:p>
    <w:p w14:paraId="10E62A2A" w14:textId="653217D6" w:rsidR="00566A9C" w:rsidRPr="00720BAD" w:rsidRDefault="00566A9C" w:rsidP="004A6D19">
      <w:pPr>
        <w:pStyle w:val="NormalHanging12a"/>
      </w:pPr>
      <w:r w:rsidRPr="00720BAD">
        <w:t>–</w:t>
      </w:r>
      <w:r w:rsidRPr="00720BAD">
        <w:tab/>
      </w:r>
      <w:r w:rsidR="00000DE9" w:rsidRPr="00000DE9">
        <w:t xml:space="preserve">atsižvelgdamas į </w:t>
      </w:r>
      <w:r w:rsidR="000A1E64" w:rsidRPr="00720BAD">
        <w:t xml:space="preserve">Užsienio reikalų komiteto ir Vystymosi komiteto </w:t>
      </w:r>
      <w:r w:rsidR="000A1E64" w:rsidRPr="00000DE9">
        <w:t xml:space="preserve">bendrus </w:t>
      </w:r>
      <w:r w:rsidR="00000DE9" w:rsidRPr="00000DE9">
        <w:t>svarstymus pagal Darbo tvarkos taisyklių 59 straipsnį,</w:t>
      </w:r>
    </w:p>
    <w:bookmarkEnd w:id="8"/>
    <w:p w14:paraId="1482514A" w14:textId="77777777" w:rsidR="004A6D19" w:rsidRPr="00720BAD" w:rsidRDefault="004A6D19" w:rsidP="004A6D19">
      <w:pPr>
        <w:pStyle w:val="NormalHanging12a"/>
      </w:pPr>
      <w:r w:rsidRPr="00720BAD">
        <w:t>–</w:t>
      </w:r>
      <w:r w:rsidRPr="00720BAD">
        <w:tab/>
        <w:t>atsižvelgdamas į Užsienio reikalų komiteto ir Vystymosi komiteto pranešimą (A10-0221/2025),</w:t>
      </w:r>
    </w:p>
    <w:p w14:paraId="66754033" w14:textId="77777777" w:rsidR="004A6D19" w:rsidRPr="00720BAD" w:rsidRDefault="004A6D19" w:rsidP="004A6D19">
      <w:pPr>
        <w:pStyle w:val="NormalHanging12a"/>
      </w:pPr>
      <w:r w:rsidRPr="00720BAD">
        <w:t>1.</w:t>
      </w:r>
      <w:r w:rsidRPr="00720BAD">
        <w:tab/>
        <w:t>priima per pirmąjį svarstymą toliau pateiktą poziciją;</w:t>
      </w:r>
    </w:p>
    <w:p w14:paraId="3B2CC6D5" w14:textId="77777777" w:rsidR="004A6D19" w:rsidRPr="00720BAD" w:rsidRDefault="004A6D19" w:rsidP="004A6D19">
      <w:pPr>
        <w:pStyle w:val="NormalHanging12a"/>
      </w:pPr>
      <w:r w:rsidRPr="00720BAD">
        <w:lastRenderedPageBreak/>
        <w:t>2.</w:t>
      </w:r>
      <w:r w:rsidRPr="00720BAD">
        <w:tab/>
        <w:t>ragina Komisiją dar kartą perduoti klausimą svarstyti Parlamentui, jei ji savo pasiūlymą pakeičia nauju tekstu, jį keičia iš esmės arba ketina jį keisti iš esmės;</w:t>
      </w:r>
    </w:p>
    <w:p w14:paraId="3FD4BF35" w14:textId="77777777" w:rsidR="004A6D19" w:rsidRPr="00720BAD" w:rsidRDefault="004A6D19" w:rsidP="004A6D19">
      <w:pPr>
        <w:pStyle w:val="NormalHanging12a"/>
      </w:pPr>
      <w:r w:rsidRPr="00720BAD">
        <w:t>3.</w:t>
      </w:r>
      <w:r w:rsidRPr="00720BAD">
        <w:tab/>
        <w:t>paveda Pirmininkei perduoti Parlamento poziciją Tarybai, Komisijai ir nacionaliniams parlamentams.</w:t>
      </w:r>
    </w:p>
    <w:p w14:paraId="5FB82852" w14:textId="77777777" w:rsidR="004A6D19" w:rsidRPr="00720BAD" w:rsidRDefault="004A6D19" w:rsidP="004A6D19"/>
    <w:p w14:paraId="7466EE01" w14:textId="77777777" w:rsidR="00F72EEC" w:rsidRDefault="00F72EEC">
      <w:pPr>
        <w:widowControl/>
        <w:sectPr w:rsidR="00F72EEC" w:rsidSect="00720B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2918408" w14:textId="77777777" w:rsidR="00F72EEC" w:rsidRPr="0024398B" w:rsidRDefault="00F72EEC" w:rsidP="00F72EE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4398B">
        <w:rPr>
          <w:rFonts w:eastAsia="Calibri"/>
          <w:b/>
          <w:bCs/>
          <w:color w:val="000000"/>
          <w:szCs w:val="24"/>
        </w:rPr>
        <w:lastRenderedPageBreak/>
        <w:t>P10_TC1-COD(2025)0262</w:t>
      </w:r>
    </w:p>
    <w:p w14:paraId="02FAF547" w14:textId="4D0F5D7B" w:rsidR="004A0058" w:rsidRPr="00720CE1" w:rsidRDefault="00AE0D2A" w:rsidP="003D0BA4">
      <w:pPr>
        <w:spacing w:after="600"/>
        <w:rPr>
          <w:rFonts w:eastAsia="Calibri"/>
          <w:b/>
          <w:szCs w:val="22"/>
          <w:lang w:eastAsia="lt-LT" w:bidi="lt-LT"/>
        </w:rPr>
      </w:pPr>
      <w:r w:rsidRPr="00720CE1">
        <w:rPr>
          <w:b/>
          <w:bCs/>
        </w:rPr>
        <w:t xml:space="preserve">Europos Parlamento pozicija, priimta 2026 m. kovo 10 d. per pirmąjį svarstymą, siekiant priimti Europos Parlamento ir Tarybos reglamentą (ES) 2026/..., </w:t>
      </w:r>
      <w:r w:rsidR="004A0058" w:rsidRPr="00720CE1">
        <w:rPr>
          <w:rFonts w:eastAsia="Calibri"/>
          <w:b/>
          <w:szCs w:val="22"/>
          <w:lang w:eastAsia="lt-LT" w:bidi="lt-LT"/>
        </w:rPr>
        <w:t>kuriuo dėl didesnio išorės veiksmų garantijos veiksmingumo iš dalies keičiamas Reglamentas (ES) 2021/947</w:t>
      </w:r>
    </w:p>
    <w:p w14:paraId="75196683" w14:textId="547C201C" w:rsidR="003D0BA4" w:rsidRDefault="007F3138" w:rsidP="007F3138">
      <w:pPr>
        <w:widowControl/>
        <w:rPr>
          <w:rFonts w:eastAsia="Calibri"/>
          <w:b/>
          <w:szCs w:val="22"/>
          <w:lang w:eastAsia="lt-LT" w:bidi="lt-LT"/>
        </w:rPr>
      </w:pPr>
      <w:r w:rsidRPr="007F3138">
        <w:rPr>
          <w:i/>
          <w:iCs/>
          <w:color w:val="000000"/>
          <w:szCs w:val="24"/>
        </w:rPr>
        <w:t>(Kadangi Parlamentas ir Taryba pasiekė susitarimą, Parlamento pozicija atitinka galutinį teisės aktą, Reglamentą (ES) 2026/</w:t>
      </w:r>
      <w:r w:rsidRPr="007F3138">
        <w:rPr>
          <w:i/>
          <w:iCs/>
          <w:color w:val="000000"/>
          <w:szCs w:val="24"/>
        </w:rPr>
        <w:t>995</w:t>
      </w:r>
      <w:r w:rsidRPr="007F3138">
        <w:rPr>
          <w:i/>
          <w:iCs/>
          <w:color w:val="000000"/>
          <w:szCs w:val="24"/>
        </w:rPr>
        <w:t>.)</w:t>
      </w:r>
      <w:r w:rsidRPr="007F3138">
        <w:rPr>
          <w:color w:val="000000"/>
          <w:szCs w:val="24"/>
        </w:rPr>
        <w:t xml:space="preserve"> </w:t>
      </w:r>
    </w:p>
    <w:sectPr w:rsidR="003D0BA4" w:rsidSect="00720BAD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B5B4" w14:textId="77777777" w:rsidR="001F7D0B" w:rsidRPr="00720BAD" w:rsidRDefault="001F7D0B">
      <w:r w:rsidRPr="00720BAD">
        <w:separator/>
      </w:r>
    </w:p>
  </w:endnote>
  <w:endnote w:type="continuationSeparator" w:id="0">
    <w:p w14:paraId="6FA082D4" w14:textId="77777777" w:rsidR="001F7D0B" w:rsidRPr="00720BAD" w:rsidRDefault="001F7D0B">
      <w:r w:rsidRPr="00720B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37BD" w14:textId="77777777" w:rsidR="00064002" w:rsidRPr="00720BA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F90AD" w14:textId="77777777" w:rsidR="00064002" w:rsidRPr="00720BA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3BBA3" w14:textId="77777777" w:rsidR="00064002" w:rsidRPr="00720BA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FA464" w14:textId="77777777" w:rsidR="001F7D0B" w:rsidRPr="00720BAD" w:rsidRDefault="001F7D0B">
      <w:r w:rsidRPr="00720BAD">
        <w:separator/>
      </w:r>
    </w:p>
  </w:footnote>
  <w:footnote w:type="continuationSeparator" w:id="0">
    <w:p w14:paraId="12618D34" w14:textId="77777777" w:rsidR="001F7D0B" w:rsidRPr="00720BAD" w:rsidRDefault="001F7D0B">
      <w:r w:rsidRPr="00720B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96C3" w14:textId="77777777" w:rsidR="00064002" w:rsidRPr="00720BA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E51B" w14:textId="77777777" w:rsidR="00064002" w:rsidRPr="00720BA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264D" w14:textId="77777777" w:rsidR="00064002" w:rsidRPr="00720BA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65752100">
    <w:abstractNumId w:val="9"/>
  </w:num>
  <w:num w:numId="2" w16cid:durableId="1292899558">
    <w:abstractNumId w:val="9"/>
  </w:num>
  <w:num w:numId="3" w16cid:durableId="205263514">
    <w:abstractNumId w:val="7"/>
  </w:num>
  <w:num w:numId="4" w16cid:durableId="888420571">
    <w:abstractNumId w:val="7"/>
  </w:num>
  <w:num w:numId="5" w16cid:durableId="912131090">
    <w:abstractNumId w:val="6"/>
  </w:num>
  <w:num w:numId="6" w16cid:durableId="2034375539">
    <w:abstractNumId w:val="6"/>
  </w:num>
  <w:num w:numId="7" w16cid:durableId="1005018337">
    <w:abstractNumId w:val="5"/>
  </w:num>
  <w:num w:numId="8" w16cid:durableId="2099595795">
    <w:abstractNumId w:val="5"/>
  </w:num>
  <w:num w:numId="9" w16cid:durableId="2003002683">
    <w:abstractNumId w:val="4"/>
  </w:num>
  <w:num w:numId="10" w16cid:durableId="2109350295">
    <w:abstractNumId w:val="4"/>
  </w:num>
  <w:num w:numId="11" w16cid:durableId="1124233273">
    <w:abstractNumId w:val="8"/>
  </w:num>
  <w:num w:numId="12" w16cid:durableId="1192375057">
    <w:abstractNumId w:val="8"/>
  </w:num>
  <w:num w:numId="13" w16cid:durableId="1760247964">
    <w:abstractNumId w:val="3"/>
  </w:num>
  <w:num w:numId="14" w16cid:durableId="994799965">
    <w:abstractNumId w:val="3"/>
  </w:num>
  <w:num w:numId="15" w16cid:durableId="274142581">
    <w:abstractNumId w:val="2"/>
  </w:num>
  <w:num w:numId="16" w16cid:durableId="1310600530">
    <w:abstractNumId w:val="2"/>
  </w:num>
  <w:num w:numId="17" w16cid:durableId="632442195">
    <w:abstractNumId w:val="1"/>
  </w:num>
  <w:num w:numId="18" w16cid:durableId="1889341712">
    <w:abstractNumId w:val="1"/>
  </w:num>
  <w:num w:numId="19" w16cid:durableId="1531066132">
    <w:abstractNumId w:val="0"/>
  </w:num>
  <w:num w:numId="20" w16cid:durableId="1516774384">
    <w:abstractNumId w:val="0"/>
  </w:num>
  <w:num w:numId="21" w16cid:durableId="1969358489">
    <w:abstractNumId w:val="9"/>
  </w:num>
  <w:num w:numId="22" w16cid:durableId="1886285785">
    <w:abstractNumId w:val="7"/>
  </w:num>
  <w:num w:numId="23" w16cid:durableId="641346441">
    <w:abstractNumId w:val="6"/>
  </w:num>
  <w:num w:numId="24" w16cid:durableId="1234782348">
    <w:abstractNumId w:val="5"/>
  </w:num>
  <w:num w:numId="25" w16cid:durableId="345525009">
    <w:abstractNumId w:val="4"/>
  </w:num>
  <w:num w:numId="26" w16cid:durableId="39015795">
    <w:abstractNumId w:val="8"/>
  </w:num>
  <w:num w:numId="27" w16cid:durableId="1397821511">
    <w:abstractNumId w:val="3"/>
  </w:num>
  <w:num w:numId="28" w16cid:durableId="938216381">
    <w:abstractNumId w:val="2"/>
  </w:num>
  <w:num w:numId="29" w16cid:durableId="1369139264">
    <w:abstractNumId w:val="1"/>
  </w:num>
  <w:num w:numId="30" w16cid:durableId="1458990558">
    <w:abstractNumId w:val="0"/>
  </w:num>
  <w:num w:numId="31" w16cid:durableId="654530484">
    <w:abstractNumId w:val="9"/>
  </w:num>
  <w:num w:numId="32" w16cid:durableId="445392694">
    <w:abstractNumId w:val="7"/>
  </w:num>
  <w:num w:numId="33" w16cid:durableId="42022080">
    <w:abstractNumId w:val="6"/>
  </w:num>
  <w:num w:numId="34" w16cid:durableId="26494363">
    <w:abstractNumId w:val="5"/>
  </w:num>
  <w:num w:numId="35" w16cid:durableId="1392269424">
    <w:abstractNumId w:val="4"/>
  </w:num>
  <w:num w:numId="36" w16cid:durableId="69549477">
    <w:abstractNumId w:val="8"/>
  </w:num>
  <w:num w:numId="37" w16cid:durableId="157775664">
    <w:abstractNumId w:val="3"/>
  </w:num>
  <w:num w:numId="38" w16cid:durableId="993610098">
    <w:abstractNumId w:val="2"/>
  </w:num>
  <w:num w:numId="39" w16cid:durableId="415522737">
    <w:abstractNumId w:val="1"/>
  </w:num>
  <w:num w:numId="40" w16cid:durableId="1852254665">
    <w:abstractNumId w:val="0"/>
  </w:num>
  <w:num w:numId="41" w16cid:durableId="1258631544">
    <w:abstractNumId w:val="10"/>
  </w:num>
  <w:num w:numId="42" w16cid:durableId="320357147">
    <w:abstractNumId w:val="10"/>
  </w:num>
  <w:num w:numId="43" w16cid:durableId="726532729">
    <w:abstractNumId w:val="10"/>
  </w:num>
  <w:num w:numId="44" w16cid:durableId="3065897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LT"/>
    <w:docVar w:name="dvnumam" w:val="17"/>
    <w:docVar w:name="dvpe" w:val="776.794"/>
    <w:docVar w:name="dvrapporteur" w:val="Pranešėjai: "/>
    <w:docVar w:name="dvstar" w:val="***I"/>
    <w:docVar w:name="dvtitre" w:val="2026 m. kovo 10 d. Europos Parlamento teisėkūros rezoliucija dėl pasiūlymo dėl Europos Parlamento ir Tarybos reglamento, kuriuo dėl didesnio išorės veiksmų garantijos veiksmingumo iš dalies keičiamas Reglamentas (ES) 2021/947(COM(2025)0262 – C10-0107/2025 – 2025/0262(COD))"/>
  </w:docVars>
  <w:rsids>
    <w:rsidRoot w:val="001F7D0B"/>
    <w:rsid w:val="00000DE9"/>
    <w:rsid w:val="00002272"/>
    <w:rsid w:val="00064002"/>
    <w:rsid w:val="000677B9"/>
    <w:rsid w:val="000831BA"/>
    <w:rsid w:val="000A1E64"/>
    <w:rsid w:val="000A42CC"/>
    <w:rsid w:val="000E7DD9"/>
    <w:rsid w:val="0010095E"/>
    <w:rsid w:val="00125B37"/>
    <w:rsid w:val="00187494"/>
    <w:rsid w:val="001D0673"/>
    <w:rsid w:val="001F32AE"/>
    <w:rsid w:val="001F7D0B"/>
    <w:rsid w:val="00203910"/>
    <w:rsid w:val="00225F49"/>
    <w:rsid w:val="002767FF"/>
    <w:rsid w:val="002B18FE"/>
    <w:rsid w:val="002B5493"/>
    <w:rsid w:val="0032418A"/>
    <w:rsid w:val="00343214"/>
    <w:rsid w:val="00361C00"/>
    <w:rsid w:val="00395FA1"/>
    <w:rsid w:val="003D0BA4"/>
    <w:rsid w:val="003E15D4"/>
    <w:rsid w:val="00411CCE"/>
    <w:rsid w:val="0041666E"/>
    <w:rsid w:val="00421060"/>
    <w:rsid w:val="00471C19"/>
    <w:rsid w:val="004867E3"/>
    <w:rsid w:val="00494A28"/>
    <w:rsid w:val="004A0058"/>
    <w:rsid w:val="004A6D19"/>
    <w:rsid w:val="004C0004"/>
    <w:rsid w:val="004C5D52"/>
    <w:rsid w:val="004D1527"/>
    <w:rsid w:val="0050519A"/>
    <w:rsid w:val="005072A1"/>
    <w:rsid w:val="00514517"/>
    <w:rsid w:val="00545827"/>
    <w:rsid w:val="00560270"/>
    <w:rsid w:val="00566A9C"/>
    <w:rsid w:val="005C2568"/>
    <w:rsid w:val="005F1B17"/>
    <w:rsid w:val="006037C0"/>
    <w:rsid w:val="00605CFC"/>
    <w:rsid w:val="006631B6"/>
    <w:rsid w:val="00680577"/>
    <w:rsid w:val="006F74FA"/>
    <w:rsid w:val="00720BAD"/>
    <w:rsid w:val="00720CE1"/>
    <w:rsid w:val="00731ADD"/>
    <w:rsid w:val="00734777"/>
    <w:rsid w:val="00747932"/>
    <w:rsid w:val="00751A4A"/>
    <w:rsid w:val="00756632"/>
    <w:rsid w:val="00762C74"/>
    <w:rsid w:val="00786EC0"/>
    <w:rsid w:val="007B6306"/>
    <w:rsid w:val="007D1690"/>
    <w:rsid w:val="007E22AD"/>
    <w:rsid w:val="007F3138"/>
    <w:rsid w:val="00817416"/>
    <w:rsid w:val="00842779"/>
    <w:rsid w:val="00847010"/>
    <w:rsid w:val="00865F67"/>
    <w:rsid w:val="00881A7B"/>
    <w:rsid w:val="00883274"/>
    <w:rsid w:val="008840E5"/>
    <w:rsid w:val="00887B3E"/>
    <w:rsid w:val="008C2AC6"/>
    <w:rsid w:val="0091096F"/>
    <w:rsid w:val="00930C23"/>
    <w:rsid w:val="0093193B"/>
    <w:rsid w:val="009509D8"/>
    <w:rsid w:val="00950B64"/>
    <w:rsid w:val="00981893"/>
    <w:rsid w:val="00A1687D"/>
    <w:rsid w:val="00A43E52"/>
    <w:rsid w:val="00A4678D"/>
    <w:rsid w:val="00A71347"/>
    <w:rsid w:val="00A778C7"/>
    <w:rsid w:val="00AB441E"/>
    <w:rsid w:val="00AB6293"/>
    <w:rsid w:val="00AE0928"/>
    <w:rsid w:val="00AE0D2A"/>
    <w:rsid w:val="00AF3B82"/>
    <w:rsid w:val="00B12E95"/>
    <w:rsid w:val="00B22876"/>
    <w:rsid w:val="00B26EBE"/>
    <w:rsid w:val="00B558F0"/>
    <w:rsid w:val="00B74E36"/>
    <w:rsid w:val="00BD48FE"/>
    <w:rsid w:val="00BD7BD8"/>
    <w:rsid w:val="00BE6ADC"/>
    <w:rsid w:val="00BF6FB0"/>
    <w:rsid w:val="00C05BFE"/>
    <w:rsid w:val="00C23CD4"/>
    <w:rsid w:val="00C61C0C"/>
    <w:rsid w:val="00C941CB"/>
    <w:rsid w:val="00CC2357"/>
    <w:rsid w:val="00CF071A"/>
    <w:rsid w:val="00D058B8"/>
    <w:rsid w:val="00D32F10"/>
    <w:rsid w:val="00D56C11"/>
    <w:rsid w:val="00D62774"/>
    <w:rsid w:val="00D834A0"/>
    <w:rsid w:val="00D872DF"/>
    <w:rsid w:val="00D91E21"/>
    <w:rsid w:val="00DA7FCD"/>
    <w:rsid w:val="00E01265"/>
    <w:rsid w:val="00E365E1"/>
    <w:rsid w:val="00E54788"/>
    <w:rsid w:val="00E820A4"/>
    <w:rsid w:val="00EB006A"/>
    <w:rsid w:val="00EB4772"/>
    <w:rsid w:val="00ED169E"/>
    <w:rsid w:val="00ED4235"/>
    <w:rsid w:val="00F04346"/>
    <w:rsid w:val="00F075DC"/>
    <w:rsid w:val="00F149E9"/>
    <w:rsid w:val="00F32561"/>
    <w:rsid w:val="00F5134D"/>
    <w:rsid w:val="00F72EEC"/>
    <w:rsid w:val="00F74202"/>
    <w:rsid w:val="00F843E6"/>
    <w:rsid w:val="00F87713"/>
    <w:rsid w:val="00FB4360"/>
    <w:rsid w:val="00FD0C70"/>
    <w:rsid w:val="00FE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8FE57"/>
  <w15:chartTrackingRefBased/>
  <w15:docId w15:val="{2B26F16A-47EF-4F97-8E1F-29A3B74A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4A6D19"/>
    <w:rPr>
      <w:b/>
    </w:rPr>
  </w:style>
  <w:style w:type="paragraph" w:customStyle="1" w:styleId="NormalHanging12a">
    <w:name w:val="NormalHanging12a"/>
    <w:basedOn w:val="Normal"/>
    <w:rsid w:val="004A6D19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4A6D1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4A6D19"/>
    <w:pPr>
      <w:spacing w:before="480" w:after="240"/>
    </w:pPr>
  </w:style>
  <w:style w:type="paragraph" w:customStyle="1" w:styleId="Normal6">
    <w:name w:val="Normal6"/>
    <w:basedOn w:val="Normal"/>
    <w:link w:val="Normal6Char"/>
    <w:rsid w:val="004A6D19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4A6D19"/>
    <w:rPr>
      <w:b/>
      <w:sz w:val="24"/>
      <w:lang w:val="lt-LT"/>
    </w:rPr>
  </w:style>
  <w:style w:type="character" w:customStyle="1" w:styleId="Normal6Char">
    <w:name w:val="Normal6 Char"/>
    <w:basedOn w:val="DefaultParagraphFont"/>
    <w:link w:val="Normal6"/>
    <w:rsid w:val="004A6D19"/>
    <w:rPr>
      <w:sz w:val="24"/>
      <w:lang w:val="lt-LT"/>
    </w:rPr>
  </w:style>
  <w:style w:type="paragraph" w:customStyle="1" w:styleId="ColumnHeading">
    <w:name w:val="ColumnHeading"/>
    <w:basedOn w:val="Normal"/>
    <w:rsid w:val="004A6D19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203910"/>
    <w:rPr>
      <w:sz w:val="24"/>
      <w:lang w:val="lt-LT"/>
    </w:rPr>
  </w:style>
  <w:style w:type="character" w:customStyle="1" w:styleId="Hyperlink1">
    <w:name w:val="Hyperlink1"/>
    <w:basedOn w:val="DefaultParagraphFont"/>
    <w:uiPriority w:val="99"/>
    <w:unhideWhenUsed/>
    <w:rsid w:val="004A0058"/>
    <w:rPr>
      <w:color w:val="0563C1"/>
      <w:u w:val="single"/>
    </w:rPr>
  </w:style>
  <w:style w:type="character" w:styleId="CommentReference">
    <w:name w:val="annotation reference"/>
    <w:basedOn w:val="DefaultParagraphFont"/>
    <w:rsid w:val="00BF6F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6FB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F6FB0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rsid w:val="00BF6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6FB0"/>
    <w:rPr>
      <w:b/>
      <w:bCs/>
      <w:lang w:val="lt-LT"/>
    </w:rPr>
  </w:style>
  <w:style w:type="character" w:styleId="Hyperlink">
    <w:name w:val="Hyperlink"/>
    <w:basedOn w:val="DefaultParagraphFont"/>
    <w:rsid w:val="00E547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SKEIVYTE Silvija</dc:creator>
  <cp:keywords/>
  <cp:lastModifiedBy>SKEIVYTE Silvija</cp:lastModifiedBy>
  <cp:revision>2</cp:revision>
  <cp:lastPrinted>2004-11-19T15:42:00Z</cp:lastPrinted>
  <dcterms:created xsi:type="dcterms:W3CDTF">2026-05-19T14:05:00Z</dcterms:created>
  <dcterms:modified xsi:type="dcterms:W3CDTF">2026-05-19T14:05:00Z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