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D5F71" w14:paraId="3327794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DF1D9D0" w14:textId="77777777" w:rsidR="00751A4A" w:rsidRPr="005D5F71" w:rsidRDefault="00B44A2F" w:rsidP="0010095E">
            <w:pPr>
              <w:pStyle w:val="EPName"/>
            </w:pPr>
            <w:r w:rsidRPr="005D5F71">
              <w:t xml:space="preserve">Parlamento </w:t>
            </w:r>
            <w:proofErr w:type="gramStart"/>
            <w:r w:rsidRPr="005D5F71">
              <w:t>Europeu</w:t>
            </w:r>
            <w:proofErr w:type="gramEnd"/>
          </w:p>
          <w:p w14:paraId="623DAF8A" w14:textId="77777777" w:rsidR="00751A4A" w:rsidRPr="005D5F7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D5F71">
              <w:t>2024</w:t>
            </w:r>
            <w:r w:rsidR="00817416" w:rsidRPr="005D5F71">
              <w:t>-202</w:t>
            </w:r>
            <w:r w:rsidRPr="005D5F71">
              <w:t>9</w:t>
            </w:r>
          </w:p>
        </w:tc>
        <w:tc>
          <w:tcPr>
            <w:tcW w:w="2268" w:type="dxa"/>
            <w:shd w:val="clear" w:color="auto" w:fill="auto"/>
          </w:tcPr>
          <w:p w14:paraId="73843D10" w14:textId="77777777" w:rsidR="00751A4A" w:rsidRPr="005D5F71" w:rsidRDefault="00187494" w:rsidP="0010095E">
            <w:pPr>
              <w:pStyle w:val="EPLogo"/>
            </w:pPr>
            <w:r w:rsidRPr="005D5F71">
              <w:rPr>
                <w:noProof/>
                <w:lang w:eastAsia="ja-JP"/>
              </w:rPr>
              <w:drawing>
                <wp:inline distT="0" distB="0" distL="0" distR="0" wp14:anchorId="05937909" wp14:editId="0597026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64C3B5" w14:textId="77777777" w:rsidR="00D058B8" w:rsidRPr="005D5F71" w:rsidRDefault="00D058B8" w:rsidP="004C5D52">
      <w:pPr>
        <w:pStyle w:val="LineTop"/>
      </w:pPr>
    </w:p>
    <w:p w14:paraId="10B4B699" w14:textId="77777777" w:rsidR="00680577" w:rsidRPr="005D5F71" w:rsidRDefault="00B44A2F" w:rsidP="00680577">
      <w:pPr>
        <w:pStyle w:val="EPBodyTA1"/>
      </w:pPr>
      <w:r w:rsidRPr="005D5F71">
        <w:t>TEXTOS APROVADOS</w:t>
      </w:r>
    </w:p>
    <w:p w14:paraId="7FCDB5C3" w14:textId="77777777" w:rsidR="00D058B8" w:rsidRPr="005D5F71" w:rsidRDefault="00D058B8" w:rsidP="00D058B8">
      <w:pPr>
        <w:pStyle w:val="LineBottom"/>
      </w:pPr>
    </w:p>
    <w:p w14:paraId="11C30429" w14:textId="403187FE" w:rsidR="00B44A2F" w:rsidRPr="005D5F71" w:rsidRDefault="00B44A2F" w:rsidP="00B44A2F">
      <w:pPr>
        <w:pStyle w:val="ATHeading1"/>
      </w:pPr>
      <w:bookmarkStart w:id="0" w:name="TANumber"/>
      <w:r w:rsidRPr="005D5F71">
        <w:t>P10_TA(2026)</w:t>
      </w:r>
      <w:bookmarkEnd w:id="0"/>
      <w:r w:rsidR="00EE40DA" w:rsidRPr="005D5F71">
        <w:t>0059</w:t>
      </w:r>
    </w:p>
    <w:p w14:paraId="0183585D" w14:textId="77777777" w:rsidR="00B44A2F" w:rsidRPr="005D5F71" w:rsidRDefault="00B44A2F" w:rsidP="00B44A2F">
      <w:pPr>
        <w:pStyle w:val="ATHeading2"/>
      </w:pPr>
      <w:bookmarkStart w:id="1" w:name="title"/>
      <w:r w:rsidRPr="005D5F71">
        <w:t>Aumento da eficiência da Garantia para a Ação Externa</w:t>
      </w:r>
      <w:bookmarkEnd w:id="1"/>
    </w:p>
    <w:p w14:paraId="26E1957E" w14:textId="7E8863BE" w:rsidR="00B44A2F" w:rsidRPr="005D5F71" w:rsidRDefault="00B44A2F" w:rsidP="00B44A2F">
      <w:pPr>
        <w:rPr>
          <w:i/>
          <w:vanish/>
        </w:rPr>
      </w:pPr>
      <w:r w:rsidRPr="005D5F71">
        <w:rPr>
          <w:i/>
        </w:rPr>
        <w:fldChar w:fldCharType="begin"/>
      </w:r>
      <w:r w:rsidRPr="005D5F71">
        <w:rPr>
          <w:i/>
        </w:rPr>
        <w:instrText xml:space="preserve"> TC"(</w:instrText>
      </w:r>
      <w:bookmarkStart w:id="2" w:name="DocNumber"/>
      <w:r w:rsidRPr="005D5F71">
        <w:rPr>
          <w:i/>
        </w:rPr>
        <w:instrText>A10-0221/2025</w:instrText>
      </w:r>
      <w:bookmarkEnd w:id="2"/>
      <w:r w:rsidRPr="005D5F71">
        <w:rPr>
          <w:i/>
        </w:rPr>
        <w:instrText xml:space="preserve"> - Relatores: David </w:instrText>
      </w:r>
      <w:proofErr w:type="spellStart"/>
      <w:r w:rsidRPr="005D5F71">
        <w:rPr>
          <w:i/>
        </w:rPr>
        <w:instrText>McAllister</w:instrText>
      </w:r>
      <w:proofErr w:type="spellEnd"/>
      <w:r w:rsidR="009F054F" w:rsidRPr="005D5F71">
        <w:rPr>
          <w:i/>
        </w:rPr>
        <w:instrText xml:space="preserve">, Charles </w:instrText>
      </w:r>
      <w:proofErr w:type="spellStart"/>
      <w:r w:rsidR="009F054F" w:rsidRPr="005D5F71">
        <w:rPr>
          <w:i/>
        </w:rPr>
        <w:instrText>Goerens</w:instrText>
      </w:r>
      <w:proofErr w:type="spellEnd"/>
      <w:r w:rsidRPr="005D5F71">
        <w:rPr>
          <w:i/>
        </w:rPr>
        <w:instrText xml:space="preserve">)"\l3 \n&gt; \* MERGEFORMAT </w:instrText>
      </w:r>
      <w:r w:rsidRPr="005D5F71">
        <w:rPr>
          <w:i/>
        </w:rPr>
        <w:fldChar w:fldCharType="end"/>
      </w:r>
    </w:p>
    <w:p w14:paraId="3730D4F9" w14:textId="77777777" w:rsidR="00B44A2F" w:rsidRPr="005D5F71" w:rsidRDefault="00B44A2F" w:rsidP="00B44A2F">
      <w:pPr>
        <w:rPr>
          <w:vanish/>
        </w:rPr>
      </w:pPr>
      <w:bookmarkStart w:id="3" w:name="Commission"/>
      <w:r w:rsidRPr="005D5F71">
        <w:rPr>
          <w:vanish/>
        </w:rPr>
        <w:t>Comissão dos Assuntos Externos, Comissão do Desenvolvimento</w:t>
      </w:r>
      <w:bookmarkEnd w:id="3"/>
    </w:p>
    <w:p w14:paraId="67671D66" w14:textId="77777777" w:rsidR="00B44A2F" w:rsidRPr="005D5F71" w:rsidRDefault="00B44A2F" w:rsidP="00B44A2F">
      <w:pPr>
        <w:rPr>
          <w:vanish/>
        </w:rPr>
      </w:pPr>
      <w:bookmarkStart w:id="4" w:name="PE"/>
      <w:r w:rsidRPr="005D5F71">
        <w:rPr>
          <w:vanish/>
        </w:rPr>
        <w:t>PE776.794</w:t>
      </w:r>
      <w:bookmarkEnd w:id="4"/>
    </w:p>
    <w:p w14:paraId="16B24C45" w14:textId="3E1ED115" w:rsidR="00B44A2F" w:rsidRPr="005D5F71" w:rsidRDefault="00B44A2F" w:rsidP="00B44A2F">
      <w:pPr>
        <w:pStyle w:val="ATHeading3"/>
      </w:pPr>
      <w:bookmarkStart w:id="5" w:name="Sujet"/>
      <w:r w:rsidRPr="005D5F71">
        <w:t xml:space="preserve">Resolução legislativa do Parlamento Europeu, de </w:t>
      </w:r>
      <w:r w:rsidR="00E607D1" w:rsidRPr="005D5F71">
        <w:t xml:space="preserve">10 </w:t>
      </w:r>
      <w:r w:rsidRPr="005D5F71">
        <w:t xml:space="preserve">de </w:t>
      </w:r>
      <w:r w:rsidR="00E607D1" w:rsidRPr="005D5F71">
        <w:t xml:space="preserve">março </w:t>
      </w:r>
      <w:r w:rsidRPr="005D5F71">
        <w:t>de 2026, sobre a proposta de regulamento do Parlamento Europeu e do Conselho que altera o Regulamento (UE) 2021/947 com vista a aumentar a eficiência da Garantia para a Ação Externa</w:t>
      </w:r>
      <w:bookmarkEnd w:id="5"/>
      <w:r w:rsidRPr="005D5F71">
        <w:t xml:space="preserve"> </w:t>
      </w:r>
      <w:bookmarkStart w:id="6" w:name="References"/>
      <w:r w:rsidRPr="005D5F71">
        <w:t>(COM(2025)0262 – C10-0107/2025 – 2025/0262(COD))</w:t>
      </w:r>
      <w:bookmarkEnd w:id="6"/>
    </w:p>
    <w:p w14:paraId="5124A87D" w14:textId="77777777" w:rsidR="00B44A2F" w:rsidRPr="005D5F71" w:rsidRDefault="00B44A2F" w:rsidP="00B44A2F"/>
    <w:p w14:paraId="56169EF5" w14:textId="77777777" w:rsidR="008D600C" w:rsidRPr="005D5F71" w:rsidRDefault="008D600C" w:rsidP="008D600C">
      <w:pPr>
        <w:pStyle w:val="NormalBold"/>
      </w:pPr>
      <w:bookmarkStart w:id="7" w:name="TextBodyBegin"/>
      <w:bookmarkEnd w:id="7"/>
      <w:r w:rsidRPr="005D5F71">
        <w:t>(Processo legislativo ordinário: primeira leitura)</w:t>
      </w:r>
    </w:p>
    <w:p w14:paraId="3CDCF113" w14:textId="77777777" w:rsidR="008D600C" w:rsidRPr="005D5F71" w:rsidRDefault="008D600C" w:rsidP="008D600C">
      <w:pPr>
        <w:pStyle w:val="EPComma"/>
      </w:pPr>
      <w:r w:rsidRPr="005D5F71">
        <w:rPr>
          <w:i/>
        </w:rPr>
        <w:t>O Parlamento Europeu</w:t>
      </w:r>
      <w:r w:rsidRPr="005D5F71">
        <w:t>,</w:t>
      </w:r>
    </w:p>
    <w:p w14:paraId="0319381A" w14:textId="1A2D2748" w:rsidR="008D600C" w:rsidRPr="005D5F71" w:rsidRDefault="008D600C" w:rsidP="008D600C">
      <w:pPr>
        <w:pStyle w:val="NormalHanging12a"/>
      </w:pPr>
      <w:r w:rsidRPr="005D5F71">
        <w:t>–</w:t>
      </w:r>
      <w:r w:rsidRPr="005D5F71">
        <w:tab/>
        <w:t>Tendo em conta a proposta da Comissão ao Parlamento e ao Conselho (COM(2025)0262),</w:t>
      </w:r>
    </w:p>
    <w:p w14:paraId="7989FAE2" w14:textId="15DF93DF" w:rsidR="008D600C" w:rsidRPr="005D5F71" w:rsidRDefault="008D600C" w:rsidP="008D600C">
      <w:pPr>
        <w:pStyle w:val="NormalHanging12a"/>
      </w:pPr>
      <w:bookmarkStart w:id="8" w:name="_Hlk213247400"/>
      <w:r w:rsidRPr="005D5F71">
        <w:t>–</w:t>
      </w:r>
      <w:r w:rsidRPr="005D5F71">
        <w:tab/>
        <w:t>Tendo em conta o artigo 294.º</w:t>
      </w:r>
      <w:r w:rsidR="007908AC" w:rsidRPr="005D5F71">
        <w:t>,</w:t>
      </w:r>
      <w:r w:rsidRPr="005D5F71">
        <w:t xml:space="preserve"> </w:t>
      </w:r>
      <w:r w:rsidR="007908AC" w:rsidRPr="005D5F71">
        <w:t xml:space="preserve">n.º 2, </w:t>
      </w:r>
      <w:r w:rsidRPr="005D5F71">
        <w:t>e os artigos 209.º e 212.º do Tratado sobre o Funcionamento da União Europeia, nos termos dos quais a proposta lhe foi apresentada pela Comissão (C10</w:t>
      </w:r>
      <w:r w:rsidRPr="005D5F71">
        <w:noBreakHyphen/>
        <w:t>0107/2025),</w:t>
      </w:r>
    </w:p>
    <w:p w14:paraId="3D6AAE35" w14:textId="77777777" w:rsidR="008D600C" w:rsidRPr="005D5F71" w:rsidRDefault="008D600C" w:rsidP="008D600C">
      <w:pPr>
        <w:pStyle w:val="NormalHanging12a"/>
      </w:pPr>
      <w:r w:rsidRPr="005D5F71">
        <w:t>–</w:t>
      </w:r>
      <w:r w:rsidRPr="005D5F71">
        <w:tab/>
        <w:t>Tendo em conta o artigo 294.º, n.º 3 do Tratado sobre o Funcionamento da União Europeia,</w:t>
      </w:r>
    </w:p>
    <w:p w14:paraId="183DEEA8" w14:textId="51675E04" w:rsidR="00D42588" w:rsidRPr="005D5F71" w:rsidRDefault="00D42588" w:rsidP="008D600C">
      <w:pPr>
        <w:pStyle w:val="NormalHanging12a"/>
      </w:pPr>
      <w:r w:rsidRPr="005D5F71">
        <w:t>–</w:t>
      </w:r>
      <w:r w:rsidRPr="005D5F71">
        <w:tab/>
        <w:t>Tendo em conta o acordo provisório aprovado pela</w:t>
      </w:r>
      <w:r w:rsidR="009F054F" w:rsidRPr="005D5F71">
        <w:t>s</w:t>
      </w:r>
      <w:r w:rsidRPr="005D5F71">
        <w:t xml:space="preserve"> </w:t>
      </w:r>
      <w:r w:rsidR="009F054F" w:rsidRPr="005D5F71">
        <w:t xml:space="preserve">comissões </w:t>
      </w:r>
      <w:r w:rsidRPr="005D5F71">
        <w:t>competente</w:t>
      </w:r>
      <w:r w:rsidR="009F054F" w:rsidRPr="005D5F71">
        <w:t>s</w:t>
      </w:r>
      <w:r w:rsidRPr="005D5F71">
        <w:t xml:space="preserve"> nos termos do artigo 75.º, n.º 4, do seu Regimento e o compromisso assumido pelo representante do Conselho, em carta de 4 de fevereiro de 2026, de aprovar a posição do Parlamento, nos termos do artigo 294.º, n.º 4, do Tratado sobre o Funcionamento da União Europeia,</w:t>
      </w:r>
    </w:p>
    <w:p w14:paraId="40AA0CA2" w14:textId="77777777" w:rsidR="008D600C" w:rsidRPr="005D5F71" w:rsidRDefault="008D600C" w:rsidP="008D600C">
      <w:pPr>
        <w:pStyle w:val="NormalHanging12a"/>
      </w:pPr>
      <w:r w:rsidRPr="005D5F71">
        <w:t>–</w:t>
      </w:r>
      <w:r w:rsidRPr="005D5F71">
        <w:tab/>
        <w:t>Tendo em conta o artigo 60.º do seu Regimento,</w:t>
      </w:r>
    </w:p>
    <w:p w14:paraId="25C60A10" w14:textId="4F6AC274" w:rsidR="009F054F" w:rsidRPr="005D5F71" w:rsidRDefault="009F054F" w:rsidP="008D600C">
      <w:pPr>
        <w:pStyle w:val="NormalHanging12a"/>
      </w:pPr>
      <w:r w:rsidRPr="005D5F71">
        <w:t>–</w:t>
      </w:r>
      <w:r w:rsidRPr="005D5F71">
        <w:tab/>
        <w:t>Tendo em conta as deliberações conjuntas da Comissão dos Assuntos Externos e da Comissão do Desenvolvimento, nos termos do artigo 59.º do Reg</w:t>
      </w:r>
      <w:r w:rsidR="00A866C0" w:rsidRPr="005D5F71">
        <w:t>i</w:t>
      </w:r>
      <w:r w:rsidRPr="005D5F71">
        <w:t>mento,</w:t>
      </w:r>
    </w:p>
    <w:bookmarkEnd w:id="8"/>
    <w:p w14:paraId="56B37379" w14:textId="77777777" w:rsidR="008D600C" w:rsidRPr="005D5F71" w:rsidRDefault="008D600C" w:rsidP="008D600C">
      <w:pPr>
        <w:pStyle w:val="NormalHanging12a"/>
      </w:pPr>
      <w:r w:rsidRPr="005D5F71">
        <w:t>–</w:t>
      </w:r>
      <w:r w:rsidRPr="005D5F71">
        <w:tab/>
        <w:t>Tendo em conta o relatório da Comissão dos Assuntos Externos e da Comissão do Desenvolvimento (A10</w:t>
      </w:r>
      <w:r w:rsidRPr="005D5F71">
        <w:noBreakHyphen/>
        <w:t>0221/2025),</w:t>
      </w:r>
    </w:p>
    <w:p w14:paraId="3D61D3E1" w14:textId="77777777" w:rsidR="008D600C" w:rsidRPr="005D5F71" w:rsidRDefault="008D600C" w:rsidP="008D600C">
      <w:pPr>
        <w:pStyle w:val="NormalHanging12a"/>
      </w:pPr>
      <w:r w:rsidRPr="005D5F71">
        <w:t>1.</w:t>
      </w:r>
      <w:r w:rsidRPr="005D5F71">
        <w:tab/>
        <w:t>Aprova a posição em primeira leitura que se segue;</w:t>
      </w:r>
    </w:p>
    <w:p w14:paraId="6D0A404B" w14:textId="77777777" w:rsidR="008D600C" w:rsidRPr="005D5F71" w:rsidRDefault="008D600C" w:rsidP="008D600C">
      <w:pPr>
        <w:pStyle w:val="NormalHanging12a"/>
      </w:pPr>
      <w:r w:rsidRPr="005D5F71">
        <w:lastRenderedPageBreak/>
        <w:t>2.</w:t>
      </w:r>
      <w:r w:rsidRPr="005D5F71">
        <w:tab/>
        <w:t>Requer à Comissão que lhe submeta de novo a sua proposta, se a substituir, se a alterar substancialmente ou se pretender alterá</w:t>
      </w:r>
      <w:r w:rsidRPr="005D5F71">
        <w:noBreakHyphen/>
        <w:t>la substancialmente;</w:t>
      </w:r>
    </w:p>
    <w:p w14:paraId="3D516A1E" w14:textId="3C8ED525" w:rsidR="008D600C" w:rsidRPr="005D5F71" w:rsidRDefault="008D600C" w:rsidP="008D600C">
      <w:pPr>
        <w:pStyle w:val="NormalHanging12a"/>
      </w:pPr>
      <w:r w:rsidRPr="005D5F71">
        <w:t>3.</w:t>
      </w:r>
      <w:r w:rsidRPr="005D5F71">
        <w:tab/>
        <w:t>Encarrega a sua Presidente de transmitir a posição do Parlamento ao Conselho</w:t>
      </w:r>
      <w:r w:rsidR="00F220C9" w:rsidRPr="005D5F71">
        <w:t>,</w:t>
      </w:r>
      <w:r w:rsidRPr="005D5F71">
        <w:t xml:space="preserve"> à Comissão </w:t>
      </w:r>
      <w:r w:rsidR="00F220C9" w:rsidRPr="005D5F71">
        <w:t>e</w:t>
      </w:r>
      <w:r w:rsidRPr="005D5F71">
        <w:t xml:space="preserve"> aos parlamentos nacionais.</w:t>
      </w:r>
    </w:p>
    <w:p w14:paraId="4536C732" w14:textId="77777777" w:rsidR="00E607D1" w:rsidRPr="005D5F71" w:rsidRDefault="00E607D1" w:rsidP="008D600C">
      <w:pPr>
        <w:sectPr w:rsidR="00E607D1" w:rsidRPr="005D5F71" w:rsidSect="000D08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A11A5DF" w14:textId="59F3B14C" w:rsidR="00A84090" w:rsidRPr="005D5F71" w:rsidRDefault="00A84090" w:rsidP="00A84090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5D5F71">
        <w:rPr>
          <w:rFonts w:eastAsia="Calibri"/>
          <w:b/>
          <w:szCs w:val="24"/>
          <w:lang w:eastAsia="en-US"/>
        </w:rPr>
        <w:lastRenderedPageBreak/>
        <w:t>P10_TC1-COD(2025)0262</w:t>
      </w:r>
    </w:p>
    <w:p w14:paraId="28814A77" w14:textId="15BD4EBF" w:rsidR="00495A90" w:rsidRDefault="00A84090" w:rsidP="00495A90">
      <w:pPr>
        <w:spacing w:after="240"/>
        <w:rPr>
          <w:rFonts w:eastAsia="Aptos"/>
          <w:b/>
          <w:color w:val="000000"/>
          <w:szCs w:val="24"/>
          <w:lang w:eastAsia="pt-PT" w:bidi="pt-PT"/>
        </w:rPr>
      </w:pPr>
      <w:r w:rsidRPr="005D5F71">
        <w:rPr>
          <w:b/>
          <w:szCs w:val="24"/>
        </w:rPr>
        <w:t xml:space="preserve">Posição do Parlamento Europeu aprovada em primeira leitura em 10 de março de 2026 tendo em vista a adoção do Regulamento (UE) 2026/... do Parlamento Europeu e do Conselho </w:t>
      </w:r>
      <w:r w:rsidR="00495A90" w:rsidRPr="005D5F71">
        <w:rPr>
          <w:rFonts w:eastAsia="Aptos"/>
          <w:b/>
          <w:color w:val="000000"/>
          <w:szCs w:val="24"/>
          <w:lang w:eastAsia="pt-PT" w:bidi="pt-PT"/>
        </w:rPr>
        <w:t>que altera o Regulamento (UE) 2021/947 com vista a aumentar a eficiência da Garantia para a Ação Externa</w:t>
      </w:r>
    </w:p>
    <w:p w14:paraId="4216D856" w14:textId="664F829D" w:rsidR="00762208" w:rsidRPr="00762208" w:rsidRDefault="00762208" w:rsidP="00495A90">
      <w:pPr>
        <w:spacing w:after="240"/>
        <w:rPr>
          <w:bCs/>
          <w:i/>
          <w:iCs/>
          <w:szCs w:val="24"/>
        </w:rPr>
      </w:pPr>
      <w:r w:rsidRPr="00762208">
        <w:rPr>
          <w:bCs/>
          <w:i/>
          <w:iCs/>
          <w:szCs w:val="24"/>
        </w:rPr>
        <w:t>(Uma vez que foi alcançado um acordo entre o Parlamento e o Conselho, a posição do Parlamento corresponde ao texto legislativo final, Regulamento (UE) 2026/995.)</w:t>
      </w:r>
    </w:p>
    <w:sectPr w:rsidR="00762208" w:rsidRPr="00762208" w:rsidSect="000D088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549" w14:textId="77777777" w:rsidR="00B44A2F" w:rsidRPr="000D088A" w:rsidRDefault="00B44A2F">
      <w:r w:rsidRPr="000D088A">
        <w:separator/>
      </w:r>
    </w:p>
  </w:endnote>
  <w:endnote w:type="continuationSeparator" w:id="0">
    <w:p w14:paraId="732719B9" w14:textId="77777777" w:rsidR="00B44A2F" w:rsidRPr="000D088A" w:rsidRDefault="00B44A2F">
      <w:r w:rsidRPr="000D08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5779" w14:textId="77777777" w:rsidR="00064002" w:rsidRPr="000D088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19D2" w14:textId="77777777" w:rsidR="00064002" w:rsidRPr="000D088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21F4" w14:textId="77777777" w:rsidR="00064002" w:rsidRPr="000D088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9A7DB" w14:textId="77777777" w:rsidR="00B44A2F" w:rsidRPr="000D088A" w:rsidRDefault="00B44A2F">
      <w:r w:rsidRPr="000D088A">
        <w:separator/>
      </w:r>
    </w:p>
  </w:footnote>
  <w:footnote w:type="continuationSeparator" w:id="0">
    <w:p w14:paraId="2D5826F4" w14:textId="77777777" w:rsidR="00B44A2F" w:rsidRPr="000D088A" w:rsidRDefault="00B44A2F">
      <w:r w:rsidRPr="000D08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873B" w14:textId="77777777" w:rsidR="00064002" w:rsidRPr="000D088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349E" w14:textId="77777777" w:rsidR="00064002" w:rsidRPr="000D088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5C3C" w14:textId="77777777" w:rsidR="00064002" w:rsidRPr="000D088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14302987">
    <w:abstractNumId w:val="9"/>
  </w:num>
  <w:num w:numId="2" w16cid:durableId="1259024159">
    <w:abstractNumId w:val="9"/>
  </w:num>
  <w:num w:numId="3" w16cid:durableId="504514862">
    <w:abstractNumId w:val="7"/>
  </w:num>
  <w:num w:numId="4" w16cid:durableId="1786995927">
    <w:abstractNumId w:val="7"/>
  </w:num>
  <w:num w:numId="5" w16cid:durableId="391857261">
    <w:abstractNumId w:val="6"/>
  </w:num>
  <w:num w:numId="6" w16cid:durableId="1701012047">
    <w:abstractNumId w:val="6"/>
  </w:num>
  <w:num w:numId="7" w16cid:durableId="1744598804">
    <w:abstractNumId w:val="5"/>
  </w:num>
  <w:num w:numId="8" w16cid:durableId="1006784851">
    <w:abstractNumId w:val="5"/>
  </w:num>
  <w:num w:numId="9" w16cid:durableId="1957902149">
    <w:abstractNumId w:val="4"/>
  </w:num>
  <w:num w:numId="10" w16cid:durableId="734856663">
    <w:abstractNumId w:val="4"/>
  </w:num>
  <w:num w:numId="11" w16cid:durableId="1992295099">
    <w:abstractNumId w:val="8"/>
  </w:num>
  <w:num w:numId="12" w16cid:durableId="2074350983">
    <w:abstractNumId w:val="8"/>
  </w:num>
  <w:num w:numId="13" w16cid:durableId="1736974042">
    <w:abstractNumId w:val="3"/>
  </w:num>
  <w:num w:numId="14" w16cid:durableId="1978145918">
    <w:abstractNumId w:val="3"/>
  </w:num>
  <w:num w:numId="15" w16cid:durableId="905729165">
    <w:abstractNumId w:val="2"/>
  </w:num>
  <w:num w:numId="16" w16cid:durableId="721369209">
    <w:abstractNumId w:val="2"/>
  </w:num>
  <w:num w:numId="17" w16cid:durableId="1934586938">
    <w:abstractNumId w:val="1"/>
  </w:num>
  <w:num w:numId="18" w16cid:durableId="704019464">
    <w:abstractNumId w:val="1"/>
  </w:num>
  <w:num w:numId="19" w16cid:durableId="1722169800">
    <w:abstractNumId w:val="0"/>
  </w:num>
  <w:num w:numId="20" w16cid:durableId="697198046">
    <w:abstractNumId w:val="0"/>
  </w:num>
  <w:num w:numId="21" w16cid:durableId="470707681">
    <w:abstractNumId w:val="9"/>
  </w:num>
  <w:num w:numId="22" w16cid:durableId="8071208">
    <w:abstractNumId w:val="7"/>
  </w:num>
  <w:num w:numId="23" w16cid:durableId="1548108162">
    <w:abstractNumId w:val="6"/>
  </w:num>
  <w:num w:numId="24" w16cid:durableId="1869944916">
    <w:abstractNumId w:val="5"/>
  </w:num>
  <w:num w:numId="25" w16cid:durableId="1488474272">
    <w:abstractNumId w:val="4"/>
  </w:num>
  <w:num w:numId="26" w16cid:durableId="1438254984">
    <w:abstractNumId w:val="8"/>
  </w:num>
  <w:num w:numId="27" w16cid:durableId="1229075340">
    <w:abstractNumId w:val="3"/>
  </w:num>
  <w:num w:numId="28" w16cid:durableId="406801691">
    <w:abstractNumId w:val="2"/>
  </w:num>
  <w:num w:numId="29" w16cid:durableId="350301776">
    <w:abstractNumId w:val="1"/>
  </w:num>
  <w:num w:numId="30" w16cid:durableId="1993291048">
    <w:abstractNumId w:val="0"/>
  </w:num>
  <w:num w:numId="31" w16cid:durableId="2090957103">
    <w:abstractNumId w:val="9"/>
  </w:num>
  <w:num w:numId="32" w16cid:durableId="902103114">
    <w:abstractNumId w:val="7"/>
  </w:num>
  <w:num w:numId="33" w16cid:durableId="1658878031">
    <w:abstractNumId w:val="6"/>
  </w:num>
  <w:num w:numId="34" w16cid:durableId="1147087894">
    <w:abstractNumId w:val="5"/>
  </w:num>
  <w:num w:numId="35" w16cid:durableId="505170525">
    <w:abstractNumId w:val="4"/>
  </w:num>
  <w:num w:numId="36" w16cid:durableId="1888376852">
    <w:abstractNumId w:val="8"/>
  </w:num>
  <w:num w:numId="37" w16cid:durableId="1700355528">
    <w:abstractNumId w:val="3"/>
  </w:num>
  <w:num w:numId="38" w16cid:durableId="539560126">
    <w:abstractNumId w:val="2"/>
  </w:num>
  <w:num w:numId="39" w16cid:durableId="1373001017">
    <w:abstractNumId w:val="1"/>
  </w:num>
  <w:num w:numId="40" w16cid:durableId="358357765">
    <w:abstractNumId w:val="0"/>
  </w:num>
  <w:num w:numId="41" w16cid:durableId="167402012">
    <w:abstractNumId w:val="10"/>
  </w:num>
  <w:num w:numId="42" w16cid:durableId="783157002">
    <w:abstractNumId w:val="10"/>
  </w:num>
  <w:num w:numId="43" w16cid:durableId="469632118">
    <w:abstractNumId w:val="10"/>
  </w:num>
  <w:num w:numId="44" w16cid:durableId="7661244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PT"/>
    <w:docVar w:name="dvnumam" w:val="17"/>
    <w:docVar w:name="dvpe" w:val="776.794"/>
    <w:docVar w:name="dvrapporteur" w:val="Relatores: "/>
    <w:docVar w:name="dvstar" w:val="***I"/>
    <w:docVar w:name="dvtitre" w:val="Resolução legislativa do Parlamento Europeu, de ... de ... de 2026,_x000d__x000a_ sobre a proposta de regulamento do Parlamento Europeu e do Conselho que altera o Regulamento (UE) 2021/947 com vista a aumentar a eficiência da Garantia para a Ação Externa(COM(2025)0262 – C10-0107/2025 – 2025/0262(COD))"/>
  </w:docVars>
  <w:rsids>
    <w:rsidRoot w:val="00B44A2F"/>
    <w:rsid w:val="00002272"/>
    <w:rsid w:val="00064002"/>
    <w:rsid w:val="000677B9"/>
    <w:rsid w:val="000831BA"/>
    <w:rsid w:val="000A42CC"/>
    <w:rsid w:val="000D088A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77D3D"/>
    <w:rsid w:val="00395FA1"/>
    <w:rsid w:val="003E15D4"/>
    <w:rsid w:val="00411CCE"/>
    <w:rsid w:val="0041666E"/>
    <w:rsid w:val="00421060"/>
    <w:rsid w:val="00471C19"/>
    <w:rsid w:val="004867E3"/>
    <w:rsid w:val="00494A28"/>
    <w:rsid w:val="00495A90"/>
    <w:rsid w:val="004C0004"/>
    <w:rsid w:val="004C5D52"/>
    <w:rsid w:val="004F568A"/>
    <w:rsid w:val="0050519A"/>
    <w:rsid w:val="005072A1"/>
    <w:rsid w:val="00514517"/>
    <w:rsid w:val="00545827"/>
    <w:rsid w:val="00560270"/>
    <w:rsid w:val="005C2568"/>
    <w:rsid w:val="005D5F71"/>
    <w:rsid w:val="005F1B17"/>
    <w:rsid w:val="006037C0"/>
    <w:rsid w:val="006631B6"/>
    <w:rsid w:val="0067279B"/>
    <w:rsid w:val="00680577"/>
    <w:rsid w:val="006F74FA"/>
    <w:rsid w:val="00731ADD"/>
    <w:rsid w:val="00734777"/>
    <w:rsid w:val="00747932"/>
    <w:rsid w:val="00751A4A"/>
    <w:rsid w:val="00756632"/>
    <w:rsid w:val="00762208"/>
    <w:rsid w:val="00762C74"/>
    <w:rsid w:val="00786EC0"/>
    <w:rsid w:val="007908AC"/>
    <w:rsid w:val="007D1690"/>
    <w:rsid w:val="007E22AD"/>
    <w:rsid w:val="00817416"/>
    <w:rsid w:val="00842779"/>
    <w:rsid w:val="00865F67"/>
    <w:rsid w:val="00876DBC"/>
    <w:rsid w:val="00881A7B"/>
    <w:rsid w:val="008840E5"/>
    <w:rsid w:val="00887B3E"/>
    <w:rsid w:val="008C2AC6"/>
    <w:rsid w:val="008D600C"/>
    <w:rsid w:val="00930C23"/>
    <w:rsid w:val="0093193B"/>
    <w:rsid w:val="0093427D"/>
    <w:rsid w:val="009509D8"/>
    <w:rsid w:val="00950B64"/>
    <w:rsid w:val="00981893"/>
    <w:rsid w:val="009F054F"/>
    <w:rsid w:val="00A1687D"/>
    <w:rsid w:val="00A43E52"/>
    <w:rsid w:val="00A4678D"/>
    <w:rsid w:val="00A778C7"/>
    <w:rsid w:val="00A84090"/>
    <w:rsid w:val="00A866C0"/>
    <w:rsid w:val="00AB441E"/>
    <w:rsid w:val="00AB6293"/>
    <w:rsid w:val="00AE0928"/>
    <w:rsid w:val="00AF3B82"/>
    <w:rsid w:val="00B12E95"/>
    <w:rsid w:val="00B22876"/>
    <w:rsid w:val="00B44A2F"/>
    <w:rsid w:val="00B558F0"/>
    <w:rsid w:val="00BD48FE"/>
    <w:rsid w:val="00BD7BD8"/>
    <w:rsid w:val="00BE6ADC"/>
    <w:rsid w:val="00BF4021"/>
    <w:rsid w:val="00C05BFE"/>
    <w:rsid w:val="00C23CD4"/>
    <w:rsid w:val="00C61C0C"/>
    <w:rsid w:val="00C941CB"/>
    <w:rsid w:val="00CC2357"/>
    <w:rsid w:val="00CF071A"/>
    <w:rsid w:val="00D058B8"/>
    <w:rsid w:val="00D42588"/>
    <w:rsid w:val="00D56C11"/>
    <w:rsid w:val="00D834A0"/>
    <w:rsid w:val="00D872DF"/>
    <w:rsid w:val="00D91E21"/>
    <w:rsid w:val="00DA089A"/>
    <w:rsid w:val="00DA7FCD"/>
    <w:rsid w:val="00DC1109"/>
    <w:rsid w:val="00E365E1"/>
    <w:rsid w:val="00E607D1"/>
    <w:rsid w:val="00E820A4"/>
    <w:rsid w:val="00E844F7"/>
    <w:rsid w:val="00EB006A"/>
    <w:rsid w:val="00EB4772"/>
    <w:rsid w:val="00ED169E"/>
    <w:rsid w:val="00ED4235"/>
    <w:rsid w:val="00EE40DA"/>
    <w:rsid w:val="00F04346"/>
    <w:rsid w:val="00F075DC"/>
    <w:rsid w:val="00F149E9"/>
    <w:rsid w:val="00F220C9"/>
    <w:rsid w:val="00F368EA"/>
    <w:rsid w:val="00F5134D"/>
    <w:rsid w:val="00F6240A"/>
    <w:rsid w:val="00F63A44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C3768"/>
  <w15:chartTrackingRefBased/>
  <w15:docId w15:val="{9F1BB893-BFCB-4815-B561-0F0679B1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8D600C"/>
    <w:rPr>
      <w:b/>
    </w:rPr>
  </w:style>
  <w:style w:type="paragraph" w:customStyle="1" w:styleId="NormalHanging12a">
    <w:name w:val="NormalHanging12a"/>
    <w:basedOn w:val="Normal"/>
    <w:rsid w:val="008D600C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8D600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8D600C"/>
    <w:pPr>
      <w:spacing w:before="480" w:after="240"/>
    </w:pPr>
  </w:style>
  <w:style w:type="paragraph" w:customStyle="1" w:styleId="Normal6">
    <w:name w:val="Normal6"/>
    <w:basedOn w:val="Normal"/>
    <w:link w:val="Normal6Char"/>
    <w:rsid w:val="008D600C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8D600C"/>
    <w:rPr>
      <w:b/>
      <w:sz w:val="24"/>
      <w:lang w:val="pt-PT"/>
    </w:rPr>
  </w:style>
  <w:style w:type="character" w:customStyle="1" w:styleId="Normal6Char">
    <w:name w:val="Normal6 Char"/>
    <w:basedOn w:val="DefaultParagraphFont"/>
    <w:link w:val="Normal6"/>
    <w:rsid w:val="008D600C"/>
    <w:rPr>
      <w:sz w:val="24"/>
      <w:lang w:val="pt-PT"/>
    </w:rPr>
  </w:style>
  <w:style w:type="paragraph" w:customStyle="1" w:styleId="ColumnHeading">
    <w:name w:val="ColumnHeading"/>
    <w:basedOn w:val="Normal"/>
    <w:rsid w:val="008D600C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E607D1"/>
    <w:rPr>
      <w:sz w:val="24"/>
      <w:lang w:val="pt-PT"/>
    </w:rPr>
  </w:style>
  <w:style w:type="character" w:styleId="CommentReference">
    <w:name w:val="annotation reference"/>
    <w:basedOn w:val="DefaultParagraphFont"/>
    <w:rsid w:val="00E607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7D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607D1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E60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07D1"/>
    <w:rPr>
      <w:b/>
      <w:bCs/>
      <w:lang w:val="pt-PT"/>
    </w:rPr>
  </w:style>
  <w:style w:type="character" w:styleId="Hyperlink">
    <w:name w:val="Hyperlink"/>
    <w:basedOn w:val="DefaultParagraphFont"/>
    <w:uiPriority w:val="99"/>
    <w:unhideWhenUsed/>
    <w:qFormat/>
    <w:rsid w:val="00E607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7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220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2026-05-22T08:49:00Z</dcterms:created>
  <dcterms:modified xsi:type="dcterms:W3CDTF">2026-05-22T08:49:00Z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