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5A16" w14:paraId="516AF5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1F0058" w14:textId="77777777" w:rsidR="00751A4A" w:rsidRPr="009C5A16" w:rsidRDefault="006674B0" w:rsidP="0010095E">
            <w:pPr>
              <w:pStyle w:val="EPName"/>
            </w:pPr>
            <w:r w:rsidRPr="009C5A16">
              <w:t>Parlamento Europeo</w:t>
            </w:r>
          </w:p>
          <w:p w14:paraId="685D10D9" w14:textId="77777777" w:rsidR="00751A4A" w:rsidRPr="009C5A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5A16">
              <w:t>2024</w:t>
            </w:r>
            <w:r w:rsidR="00817416" w:rsidRPr="009C5A16">
              <w:t>-202</w:t>
            </w:r>
            <w:r w:rsidRPr="009C5A16">
              <w:t>9</w:t>
            </w:r>
          </w:p>
        </w:tc>
        <w:tc>
          <w:tcPr>
            <w:tcW w:w="2268" w:type="dxa"/>
            <w:shd w:val="clear" w:color="auto" w:fill="auto"/>
          </w:tcPr>
          <w:p w14:paraId="555C4FB7" w14:textId="77777777" w:rsidR="00751A4A" w:rsidRPr="009C5A16" w:rsidRDefault="00187494" w:rsidP="0010095E">
            <w:pPr>
              <w:pStyle w:val="EPLogo"/>
            </w:pPr>
            <w:r w:rsidRPr="009C5A16">
              <w:rPr>
                <w:noProof/>
                <w:lang w:eastAsia="ja-JP"/>
              </w:rPr>
              <w:drawing>
                <wp:inline distT="0" distB="0" distL="0" distR="0" wp14:anchorId="79AD28DE" wp14:editId="0305BD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4A97B5" w14:textId="77777777" w:rsidR="00D058B8" w:rsidRPr="009C5A16" w:rsidRDefault="00D058B8" w:rsidP="004C5D52">
      <w:pPr>
        <w:pStyle w:val="LineTop"/>
      </w:pPr>
    </w:p>
    <w:p w14:paraId="3BAAAE61" w14:textId="77777777" w:rsidR="00680577" w:rsidRPr="009C5A16" w:rsidRDefault="006674B0" w:rsidP="00680577">
      <w:pPr>
        <w:pStyle w:val="EPBodyTA1"/>
      </w:pPr>
      <w:r w:rsidRPr="009C5A16">
        <w:t>TEXTOS APROBADOS</w:t>
      </w:r>
    </w:p>
    <w:p w14:paraId="1DF09ED9" w14:textId="77777777" w:rsidR="00D058B8" w:rsidRPr="009C5A16" w:rsidRDefault="00D058B8" w:rsidP="00D058B8">
      <w:pPr>
        <w:pStyle w:val="LineBottom"/>
      </w:pPr>
    </w:p>
    <w:p w14:paraId="330ABBFB" w14:textId="026C98D1" w:rsidR="006674B0" w:rsidRPr="00A16C3A" w:rsidRDefault="006674B0" w:rsidP="006674B0">
      <w:pPr>
        <w:pStyle w:val="ATHeading1"/>
      </w:pPr>
      <w:bookmarkStart w:id="0" w:name="TANumber"/>
      <w:r w:rsidRPr="00A16C3A">
        <w:t>P10_</w:t>
      </w:r>
      <w:proofErr w:type="gramStart"/>
      <w:r w:rsidRPr="00A16C3A">
        <w:t>TA(</w:t>
      </w:r>
      <w:proofErr w:type="gramEnd"/>
      <w:r w:rsidRPr="00A16C3A">
        <w:t>2026)00</w:t>
      </w:r>
      <w:r w:rsidR="009C5A16">
        <w:t>6</w:t>
      </w:r>
      <w:r w:rsidRPr="00A16C3A">
        <w:t>0</w:t>
      </w:r>
      <w:bookmarkEnd w:id="0"/>
    </w:p>
    <w:p w14:paraId="3DDA5B29" w14:textId="77777777" w:rsidR="006674B0" w:rsidRPr="00A16C3A" w:rsidRDefault="006674B0" w:rsidP="006674B0">
      <w:pPr>
        <w:pStyle w:val="ATHeading2"/>
      </w:pPr>
      <w:bookmarkStart w:id="1" w:name="title"/>
      <w:r w:rsidRPr="00A16C3A">
        <w:t>Nombramiento del vicepresidente del Banco Central Europeo</w:t>
      </w:r>
      <w:bookmarkEnd w:id="1"/>
    </w:p>
    <w:p w14:paraId="7CE7F89A" w14:textId="77777777" w:rsidR="006674B0" w:rsidRPr="009C5A16" w:rsidRDefault="006674B0" w:rsidP="006674B0">
      <w:pPr>
        <w:rPr>
          <w:i/>
          <w:vanish/>
        </w:rPr>
      </w:pPr>
      <w:r w:rsidRPr="009C5A16">
        <w:rPr>
          <w:i/>
        </w:rPr>
        <w:fldChar w:fldCharType="begin"/>
      </w:r>
      <w:r w:rsidRPr="009C5A16">
        <w:rPr>
          <w:i/>
        </w:rPr>
        <w:instrText xml:space="preserve"> TC"(</w:instrText>
      </w:r>
      <w:bookmarkStart w:id="2" w:name="DocNumber"/>
      <w:r w:rsidRPr="009C5A16">
        <w:rPr>
          <w:i/>
        </w:rPr>
        <w:instrText>A10-0038/2026</w:instrText>
      </w:r>
      <w:bookmarkEnd w:id="2"/>
      <w:r w:rsidRPr="009C5A16">
        <w:rPr>
          <w:i/>
        </w:rPr>
        <w:instrText xml:space="preserve"> - Ponente: </w:instrText>
      </w:r>
      <w:proofErr w:type="spellStart"/>
      <w:r w:rsidRPr="009C5A16">
        <w:rPr>
          <w:i/>
        </w:rPr>
        <w:instrText>Aurore</w:instrText>
      </w:r>
      <w:proofErr w:type="spellEnd"/>
      <w:r w:rsidRPr="009C5A16">
        <w:rPr>
          <w:i/>
        </w:rPr>
        <w:instrText xml:space="preserve"> </w:instrText>
      </w:r>
      <w:proofErr w:type="spellStart"/>
      <w:r w:rsidRPr="009C5A16">
        <w:rPr>
          <w:i/>
        </w:rPr>
        <w:instrText>Lalucq</w:instrText>
      </w:r>
      <w:proofErr w:type="spellEnd"/>
      <w:r w:rsidRPr="009C5A16">
        <w:rPr>
          <w:i/>
        </w:rPr>
        <w:instrText xml:space="preserve">)"\l3 \n&gt; \* MERGEFORMAT </w:instrText>
      </w:r>
      <w:r w:rsidRPr="009C5A16">
        <w:rPr>
          <w:i/>
        </w:rPr>
        <w:fldChar w:fldCharType="end"/>
      </w:r>
    </w:p>
    <w:p w14:paraId="6A391B70" w14:textId="77777777" w:rsidR="006674B0" w:rsidRPr="009C5A16" w:rsidRDefault="006674B0" w:rsidP="006674B0">
      <w:pPr>
        <w:rPr>
          <w:vanish/>
        </w:rPr>
      </w:pPr>
      <w:bookmarkStart w:id="3" w:name="Commission"/>
      <w:r w:rsidRPr="009C5A16">
        <w:rPr>
          <w:vanish/>
        </w:rPr>
        <w:t>Comisión de Asuntos Económicos y Monetarios</w:t>
      </w:r>
      <w:bookmarkEnd w:id="3"/>
    </w:p>
    <w:p w14:paraId="2BDE7C51" w14:textId="77777777" w:rsidR="006674B0" w:rsidRPr="009C5A16" w:rsidRDefault="006674B0" w:rsidP="006674B0">
      <w:pPr>
        <w:rPr>
          <w:vanish/>
        </w:rPr>
      </w:pPr>
      <w:bookmarkStart w:id="4" w:name="PE"/>
      <w:r w:rsidRPr="009C5A16">
        <w:rPr>
          <w:vanish/>
        </w:rPr>
        <w:t>PE784.232</w:t>
      </w:r>
      <w:bookmarkEnd w:id="4"/>
    </w:p>
    <w:p w14:paraId="11540718" w14:textId="7079710F" w:rsidR="006674B0" w:rsidRPr="00A16C3A" w:rsidRDefault="00BC2741" w:rsidP="006674B0">
      <w:pPr>
        <w:pStyle w:val="ATHeading3"/>
      </w:pPr>
      <w:bookmarkStart w:id="5" w:name="Sujet"/>
      <w:r w:rsidRPr="00A16C3A">
        <w:t>Decisión</w:t>
      </w:r>
      <w:r w:rsidR="006674B0" w:rsidRPr="00A16C3A">
        <w:t xml:space="preserve"> del Parlamento Europeo, de 10 de marzo de 2026, sobre la Recomendación del Consejo relativa al nombramiento del vicepresidente del Banco Central Europeo</w:t>
      </w:r>
      <w:bookmarkEnd w:id="5"/>
      <w:r w:rsidR="006674B0" w:rsidRPr="00A16C3A">
        <w:t xml:space="preserve"> </w:t>
      </w:r>
      <w:bookmarkStart w:id="6" w:name="References"/>
      <w:r w:rsidR="006674B0" w:rsidRPr="00A16C3A">
        <w:t>(N10-0003/2026 – C10-0018/2026 – 2026/0801(NLE))</w:t>
      </w:r>
      <w:bookmarkEnd w:id="6"/>
    </w:p>
    <w:p w14:paraId="5FA0EB20" w14:textId="77777777" w:rsidR="006674B0" w:rsidRPr="009C5A16" w:rsidRDefault="006674B0" w:rsidP="006674B0">
      <w:bookmarkStart w:id="7" w:name="TextBodyBegin"/>
      <w:bookmarkEnd w:id="7"/>
    </w:p>
    <w:p w14:paraId="45AE37F5" w14:textId="77777777" w:rsidR="006440C9" w:rsidRPr="009C5A16" w:rsidRDefault="006440C9" w:rsidP="006440C9">
      <w:pPr>
        <w:pStyle w:val="NormalBold"/>
        <w:widowControl/>
      </w:pPr>
      <w:r w:rsidRPr="009C5A16">
        <w:t>(Consulta)</w:t>
      </w:r>
    </w:p>
    <w:p w14:paraId="47A59270" w14:textId="77777777" w:rsidR="006440C9" w:rsidRPr="009C5A16" w:rsidRDefault="006440C9" w:rsidP="00A16C3A">
      <w:pPr>
        <w:pStyle w:val="EPComma"/>
        <w:widowControl/>
        <w:spacing w:before="360"/>
      </w:pPr>
      <w:r w:rsidRPr="009C5A16">
        <w:rPr>
          <w:i/>
        </w:rPr>
        <w:t>El Parlamento Europeo</w:t>
      </w:r>
      <w:r w:rsidRPr="009C5A16">
        <w:t>,</w:t>
      </w:r>
    </w:p>
    <w:p w14:paraId="35EFA3C3" w14:textId="77777777" w:rsidR="006440C9" w:rsidRPr="009C5A16" w:rsidRDefault="006440C9" w:rsidP="006440C9">
      <w:pPr>
        <w:pStyle w:val="NormalHanging12a"/>
        <w:widowControl/>
      </w:pPr>
      <w:r w:rsidRPr="009C5A16">
        <w:t>–</w:t>
      </w:r>
      <w:r w:rsidRPr="009C5A16">
        <w:tab/>
        <w:t>Vista la Recomendación del Consejo de 26 de enero de 2026 (N10-0003/2026)</w:t>
      </w:r>
      <w:r w:rsidRPr="009C5A16">
        <w:rPr>
          <w:rStyle w:val="FootnoteReference"/>
        </w:rPr>
        <w:footnoteReference w:id="1"/>
      </w:r>
      <w:r w:rsidRPr="009C5A16">
        <w:t>,</w:t>
      </w:r>
    </w:p>
    <w:p w14:paraId="456A37D9" w14:textId="77777777" w:rsidR="006440C9" w:rsidRPr="009C5A16" w:rsidRDefault="006440C9" w:rsidP="006440C9">
      <w:pPr>
        <w:pStyle w:val="NormalHanging12a"/>
        <w:widowControl/>
      </w:pPr>
      <w:r w:rsidRPr="009C5A16">
        <w:t>–</w:t>
      </w:r>
      <w:r w:rsidRPr="009C5A16">
        <w:tab/>
        <w:t>Visto el artículo 283, apartado 2, párrafo segundo, del Tratado de Funcionamiento de la Unión Europea, conforme al cual ha sido consultado por el Consejo Europeo (C10</w:t>
      </w:r>
      <w:r w:rsidRPr="009C5A16">
        <w:noBreakHyphen/>
        <w:t>0018/2026),</w:t>
      </w:r>
    </w:p>
    <w:p w14:paraId="16ED48AA" w14:textId="77777777" w:rsidR="006440C9" w:rsidRPr="009C5A16" w:rsidRDefault="006440C9" w:rsidP="006440C9">
      <w:pPr>
        <w:pStyle w:val="NormalHanging12a"/>
        <w:widowControl/>
      </w:pPr>
      <w:r w:rsidRPr="009C5A16">
        <w:t>–</w:t>
      </w:r>
      <w:r w:rsidRPr="009C5A16">
        <w:tab/>
        <w:t>Visto el artículo 134 de su Reglamento interno,</w:t>
      </w:r>
    </w:p>
    <w:p w14:paraId="28096A84" w14:textId="77777777" w:rsidR="006440C9" w:rsidRPr="009C5A16" w:rsidRDefault="006440C9" w:rsidP="006440C9">
      <w:pPr>
        <w:pStyle w:val="NormalHanging12a"/>
        <w:widowControl/>
      </w:pPr>
      <w:r w:rsidRPr="009C5A16">
        <w:t>–</w:t>
      </w:r>
      <w:r w:rsidRPr="009C5A16">
        <w:tab/>
        <w:t>Visto el informe de la Comisión de Asuntos Económicos y Monetarios (A10‑0038/2026),</w:t>
      </w:r>
    </w:p>
    <w:p w14:paraId="0C480BBE" w14:textId="77777777" w:rsidR="006440C9" w:rsidRPr="009C5A16" w:rsidRDefault="006440C9" w:rsidP="006440C9">
      <w:pPr>
        <w:pStyle w:val="NormalHanging12a"/>
        <w:widowControl/>
      </w:pPr>
      <w:r w:rsidRPr="009C5A16">
        <w:t>A.</w:t>
      </w:r>
      <w:r w:rsidRPr="009C5A16">
        <w:tab/>
        <w:t xml:space="preserve">Considerando que, mediante carta de 30 de enero de 2026, el Consejo Europeo consultó al Parlamento Europeo sobre el nombramiento de Boris </w:t>
      </w:r>
      <w:proofErr w:type="spellStart"/>
      <w:r w:rsidRPr="009C5A16">
        <w:t>Vujčić</w:t>
      </w:r>
      <w:proofErr w:type="spellEnd"/>
      <w:r w:rsidRPr="009C5A16">
        <w:t xml:space="preserve"> para el cargo de vicepresidente del Banco Central Europeo para un mandato de ocho años, contados a partir del 1 de junio de 2026;</w:t>
      </w:r>
    </w:p>
    <w:p w14:paraId="42F73DEF" w14:textId="7D66F7C8" w:rsidR="006440C9" w:rsidRPr="009C5A16" w:rsidRDefault="006440C9" w:rsidP="006440C9">
      <w:pPr>
        <w:pStyle w:val="NormalHanging12a"/>
        <w:widowControl/>
      </w:pPr>
      <w:r w:rsidRPr="009C5A16">
        <w:t>B.</w:t>
      </w:r>
      <w:r w:rsidRPr="009C5A16">
        <w:tab/>
        <w:t xml:space="preserve">Considerando que su Comisión de Asuntos Económicos y Monetarios evaluó las cualificaciones del candidato propuesto, en particular con respecto a las condiciones enunciadas en el artículo 283, apartado 2, del Tratado de Funcionamiento de la Unión Europea, así como con respecto al imperativo de independencia total del </w:t>
      </w:r>
      <w:r w:rsidR="0036557C" w:rsidRPr="009C5A16">
        <w:t>Banco Central Europeo</w:t>
      </w:r>
      <w:r w:rsidR="0036557C">
        <w:t xml:space="preserve"> </w:t>
      </w:r>
      <w:r w:rsidRPr="009C5A16">
        <w:t>que se deriva del artículo 130 de dicho Tratado; y considerando que, en el marco de dicha evaluación, la comisión recibió de parte del mencionado candidato su curriculum vitae y sus respuestas al cuestionario que se le había remitido por escrito;</w:t>
      </w:r>
    </w:p>
    <w:p w14:paraId="220FBF5C" w14:textId="73F7FA84" w:rsidR="006440C9" w:rsidRPr="009C5A16" w:rsidRDefault="006440C9" w:rsidP="006440C9">
      <w:pPr>
        <w:pStyle w:val="NormalHanging12a"/>
        <w:widowControl/>
      </w:pPr>
      <w:r w:rsidRPr="009C5A16">
        <w:lastRenderedPageBreak/>
        <w:t>C.</w:t>
      </w:r>
      <w:r w:rsidRPr="009C5A16">
        <w:tab/>
        <w:t xml:space="preserve">Considerando que, posteriormente, dicha comisión celebró, el 25 de febrero de 2026, una audiencia con el candidato, durante la cual este realizó una declaración </w:t>
      </w:r>
      <w:r w:rsidR="000E4556" w:rsidRPr="009C5A16">
        <w:t xml:space="preserve">preliminar </w:t>
      </w:r>
      <w:r w:rsidRPr="009C5A16">
        <w:t>y a continuación respondió a las preguntas formuladas por los miembros de la comisión;</w:t>
      </w:r>
    </w:p>
    <w:p w14:paraId="512CF57A" w14:textId="77777777" w:rsidR="006440C9" w:rsidRPr="009C5A16" w:rsidRDefault="006440C9" w:rsidP="006440C9">
      <w:pPr>
        <w:pStyle w:val="NormalHanging12a"/>
        <w:widowControl/>
      </w:pPr>
      <w:r w:rsidRPr="009C5A16">
        <w:t>1.</w:t>
      </w:r>
      <w:r w:rsidRPr="009C5A16">
        <w:tab/>
        <w:t xml:space="preserve">Emite dictamen favorable sobre la recomendación del Consejo de nombrar a Boris </w:t>
      </w:r>
      <w:proofErr w:type="spellStart"/>
      <w:r w:rsidRPr="009C5A16">
        <w:t>Vujčić</w:t>
      </w:r>
      <w:proofErr w:type="spellEnd"/>
      <w:r w:rsidRPr="009C5A16">
        <w:t xml:space="preserve"> vicepresidente del Banco Central Europeo;</w:t>
      </w:r>
    </w:p>
    <w:p w14:paraId="4775740C" w14:textId="6FB1E2F4" w:rsidR="00E365E1" w:rsidRPr="009C5A16" w:rsidRDefault="006440C9" w:rsidP="00A16C3A">
      <w:pPr>
        <w:pStyle w:val="NormalHanging12a"/>
        <w:widowControl/>
      </w:pPr>
      <w:r w:rsidRPr="009C5A16">
        <w:t>2.</w:t>
      </w:r>
      <w:r w:rsidRPr="009C5A16">
        <w:tab/>
        <w:t>Encarga a su presidenta que transmita la presente Decisión al Consejo Europeo, al Consejo y a los Gobiernos de los Estados miembros.</w:t>
      </w:r>
    </w:p>
    <w:sectPr w:rsidR="00E365E1" w:rsidRPr="009C5A16" w:rsidSect="00A16C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87B2E" w14:textId="77777777" w:rsidR="006674B0" w:rsidRPr="00E16D81" w:rsidRDefault="006674B0">
      <w:r w:rsidRPr="00E16D81">
        <w:separator/>
      </w:r>
    </w:p>
  </w:endnote>
  <w:endnote w:type="continuationSeparator" w:id="0">
    <w:p w14:paraId="0AFD53F9" w14:textId="77777777" w:rsidR="006674B0" w:rsidRPr="00E16D81" w:rsidRDefault="006674B0">
      <w:r w:rsidRPr="00E16D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A3E5" w14:textId="77777777" w:rsidR="00064002" w:rsidRPr="00E16D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0220" w14:textId="77777777" w:rsidR="00064002" w:rsidRPr="00E16D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D7FB8" w14:textId="77777777" w:rsidR="00064002" w:rsidRPr="00E16D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BD437" w14:textId="77777777" w:rsidR="006674B0" w:rsidRPr="00E16D81" w:rsidRDefault="006674B0">
      <w:r w:rsidRPr="00E16D81">
        <w:separator/>
      </w:r>
    </w:p>
  </w:footnote>
  <w:footnote w:type="continuationSeparator" w:id="0">
    <w:p w14:paraId="244F6BE7" w14:textId="77777777" w:rsidR="006674B0" w:rsidRPr="00E16D81" w:rsidRDefault="006674B0">
      <w:r w:rsidRPr="00E16D81">
        <w:continuationSeparator/>
      </w:r>
    </w:p>
  </w:footnote>
  <w:footnote w:id="1">
    <w:p w14:paraId="2190B575" w14:textId="1D6E56B1" w:rsidR="006440C9" w:rsidRPr="00E16D81" w:rsidRDefault="006440C9" w:rsidP="00E16D81">
      <w:pPr>
        <w:pStyle w:val="FootnoteText"/>
        <w:ind w:left="567" w:hanging="567"/>
        <w:rPr>
          <w:sz w:val="24"/>
          <w:lang w:val="es-ES_tradnl"/>
        </w:rPr>
      </w:pPr>
      <w:r w:rsidRPr="00E16D81">
        <w:rPr>
          <w:rStyle w:val="FootnoteReference"/>
          <w:sz w:val="24"/>
          <w:lang w:val="es-ES_tradnl"/>
        </w:rPr>
        <w:footnoteRef/>
      </w:r>
      <w:r w:rsidR="00E16D81" w:rsidRPr="00E16D81">
        <w:rPr>
          <w:sz w:val="24"/>
          <w:lang w:val="es-ES_tradnl"/>
        </w:rPr>
        <w:t xml:space="preserve"> </w:t>
      </w:r>
      <w:r w:rsidR="00E16D81" w:rsidRPr="00E16D81">
        <w:rPr>
          <w:sz w:val="24"/>
          <w:lang w:val="es-ES_tradnl"/>
        </w:rPr>
        <w:tab/>
      </w:r>
      <w:r w:rsidRPr="00E16D81">
        <w:rPr>
          <w:sz w:val="24"/>
          <w:lang w:val="es-ES_tradnl"/>
        </w:rPr>
        <w:t xml:space="preserve">DO </w:t>
      </w:r>
      <w:r w:rsidR="00A16C3A">
        <w:rPr>
          <w:sz w:val="24"/>
          <w:lang w:val="es-ES_tradnl"/>
        </w:rPr>
        <w:t xml:space="preserve">C, </w:t>
      </w:r>
      <w:r w:rsidRPr="00E16D81">
        <w:rPr>
          <w:sz w:val="24"/>
          <w:lang w:val="es-ES_tradnl"/>
        </w:rPr>
        <w:t>C/2026/707, 28.1.2026</w:t>
      </w:r>
      <w:r w:rsidRPr="00E16D81">
        <w:rPr>
          <w:i/>
          <w:sz w:val="24"/>
          <w:lang w:val="es-ES_tradnl"/>
        </w:rPr>
        <w:t>,</w:t>
      </w:r>
      <w:r w:rsidRPr="00E16D81">
        <w:rPr>
          <w:sz w:val="24"/>
          <w:lang w:val="es-ES_tradnl"/>
        </w:rPr>
        <w:t xml:space="preserve"> ELI: </w:t>
      </w:r>
      <w:hyperlink r:id="rId1" w:tgtFrame="_blank" w:tooltip="Permite acceder a este documento mediante su ELI URI." w:history="1">
        <w:r w:rsidRPr="00E16D81">
          <w:rPr>
            <w:rStyle w:val="Hyperlink"/>
            <w:sz w:val="24"/>
            <w:lang w:val="es-ES_tradnl"/>
          </w:rPr>
          <w:t>http://data.europa.eu</w:t>
        </w:r>
        <w:r w:rsidRPr="00E16D81">
          <w:rPr>
            <w:rStyle w:val="Hyperlink"/>
            <w:sz w:val="24"/>
            <w:lang w:val="es-ES_tradnl"/>
          </w:rPr>
          <w:t>/</w:t>
        </w:r>
        <w:r w:rsidRPr="00E16D81">
          <w:rPr>
            <w:rStyle w:val="Hyperlink"/>
            <w:sz w:val="24"/>
            <w:lang w:val="es-ES_tradnl"/>
          </w:rPr>
          <w:t>eli/C/2026/707/oj</w:t>
        </w:r>
      </w:hyperlink>
      <w:r w:rsidRPr="00E16D81">
        <w:rPr>
          <w:sz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47CDD" w14:textId="77777777" w:rsidR="00064002" w:rsidRPr="00E16D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3463B" w14:textId="77777777" w:rsidR="00064002" w:rsidRPr="00E16D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B5271" w14:textId="77777777" w:rsidR="00064002" w:rsidRPr="00E16D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7999814">
    <w:abstractNumId w:val="9"/>
  </w:num>
  <w:num w:numId="2" w16cid:durableId="831606975">
    <w:abstractNumId w:val="9"/>
  </w:num>
  <w:num w:numId="3" w16cid:durableId="1043099858">
    <w:abstractNumId w:val="7"/>
  </w:num>
  <w:num w:numId="4" w16cid:durableId="516188743">
    <w:abstractNumId w:val="7"/>
  </w:num>
  <w:num w:numId="5" w16cid:durableId="1009059810">
    <w:abstractNumId w:val="6"/>
  </w:num>
  <w:num w:numId="6" w16cid:durableId="295140670">
    <w:abstractNumId w:val="6"/>
  </w:num>
  <w:num w:numId="7" w16cid:durableId="1412267812">
    <w:abstractNumId w:val="5"/>
  </w:num>
  <w:num w:numId="8" w16cid:durableId="1270088811">
    <w:abstractNumId w:val="5"/>
  </w:num>
  <w:num w:numId="9" w16cid:durableId="252395964">
    <w:abstractNumId w:val="4"/>
  </w:num>
  <w:num w:numId="10" w16cid:durableId="1891770646">
    <w:abstractNumId w:val="4"/>
  </w:num>
  <w:num w:numId="11" w16cid:durableId="663583729">
    <w:abstractNumId w:val="8"/>
  </w:num>
  <w:num w:numId="12" w16cid:durableId="119879911">
    <w:abstractNumId w:val="8"/>
  </w:num>
  <w:num w:numId="13" w16cid:durableId="1221328922">
    <w:abstractNumId w:val="3"/>
  </w:num>
  <w:num w:numId="14" w16cid:durableId="1048459340">
    <w:abstractNumId w:val="3"/>
  </w:num>
  <w:num w:numId="15" w16cid:durableId="1707754514">
    <w:abstractNumId w:val="2"/>
  </w:num>
  <w:num w:numId="16" w16cid:durableId="539560151">
    <w:abstractNumId w:val="2"/>
  </w:num>
  <w:num w:numId="17" w16cid:durableId="1764915798">
    <w:abstractNumId w:val="1"/>
  </w:num>
  <w:num w:numId="18" w16cid:durableId="820345989">
    <w:abstractNumId w:val="1"/>
  </w:num>
  <w:num w:numId="19" w16cid:durableId="172381190">
    <w:abstractNumId w:val="0"/>
  </w:num>
  <w:num w:numId="20" w16cid:durableId="713237627">
    <w:abstractNumId w:val="0"/>
  </w:num>
  <w:num w:numId="21" w16cid:durableId="150755856">
    <w:abstractNumId w:val="9"/>
  </w:num>
  <w:num w:numId="22" w16cid:durableId="376860344">
    <w:abstractNumId w:val="7"/>
  </w:num>
  <w:num w:numId="23" w16cid:durableId="900481054">
    <w:abstractNumId w:val="6"/>
  </w:num>
  <w:num w:numId="24" w16cid:durableId="12927691">
    <w:abstractNumId w:val="5"/>
  </w:num>
  <w:num w:numId="25" w16cid:durableId="1689869157">
    <w:abstractNumId w:val="4"/>
  </w:num>
  <w:num w:numId="26" w16cid:durableId="276718724">
    <w:abstractNumId w:val="8"/>
  </w:num>
  <w:num w:numId="27" w16cid:durableId="1646809692">
    <w:abstractNumId w:val="3"/>
  </w:num>
  <w:num w:numId="28" w16cid:durableId="1496454354">
    <w:abstractNumId w:val="2"/>
  </w:num>
  <w:num w:numId="29" w16cid:durableId="2083479916">
    <w:abstractNumId w:val="1"/>
  </w:num>
  <w:num w:numId="30" w16cid:durableId="477958797">
    <w:abstractNumId w:val="0"/>
  </w:num>
  <w:num w:numId="31" w16cid:durableId="357317535">
    <w:abstractNumId w:val="9"/>
  </w:num>
  <w:num w:numId="32" w16cid:durableId="569510543">
    <w:abstractNumId w:val="7"/>
  </w:num>
  <w:num w:numId="33" w16cid:durableId="87891960">
    <w:abstractNumId w:val="6"/>
  </w:num>
  <w:num w:numId="34" w16cid:durableId="192308707">
    <w:abstractNumId w:val="5"/>
  </w:num>
  <w:num w:numId="35" w16cid:durableId="1149401678">
    <w:abstractNumId w:val="4"/>
  </w:num>
  <w:num w:numId="36" w16cid:durableId="104614928">
    <w:abstractNumId w:val="8"/>
  </w:num>
  <w:num w:numId="37" w16cid:durableId="5986307">
    <w:abstractNumId w:val="3"/>
  </w:num>
  <w:num w:numId="38" w16cid:durableId="1870991404">
    <w:abstractNumId w:val="2"/>
  </w:num>
  <w:num w:numId="39" w16cid:durableId="494687086">
    <w:abstractNumId w:val="1"/>
  </w:num>
  <w:num w:numId="40" w16cid:durableId="1693146350">
    <w:abstractNumId w:val="0"/>
  </w:num>
  <w:num w:numId="41" w16cid:durableId="1211068008">
    <w:abstractNumId w:val="10"/>
  </w:num>
  <w:num w:numId="42" w16cid:durableId="324094229">
    <w:abstractNumId w:val="10"/>
  </w:num>
  <w:num w:numId="43" w16cid:durableId="1121534855">
    <w:abstractNumId w:val="10"/>
  </w:num>
  <w:num w:numId="44" w16cid:durableId="15264854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ES"/>
    <w:docVar w:name="dvnumam" w:val="0"/>
    <w:docVar w:name="dvpe" w:val="784.232"/>
    <w:docVar w:name="dvrapporteur" w:val="Ponente: "/>
    <w:docVar w:name="dvtitre" w:val="Resolución legislativa del Parlamento Europeo, de 10 de marzo de 2026, sobre la Recomendación del Consejo relativa al nombramiento del vicepresidente del Banco Central Europeo(N10-0003/2026 – C10-0018/2026 – 2026/0801(NLE))"/>
  </w:docVars>
  <w:rsids>
    <w:rsidRoot w:val="006674B0"/>
    <w:rsid w:val="00002272"/>
    <w:rsid w:val="000409AF"/>
    <w:rsid w:val="00064002"/>
    <w:rsid w:val="000677B9"/>
    <w:rsid w:val="000831BA"/>
    <w:rsid w:val="000A42CC"/>
    <w:rsid w:val="000E455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57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63A"/>
    <w:rsid w:val="005E3F37"/>
    <w:rsid w:val="005F1B17"/>
    <w:rsid w:val="006037C0"/>
    <w:rsid w:val="006440C9"/>
    <w:rsid w:val="006631B6"/>
    <w:rsid w:val="006674B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0E9"/>
    <w:rsid w:val="00930C23"/>
    <w:rsid w:val="0093193B"/>
    <w:rsid w:val="009509D8"/>
    <w:rsid w:val="00950B64"/>
    <w:rsid w:val="00981893"/>
    <w:rsid w:val="009C5A16"/>
    <w:rsid w:val="00A1687D"/>
    <w:rsid w:val="00A16C3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332"/>
    <w:rsid w:val="00BC274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D8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64264"/>
  <w15:chartTrackingRefBased/>
  <w15:docId w15:val="{B1B58828-0069-410F-B4AE-41D4697F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440C9"/>
    <w:rPr>
      <w:b/>
      <w:kern w:val="28"/>
      <w:sz w:val="28"/>
      <w:lang w:val="fr-FR" w:eastAsia="fr-FR"/>
    </w:rPr>
  </w:style>
  <w:style w:type="paragraph" w:customStyle="1" w:styleId="EPFooter2">
    <w:name w:val="EPFooter2"/>
    <w:basedOn w:val="Normal"/>
    <w:next w:val="Normal"/>
    <w:rsid w:val="006440C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6440C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440C9"/>
    <w:rPr>
      <w:b/>
    </w:rPr>
  </w:style>
  <w:style w:type="paragraph" w:customStyle="1" w:styleId="NormalHanging12a">
    <w:name w:val="NormalHanging12a"/>
    <w:basedOn w:val="Normal"/>
    <w:rsid w:val="006440C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440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440C9"/>
    <w:rPr>
      <w:sz w:val="24"/>
      <w:lang w:val="es-ES_tradnl"/>
    </w:rPr>
  </w:style>
  <w:style w:type="character" w:styleId="Hyperlink">
    <w:name w:val="Hyperlink"/>
    <w:rsid w:val="006440C9"/>
    <w:rPr>
      <w:color w:val="0000FF"/>
      <w:u w:val="single"/>
    </w:rPr>
  </w:style>
  <w:style w:type="paragraph" w:customStyle="1" w:styleId="EPFooter">
    <w:name w:val="EPFooter"/>
    <w:basedOn w:val="Normal"/>
    <w:rsid w:val="006440C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440C9"/>
    <w:pPr>
      <w:spacing w:before="480" w:after="240"/>
    </w:pPr>
  </w:style>
  <w:style w:type="paragraph" w:styleId="BodyText">
    <w:name w:val="Body Text"/>
    <w:basedOn w:val="Normal"/>
    <w:link w:val="BodyTextChar"/>
    <w:uiPriority w:val="1"/>
    <w:qFormat/>
    <w:rsid w:val="006440C9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val="es-E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440C9"/>
    <w:rPr>
      <w:rFonts w:ascii="Palatino Linotype" w:eastAsia="Palatino Linotype" w:hAnsi="Palatino Linotype" w:cs="Palatino Linotype"/>
      <w:i/>
      <w:iCs/>
      <w:sz w:val="24"/>
      <w:szCs w:val="24"/>
      <w:lang w:val="es-ES" w:eastAsia="en-US"/>
    </w:rPr>
  </w:style>
  <w:style w:type="paragraph" w:styleId="ListParagraph">
    <w:name w:val="List Paragraph"/>
    <w:basedOn w:val="Normal"/>
    <w:uiPriority w:val="34"/>
    <w:qFormat/>
    <w:rsid w:val="006440C9"/>
    <w:pPr>
      <w:ind w:left="720"/>
      <w:contextualSpacing/>
    </w:pPr>
  </w:style>
  <w:style w:type="paragraph" w:styleId="Revision">
    <w:name w:val="Revision"/>
    <w:hidden/>
    <w:uiPriority w:val="99"/>
    <w:semiHidden/>
    <w:rsid w:val="000E4556"/>
    <w:rPr>
      <w:sz w:val="24"/>
      <w:lang w:val="es-ES_tradnl"/>
    </w:rPr>
  </w:style>
  <w:style w:type="character" w:styleId="CommentReference">
    <w:name w:val="annotation reference"/>
    <w:basedOn w:val="DefaultParagraphFont"/>
    <w:rsid w:val="000E45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45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4556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0E45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4556"/>
    <w:rPr>
      <w:b/>
      <w:bCs/>
      <w:lang w:val="es-ES_tradnl"/>
    </w:rPr>
  </w:style>
  <w:style w:type="character" w:styleId="FollowedHyperlink">
    <w:name w:val="FollowedHyperlink"/>
    <w:basedOn w:val="DefaultParagraphFont"/>
    <w:rsid w:val="00A16C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Fernan Rodriguez (EP)</cp:lastModifiedBy>
  <cp:revision>2</cp:revision>
  <cp:lastPrinted>2004-11-19T15:42:00Z</cp:lastPrinted>
  <dcterms:created xsi:type="dcterms:W3CDTF">2026-05-18T08:54:00Z</dcterms:created>
  <dcterms:modified xsi:type="dcterms:W3CDTF">2026-05-18T08:54:00Z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