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4FAE" w14:paraId="6EF76D4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81FDCE" w14:textId="77777777" w:rsidR="00751A4A" w:rsidRPr="00584FAE" w:rsidRDefault="00C17088" w:rsidP="0010095E">
            <w:pPr>
              <w:pStyle w:val="EPName"/>
            </w:pPr>
            <w:r w:rsidRPr="00584FAE">
              <w:t>Evropský parlament</w:t>
            </w:r>
          </w:p>
          <w:p w14:paraId="0DF2BF6D" w14:textId="77777777" w:rsidR="00751A4A" w:rsidRPr="00584FA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4FAE">
              <w:t>2024</w:t>
            </w:r>
            <w:r w:rsidR="00817416" w:rsidRPr="00584FAE">
              <w:t>-202</w:t>
            </w:r>
            <w:r w:rsidRPr="00584FAE">
              <w:t>9</w:t>
            </w:r>
          </w:p>
        </w:tc>
        <w:tc>
          <w:tcPr>
            <w:tcW w:w="2268" w:type="dxa"/>
            <w:shd w:val="clear" w:color="auto" w:fill="auto"/>
          </w:tcPr>
          <w:p w14:paraId="34A6682E" w14:textId="77777777" w:rsidR="00751A4A" w:rsidRPr="00584FAE" w:rsidRDefault="00187494" w:rsidP="0010095E">
            <w:pPr>
              <w:pStyle w:val="EPLogo"/>
            </w:pPr>
            <w:r w:rsidRPr="00584FAE">
              <w:rPr>
                <w:noProof/>
                <w:lang w:eastAsia="ja-JP"/>
              </w:rPr>
              <w:drawing>
                <wp:inline distT="0" distB="0" distL="0" distR="0" wp14:anchorId="344274C6" wp14:editId="748690E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28EC7B" w14:textId="77777777" w:rsidR="00D058B8" w:rsidRPr="00584FAE" w:rsidRDefault="00D058B8" w:rsidP="004C5D52">
      <w:pPr>
        <w:pStyle w:val="LineTop"/>
      </w:pPr>
    </w:p>
    <w:p w14:paraId="2E04E581" w14:textId="77777777" w:rsidR="00680577" w:rsidRPr="00584FAE" w:rsidRDefault="00C17088" w:rsidP="00680577">
      <w:pPr>
        <w:pStyle w:val="EPBodyTA1"/>
      </w:pPr>
      <w:r w:rsidRPr="00584FAE">
        <w:t>PŘIJATÉ TEXTY</w:t>
      </w:r>
    </w:p>
    <w:p w14:paraId="0CE54FE5" w14:textId="77777777" w:rsidR="00D058B8" w:rsidRPr="00584FAE" w:rsidRDefault="00D058B8" w:rsidP="00D058B8">
      <w:pPr>
        <w:pStyle w:val="LineBottom"/>
      </w:pPr>
    </w:p>
    <w:p w14:paraId="5436C959" w14:textId="4CAF7F98" w:rsidR="00C17088" w:rsidRPr="00584FAE" w:rsidRDefault="00C17088" w:rsidP="00C17088">
      <w:pPr>
        <w:pStyle w:val="ATHeading1"/>
      </w:pPr>
      <w:bookmarkStart w:id="0" w:name="TANumber"/>
      <w:r w:rsidRPr="00584FAE">
        <w:t>P10_TA(2026)00</w:t>
      </w:r>
      <w:r w:rsidR="00330B17">
        <w:t>61</w:t>
      </w:r>
      <w:bookmarkEnd w:id="0"/>
    </w:p>
    <w:p w14:paraId="54D74E45" w14:textId="77777777" w:rsidR="00C17088" w:rsidRPr="00584FAE" w:rsidRDefault="00C17088" w:rsidP="00C17088">
      <w:pPr>
        <w:pStyle w:val="ATHeading2"/>
      </w:pPr>
      <w:bookmarkStart w:id="1" w:name="title"/>
      <w:r w:rsidRPr="00584FAE">
        <w:t>Jmenování předsedy Evropského orgánu pro bankovnictví</w:t>
      </w:r>
      <w:bookmarkEnd w:id="1"/>
    </w:p>
    <w:p w14:paraId="62E29F55" w14:textId="77777777" w:rsidR="00C17088" w:rsidRPr="00584FAE" w:rsidRDefault="00C17088" w:rsidP="00C17088">
      <w:pPr>
        <w:rPr>
          <w:i/>
          <w:vanish/>
        </w:rPr>
      </w:pPr>
      <w:r w:rsidRPr="00584FAE">
        <w:rPr>
          <w:i/>
        </w:rPr>
        <w:fldChar w:fldCharType="begin"/>
      </w:r>
      <w:r w:rsidRPr="00584FAE">
        <w:rPr>
          <w:i/>
        </w:rPr>
        <w:instrText xml:space="preserve"> TC"(</w:instrText>
      </w:r>
      <w:bookmarkStart w:id="2" w:name="DocNumber"/>
      <w:r w:rsidRPr="00584FAE">
        <w:rPr>
          <w:i/>
        </w:rPr>
        <w:instrText>A10-0032/2026-0032/2026</w:instrText>
      </w:r>
      <w:bookmarkEnd w:id="2"/>
      <w:r w:rsidRPr="00584FAE">
        <w:rPr>
          <w:i/>
        </w:rPr>
        <w:instrText xml:space="preserve"> - Zpravodajka: </w:instrText>
      </w:r>
      <w:proofErr w:type="spellStart"/>
      <w:r w:rsidRPr="00584FAE">
        <w:rPr>
          <w:i/>
        </w:rPr>
        <w:instrText>Aurore</w:instrText>
      </w:r>
      <w:proofErr w:type="spellEnd"/>
      <w:r w:rsidRPr="00584FAE">
        <w:rPr>
          <w:i/>
        </w:rPr>
        <w:instrText xml:space="preserve"> </w:instrText>
      </w:r>
      <w:proofErr w:type="spellStart"/>
      <w:r w:rsidRPr="00584FAE">
        <w:rPr>
          <w:i/>
        </w:rPr>
        <w:instrText>Lalucq</w:instrText>
      </w:r>
      <w:proofErr w:type="spellEnd"/>
      <w:r w:rsidRPr="00584FAE">
        <w:rPr>
          <w:i/>
        </w:rPr>
        <w:instrText xml:space="preserve">)"\l3 \n&gt; \* MERGEFORMAT </w:instrText>
      </w:r>
      <w:r w:rsidRPr="00584FAE">
        <w:rPr>
          <w:i/>
        </w:rPr>
        <w:fldChar w:fldCharType="end"/>
      </w:r>
    </w:p>
    <w:p w14:paraId="2B0759CB" w14:textId="77777777" w:rsidR="00C17088" w:rsidRPr="00584FAE" w:rsidRDefault="00C17088" w:rsidP="00C17088">
      <w:pPr>
        <w:rPr>
          <w:vanish/>
        </w:rPr>
      </w:pPr>
      <w:bookmarkStart w:id="3" w:name="Commission"/>
      <w:r w:rsidRPr="00584FAE">
        <w:rPr>
          <w:vanish/>
        </w:rPr>
        <w:t>Hospodářský a měnový výbor</w:t>
      </w:r>
      <w:bookmarkEnd w:id="3"/>
    </w:p>
    <w:p w14:paraId="540C9963" w14:textId="77777777" w:rsidR="00C17088" w:rsidRPr="00584FAE" w:rsidRDefault="00C17088" w:rsidP="00C17088">
      <w:pPr>
        <w:rPr>
          <w:vanish/>
        </w:rPr>
      </w:pPr>
      <w:bookmarkStart w:id="4" w:name="PE"/>
      <w:r w:rsidRPr="00584FAE">
        <w:rPr>
          <w:vanish/>
        </w:rPr>
        <w:t>PE784.336</w:t>
      </w:r>
      <w:bookmarkEnd w:id="4"/>
    </w:p>
    <w:p w14:paraId="0265403D" w14:textId="77777777" w:rsidR="00C17088" w:rsidRPr="00584FAE" w:rsidRDefault="00C17088" w:rsidP="00C17088">
      <w:pPr>
        <w:pStyle w:val="ATHeading3"/>
      </w:pPr>
      <w:bookmarkStart w:id="5" w:name="Sujet"/>
      <w:r w:rsidRPr="00584FAE">
        <w:t>Rozhodnutí Evropského parlamentu ze dne 10. března 2026 o návrhu na jmenování předsedy Evropského orgánu pro bankovnictví</w:t>
      </w:r>
      <w:bookmarkEnd w:id="5"/>
      <w:r w:rsidRPr="00584FAE">
        <w:t xml:space="preserve"> </w:t>
      </w:r>
      <w:bookmarkStart w:id="6" w:name="References"/>
      <w:r w:rsidRPr="00584FAE">
        <w:t>(N10-0004/2026 – C10-0020/</w:t>
      </w:r>
      <w:proofErr w:type="gramStart"/>
      <w:r w:rsidRPr="00584FAE">
        <w:t>2026 – 2026</w:t>
      </w:r>
      <w:proofErr w:type="gramEnd"/>
      <w:r w:rsidRPr="00584FAE">
        <w:t>/0802(NLE))</w:t>
      </w:r>
      <w:bookmarkEnd w:id="6"/>
    </w:p>
    <w:p w14:paraId="77AD9719" w14:textId="77777777" w:rsidR="00D265BE" w:rsidRPr="00584FAE" w:rsidRDefault="00D265BE" w:rsidP="00D265BE">
      <w:pPr>
        <w:pStyle w:val="NormalBold"/>
      </w:pPr>
      <w:r w:rsidRPr="00584FAE">
        <w:t>(Souhlas)</w:t>
      </w:r>
    </w:p>
    <w:p w14:paraId="598A9B42" w14:textId="77777777" w:rsidR="00D265BE" w:rsidRPr="00584FAE" w:rsidRDefault="00D265BE" w:rsidP="00D265BE">
      <w:pPr>
        <w:pStyle w:val="EPComma"/>
      </w:pPr>
      <w:r w:rsidRPr="00584FAE">
        <w:rPr>
          <w:i/>
        </w:rPr>
        <w:t>Evropský parlament</w:t>
      </w:r>
      <w:r w:rsidRPr="00584FAE">
        <w:t>,</w:t>
      </w:r>
    </w:p>
    <w:p w14:paraId="35731283" w14:textId="77777777" w:rsidR="00D265BE" w:rsidRPr="00584FAE" w:rsidRDefault="00D265BE" w:rsidP="00584FAE">
      <w:pPr>
        <w:pStyle w:val="NormalHanging12a"/>
      </w:pPr>
      <w:r w:rsidRPr="00584FAE">
        <w:t>–</w:t>
      </w:r>
      <w:r w:rsidRPr="00584FAE">
        <w:tab/>
        <w:t>s ohledem na užší seznam způsobilých kandidátů na funkci předsedy Evropského orgánu pro bankovnictví, který vypracovala jeho rada orgánů dohledu,</w:t>
      </w:r>
    </w:p>
    <w:p w14:paraId="1A99F5C5" w14:textId="77777777" w:rsidR="00D265BE" w:rsidRPr="00584FAE" w:rsidRDefault="00D265BE" w:rsidP="00584FAE">
      <w:pPr>
        <w:pStyle w:val="NormalHanging12a"/>
      </w:pPr>
      <w:r w:rsidRPr="00584FAE">
        <w:t>–</w:t>
      </w:r>
      <w:r w:rsidRPr="00584FAE">
        <w:tab/>
        <w:t xml:space="preserve">s ohledem na dopis Rady ze dne 4. února 2026, v němž je na funkci předsedy Evropského orgánu pro bankovnictví navržen François-Louis </w:t>
      </w:r>
      <w:proofErr w:type="spellStart"/>
      <w:r w:rsidRPr="00584FAE">
        <w:t>Michaud</w:t>
      </w:r>
      <w:proofErr w:type="spellEnd"/>
      <w:r w:rsidRPr="00584FAE">
        <w:t xml:space="preserve"> (C10-0020/2026),</w:t>
      </w:r>
    </w:p>
    <w:p w14:paraId="1F7659AA" w14:textId="4F625827" w:rsidR="00D265BE" w:rsidRPr="00584FAE" w:rsidRDefault="00D265BE" w:rsidP="00584FAE">
      <w:pPr>
        <w:pStyle w:val="NormalHanging12a"/>
      </w:pPr>
      <w:r w:rsidRPr="00584FAE">
        <w:t>–</w:t>
      </w:r>
      <w:r w:rsidRPr="00584FAE">
        <w:tab/>
        <w:t>s ohledem na čl. 48 odst. 2 a 3 nařízení Evropského parlamentu a Rady (EU) č. 1093/2010 ze dne 24. listopadu 2010 o zřízení Evropského orgánu dohledu (Evropského orgánu pro bankovnictví), o změně rozhodnutí č. 716/2009/ES a o zrušení rozhodnutí Komise 2009/7</w:t>
      </w:r>
      <w:r w:rsidR="00645B2D">
        <w:t>8</w:t>
      </w:r>
      <w:r w:rsidRPr="00584FAE">
        <w:t>/ES</w:t>
      </w:r>
      <w:r w:rsidRPr="00584FAE">
        <w:rPr>
          <w:rStyle w:val="FootnoteReference"/>
        </w:rPr>
        <w:footnoteReference w:id="1"/>
      </w:r>
      <w:r w:rsidRPr="00584FAE">
        <w:t>,</w:t>
      </w:r>
    </w:p>
    <w:p w14:paraId="1A5A9318" w14:textId="77777777" w:rsidR="00D265BE" w:rsidRPr="00584FAE" w:rsidRDefault="00D265BE" w:rsidP="00584FAE">
      <w:pPr>
        <w:pStyle w:val="NormalHanging12a"/>
      </w:pPr>
      <w:r w:rsidRPr="00584FAE">
        <w:t>–</w:t>
      </w:r>
      <w:r w:rsidRPr="00584FAE">
        <w:tab/>
        <w:t>s ohledem na své usnesení ze dne 14. března 2019 o genderové vyváženosti při navrhování kandidátů v oblasti hospodářských a měnových záležitostí EU</w:t>
      </w:r>
      <w:r w:rsidRPr="00584FAE">
        <w:rPr>
          <w:vertAlign w:val="superscript"/>
        </w:rPr>
        <w:footnoteReference w:id="2"/>
      </w:r>
      <w:r w:rsidRPr="00584FAE">
        <w:t>,</w:t>
      </w:r>
    </w:p>
    <w:p w14:paraId="1FC9CC5F" w14:textId="77777777" w:rsidR="00D265BE" w:rsidRPr="00584FAE" w:rsidRDefault="00D265BE" w:rsidP="00584FAE">
      <w:pPr>
        <w:pStyle w:val="NormalHanging12a"/>
      </w:pPr>
      <w:r w:rsidRPr="00584FAE">
        <w:t>–</w:t>
      </w:r>
      <w:r w:rsidRPr="00584FAE">
        <w:tab/>
        <w:t>s ohledem na své usnesení ze dne 16. ledna 2020 o orgánech a institucích hospodářské a měnové unie: prevence střetu zájmů po ukončení pracovního poměru ve veřejném sektoru</w:t>
      </w:r>
      <w:r w:rsidRPr="00584FAE">
        <w:rPr>
          <w:vertAlign w:val="superscript"/>
        </w:rPr>
        <w:footnoteReference w:id="3"/>
      </w:r>
      <w:r w:rsidRPr="00584FAE">
        <w:t>,</w:t>
      </w:r>
    </w:p>
    <w:p w14:paraId="1BB22B63" w14:textId="77777777" w:rsidR="00D265BE" w:rsidRPr="00584FAE" w:rsidRDefault="00D265BE" w:rsidP="00584FAE">
      <w:pPr>
        <w:pStyle w:val="NormalHanging12a"/>
      </w:pPr>
      <w:r w:rsidRPr="00584FAE">
        <w:t>–</w:t>
      </w:r>
      <w:r w:rsidRPr="00584FAE">
        <w:tab/>
        <w:t>s ohledem na článek 135 jednacího řádu,</w:t>
      </w:r>
    </w:p>
    <w:p w14:paraId="1D372466" w14:textId="77777777" w:rsidR="00D265BE" w:rsidRPr="00584FAE" w:rsidRDefault="00D265BE" w:rsidP="00584FAE">
      <w:pPr>
        <w:pStyle w:val="NormalHanging12a"/>
      </w:pPr>
      <w:r w:rsidRPr="00584FAE">
        <w:lastRenderedPageBreak/>
        <w:t>–</w:t>
      </w:r>
      <w:r w:rsidRPr="00584FAE">
        <w:tab/>
        <w:t>s ohledem na zprávu Hospodářského a měnového výboru (A10</w:t>
      </w:r>
      <w:r w:rsidRPr="00584FAE">
        <w:noBreakHyphen/>
        <w:t>0032/2026),</w:t>
      </w:r>
    </w:p>
    <w:p w14:paraId="677C0FB4" w14:textId="77777777" w:rsidR="00D265BE" w:rsidRPr="00584FAE" w:rsidRDefault="00D265BE" w:rsidP="00584FAE">
      <w:pPr>
        <w:pStyle w:val="NormalHanging12a"/>
      </w:pPr>
      <w:r w:rsidRPr="00584FAE">
        <w:t>A.</w:t>
      </w:r>
      <w:r w:rsidRPr="00584FAE">
        <w:tab/>
        <w:t>vzhledem k tomu, že současný předseda Evropského orgánu pro bankovnictví odstoupil dne 31. ledna 2026;</w:t>
      </w:r>
    </w:p>
    <w:p w14:paraId="1D736481" w14:textId="77777777" w:rsidR="00D265BE" w:rsidRPr="00584FAE" w:rsidRDefault="00D265BE" w:rsidP="00584FAE">
      <w:pPr>
        <w:pStyle w:val="NormalHanging12a"/>
      </w:pPr>
      <w:r w:rsidRPr="00584FAE">
        <w:t>B.</w:t>
      </w:r>
      <w:r w:rsidRPr="00584FAE">
        <w:tab/>
        <w:t>vzhledem k tomu, že čl. 48 odst. 2 nařízení (EU) č. 1093/2010 stanoví, že předseda Evropského orgánu pro bankovnictví je vybírán na základě zásluh, dovedností, znalostí o finančních institucích a trzích a zkušeností s dohledem nad finančním trhem a jeho regulací v otevřeném výběrovém řízení, které respektuje zásadu genderové vyváženosti;</w:t>
      </w:r>
    </w:p>
    <w:p w14:paraId="6EE362DB" w14:textId="77777777" w:rsidR="00D265BE" w:rsidRPr="00584FAE" w:rsidRDefault="00D265BE" w:rsidP="00584FAE">
      <w:pPr>
        <w:pStyle w:val="NormalHanging12a"/>
      </w:pPr>
      <w:r w:rsidRPr="00584FAE">
        <w:t>C.</w:t>
      </w:r>
      <w:r w:rsidRPr="00584FAE">
        <w:tab/>
        <w:t xml:space="preserve">vzhledem k tomu, že dne 4. února 2026 Rada navrhla, aby byl François-Louis </w:t>
      </w:r>
      <w:proofErr w:type="spellStart"/>
      <w:r w:rsidRPr="00584FAE">
        <w:t>Michaud</w:t>
      </w:r>
      <w:proofErr w:type="spellEnd"/>
      <w:r w:rsidRPr="00584FAE">
        <w:t xml:space="preserve"> po potvrzení Parlamentem jmenován předsedou Evropského orgánu pro bankovnictví na pětileté funkční období v souladu s čl. 48 odst. 2 a 3 nařízení (EU) č. 1093/2010;</w:t>
      </w:r>
    </w:p>
    <w:p w14:paraId="24545C07" w14:textId="77777777" w:rsidR="00D265BE" w:rsidRPr="00584FAE" w:rsidRDefault="00D265BE" w:rsidP="00584FAE">
      <w:pPr>
        <w:pStyle w:val="NormalHanging12a"/>
      </w:pPr>
      <w:r w:rsidRPr="00584FAE">
        <w:t>D.</w:t>
      </w:r>
      <w:r w:rsidRPr="00584FAE">
        <w:tab/>
        <w:t xml:space="preserve">vzhledem k tomu, že dne 25. února 2026 uspořádal Hospodářský a měnový výbor slyšení s Françoisem-Louisem </w:t>
      </w:r>
      <w:proofErr w:type="spellStart"/>
      <w:r w:rsidRPr="00584FAE">
        <w:t>Michaudem</w:t>
      </w:r>
      <w:proofErr w:type="spellEnd"/>
      <w:r w:rsidRPr="00584FAE">
        <w:t>, během něhož kandidát přednesl úvodní prohlášení a poté odpovídal na otázky členů výboru;</w:t>
      </w:r>
    </w:p>
    <w:p w14:paraId="535B44BF" w14:textId="77777777" w:rsidR="00D265BE" w:rsidRPr="00584FAE" w:rsidRDefault="00D265BE" w:rsidP="00584FAE">
      <w:pPr>
        <w:pStyle w:val="NormalHanging12a"/>
      </w:pPr>
      <w:r w:rsidRPr="00584FAE">
        <w:t>1.</w:t>
      </w:r>
      <w:r w:rsidRPr="00584FAE">
        <w:tab/>
        <w:t xml:space="preserve">uděluje souhlas se jmenováním Françoise-Louise </w:t>
      </w:r>
      <w:proofErr w:type="spellStart"/>
      <w:r w:rsidRPr="00584FAE">
        <w:t>Michauda</w:t>
      </w:r>
      <w:proofErr w:type="spellEnd"/>
      <w:r w:rsidRPr="00584FAE">
        <w:t xml:space="preserve"> předsedou Evropského orgánu pro bankovnictví;</w:t>
      </w:r>
    </w:p>
    <w:p w14:paraId="14837E41" w14:textId="600261ED" w:rsidR="00E365E1" w:rsidRPr="00584FAE" w:rsidRDefault="00D265BE" w:rsidP="00584FAE">
      <w:pPr>
        <w:pStyle w:val="NormalHanging12a"/>
      </w:pPr>
      <w:r w:rsidRPr="00584FAE">
        <w:t>2.</w:t>
      </w:r>
      <w:r w:rsidRPr="00584FAE">
        <w:tab/>
        <w:t xml:space="preserve">pověřuje svou předsedkyni, aby předala toto rozhodnutí Radě, Komisi, Evropskému orgánu pro </w:t>
      </w:r>
      <w:proofErr w:type="gramStart"/>
      <w:r w:rsidRPr="00584FAE">
        <w:t>bankovnictví</w:t>
      </w:r>
      <w:proofErr w:type="gramEnd"/>
      <w:r w:rsidR="00310E74">
        <w:t xml:space="preserve"> a</w:t>
      </w:r>
      <w:r w:rsidRPr="00584FAE">
        <w:t xml:space="preserve"> i vládám členských států.</w:t>
      </w:r>
    </w:p>
    <w:sectPr w:rsidR="00E365E1" w:rsidRPr="00584FAE" w:rsidSect="001F33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B27F2" w14:textId="77777777" w:rsidR="00C17088" w:rsidRPr="001F33FF" w:rsidRDefault="00C17088">
      <w:r w:rsidRPr="001F33FF">
        <w:separator/>
      </w:r>
    </w:p>
  </w:endnote>
  <w:endnote w:type="continuationSeparator" w:id="0">
    <w:p w14:paraId="14263CC0" w14:textId="77777777" w:rsidR="00C17088" w:rsidRPr="001F33FF" w:rsidRDefault="00C17088">
      <w:r w:rsidRPr="001F33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873DA" w14:textId="77777777" w:rsidR="00064002" w:rsidRPr="001F33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F7F62" w14:textId="77777777" w:rsidR="00064002" w:rsidRPr="001F33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49005" w14:textId="77777777" w:rsidR="00064002" w:rsidRPr="001F33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FF600" w14:textId="77777777" w:rsidR="00C17088" w:rsidRPr="001F33FF" w:rsidRDefault="00C17088">
      <w:r w:rsidRPr="001F33FF">
        <w:separator/>
      </w:r>
    </w:p>
  </w:footnote>
  <w:footnote w:type="continuationSeparator" w:id="0">
    <w:p w14:paraId="47A8B0CE" w14:textId="77777777" w:rsidR="00C17088" w:rsidRPr="001F33FF" w:rsidRDefault="00C17088">
      <w:r w:rsidRPr="001F33FF">
        <w:continuationSeparator/>
      </w:r>
    </w:p>
  </w:footnote>
  <w:footnote w:id="1">
    <w:p w14:paraId="62F1C16B" w14:textId="1DD3C6FE" w:rsidR="00D265BE" w:rsidRPr="001F33FF" w:rsidRDefault="00D265BE" w:rsidP="001F33FF">
      <w:pPr>
        <w:pStyle w:val="FootnoteText"/>
        <w:ind w:left="567" w:hanging="567"/>
        <w:rPr>
          <w:sz w:val="24"/>
          <w:lang w:val="cs-CZ"/>
        </w:rPr>
      </w:pPr>
      <w:r w:rsidRPr="001F33FF">
        <w:rPr>
          <w:rStyle w:val="FootnoteReference"/>
          <w:sz w:val="24"/>
          <w:lang w:val="cs-CZ"/>
        </w:rPr>
        <w:footnoteRef/>
      </w:r>
      <w:r w:rsidR="001F33FF" w:rsidRPr="001F33FF">
        <w:rPr>
          <w:sz w:val="24"/>
          <w:lang w:val="cs-CZ"/>
        </w:rPr>
        <w:t xml:space="preserve"> </w:t>
      </w:r>
      <w:r w:rsidR="001F33FF" w:rsidRPr="001F33FF">
        <w:rPr>
          <w:sz w:val="24"/>
          <w:lang w:val="cs-CZ"/>
        </w:rPr>
        <w:tab/>
      </w:r>
      <w:proofErr w:type="spellStart"/>
      <w:r w:rsidRPr="001F33FF">
        <w:rPr>
          <w:sz w:val="24"/>
          <w:lang w:val="cs-CZ"/>
        </w:rPr>
        <w:t>Úř</w:t>
      </w:r>
      <w:proofErr w:type="spellEnd"/>
      <w:r w:rsidRPr="001F33FF">
        <w:rPr>
          <w:sz w:val="24"/>
          <w:lang w:val="cs-CZ"/>
        </w:rPr>
        <w:t xml:space="preserve">. </w:t>
      </w:r>
      <w:proofErr w:type="spellStart"/>
      <w:r w:rsidRPr="001F33FF">
        <w:rPr>
          <w:sz w:val="24"/>
          <w:lang w:val="cs-CZ"/>
        </w:rPr>
        <w:t>věst</w:t>
      </w:r>
      <w:proofErr w:type="spellEnd"/>
      <w:r w:rsidRPr="001F33FF">
        <w:rPr>
          <w:sz w:val="24"/>
          <w:lang w:val="cs-CZ"/>
        </w:rPr>
        <w:t xml:space="preserve">. </w:t>
      </w:r>
      <w:r w:rsidR="00300A37">
        <w:rPr>
          <w:sz w:val="24"/>
          <w:lang w:val="cs-CZ"/>
        </w:rPr>
        <w:t>L</w:t>
      </w:r>
      <w:r w:rsidRPr="001F33FF">
        <w:rPr>
          <w:sz w:val="24"/>
          <w:lang w:val="cs-CZ"/>
        </w:rPr>
        <w:t xml:space="preserve"> 331, 15.12.2010, s. 12, ELI: </w:t>
      </w:r>
      <w:hyperlink r:id="rId1" w:history="1">
        <w:r w:rsidRPr="001F33FF">
          <w:rPr>
            <w:rStyle w:val="Hyperlink"/>
            <w:sz w:val="24"/>
            <w:lang w:val="cs-CZ"/>
          </w:rPr>
          <w:t>http://data.europa.eu/eli/reg/2010/1093/oj</w:t>
        </w:r>
      </w:hyperlink>
      <w:r w:rsidRPr="001F33FF">
        <w:rPr>
          <w:sz w:val="24"/>
          <w:lang w:val="cs-CZ"/>
        </w:rPr>
        <w:t>.</w:t>
      </w:r>
    </w:p>
  </w:footnote>
  <w:footnote w:id="2">
    <w:p w14:paraId="6F960ACC" w14:textId="66E774DD" w:rsidR="00D265BE" w:rsidRPr="001F33FF" w:rsidRDefault="00D265BE" w:rsidP="001F33FF">
      <w:pPr>
        <w:pStyle w:val="FootnoteText"/>
        <w:ind w:left="567" w:hanging="567"/>
        <w:rPr>
          <w:sz w:val="24"/>
          <w:lang w:val="cs-CZ"/>
        </w:rPr>
      </w:pPr>
      <w:r w:rsidRPr="001F33FF">
        <w:rPr>
          <w:rStyle w:val="FootnoteReference"/>
          <w:sz w:val="24"/>
          <w:lang w:val="cs-CZ"/>
        </w:rPr>
        <w:footnoteRef/>
      </w:r>
      <w:r w:rsidR="001F33FF" w:rsidRPr="001F33FF">
        <w:rPr>
          <w:sz w:val="24"/>
          <w:lang w:val="cs-CZ"/>
        </w:rPr>
        <w:t xml:space="preserve"> </w:t>
      </w:r>
      <w:r w:rsidR="001F33FF" w:rsidRPr="001F33FF">
        <w:rPr>
          <w:sz w:val="24"/>
          <w:lang w:val="cs-CZ"/>
        </w:rPr>
        <w:tab/>
      </w:r>
      <w:proofErr w:type="spellStart"/>
      <w:r w:rsidRPr="001F33FF">
        <w:rPr>
          <w:sz w:val="24"/>
          <w:lang w:val="cs-CZ"/>
        </w:rPr>
        <w:t>Úř</w:t>
      </w:r>
      <w:proofErr w:type="spellEnd"/>
      <w:r w:rsidRPr="001F33FF">
        <w:rPr>
          <w:sz w:val="24"/>
          <w:lang w:val="cs-CZ"/>
        </w:rPr>
        <w:t xml:space="preserve">. </w:t>
      </w:r>
      <w:proofErr w:type="spellStart"/>
      <w:r w:rsidRPr="001F33FF">
        <w:rPr>
          <w:sz w:val="24"/>
          <w:lang w:val="cs-CZ"/>
        </w:rPr>
        <w:t>věst</w:t>
      </w:r>
      <w:proofErr w:type="spellEnd"/>
      <w:r w:rsidRPr="001F33FF">
        <w:rPr>
          <w:sz w:val="24"/>
          <w:lang w:val="cs-CZ"/>
        </w:rPr>
        <w:t>. C 23, 21.1.2021, s. 105.</w:t>
      </w:r>
    </w:p>
  </w:footnote>
  <w:footnote w:id="3">
    <w:p w14:paraId="6A2927A6" w14:textId="78D6ED37" w:rsidR="00D265BE" w:rsidRPr="001F33FF" w:rsidRDefault="00D265BE" w:rsidP="001F33FF">
      <w:pPr>
        <w:pStyle w:val="FootnoteText"/>
        <w:ind w:left="567" w:hanging="567"/>
        <w:rPr>
          <w:sz w:val="24"/>
          <w:lang w:val="cs-CZ"/>
        </w:rPr>
      </w:pPr>
      <w:r w:rsidRPr="001F33FF">
        <w:rPr>
          <w:rStyle w:val="FootnoteReference"/>
          <w:sz w:val="24"/>
          <w:lang w:val="cs-CZ"/>
        </w:rPr>
        <w:footnoteRef/>
      </w:r>
      <w:r w:rsidR="001F33FF" w:rsidRPr="001F33FF">
        <w:rPr>
          <w:sz w:val="24"/>
          <w:lang w:val="cs-CZ"/>
        </w:rPr>
        <w:t xml:space="preserve"> </w:t>
      </w:r>
      <w:r w:rsidR="001F33FF" w:rsidRPr="001F33FF">
        <w:rPr>
          <w:sz w:val="24"/>
          <w:lang w:val="cs-CZ"/>
        </w:rPr>
        <w:tab/>
      </w:r>
      <w:proofErr w:type="spellStart"/>
      <w:r w:rsidR="00F07B2C" w:rsidRPr="00F07B2C">
        <w:rPr>
          <w:sz w:val="24"/>
          <w:lang w:val="cs-CZ"/>
        </w:rPr>
        <w:t>Úř</w:t>
      </w:r>
      <w:proofErr w:type="spellEnd"/>
      <w:r w:rsidR="00F07B2C" w:rsidRPr="00F07B2C">
        <w:rPr>
          <w:sz w:val="24"/>
          <w:lang w:val="cs-CZ"/>
        </w:rPr>
        <w:t xml:space="preserve">. </w:t>
      </w:r>
      <w:proofErr w:type="spellStart"/>
      <w:r w:rsidR="00F07B2C" w:rsidRPr="00F07B2C">
        <w:rPr>
          <w:sz w:val="24"/>
          <w:lang w:val="cs-CZ"/>
        </w:rPr>
        <w:t>věst</w:t>
      </w:r>
      <w:proofErr w:type="spellEnd"/>
      <w:r w:rsidR="00F07B2C" w:rsidRPr="00F07B2C">
        <w:rPr>
          <w:sz w:val="24"/>
          <w:lang w:val="cs-CZ"/>
        </w:rPr>
        <w:t xml:space="preserve">. </w:t>
      </w:r>
      <w:r w:rsidR="00F07B2C" w:rsidRPr="00722BC3">
        <w:rPr>
          <w:sz w:val="24"/>
          <w:lang w:val="cs-CZ"/>
        </w:rPr>
        <w:t xml:space="preserve">C 270, 7.7.2021, </w:t>
      </w:r>
      <w:r w:rsidR="00F07B2C">
        <w:rPr>
          <w:sz w:val="24"/>
          <w:lang w:val="cs-CZ"/>
        </w:rPr>
        <w:t>s</w:t>
      </w:r>
      <w:r w:rsidR="00F07B2C" w:rsidRPr="00722BC3">
        <w:rPr>
          <w:sz w:val="24"/>
          <w:lang w:val="cs-CZ"/>
        </w:rPr>
        <w:t>. 113</w:t>
      </w:r>
      <w:r w:rsidRPr="00F07B2C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F4931" w14:textId="77777777" w:rsidR="00064002" w:rsidRPr="001F33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DF897" w14:textId="77777777" w:rsidR="00064002" w:rsidRPr="001F33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E8974" w14:textId="77777777" w:rsidR="00064002" w:rsidRPr="001F33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95038558">
    <w:abstractNumId w:val="9"/>
  </w:num>
  <w:num w:numId="2" w16cid:durableId="1242251812">
    <w:abstractNumId w:val="9"/>
  </w:num>
  <w:num w:numId="3" w16cid:durableId="1529875202">
    <w:abstractNumId w:val="7"/>
  </w:num>
  <w:num w:numId="4" w16cid:durableId="1746493240">
    <w:abstractNumId w:val="7"/>
  </w:num>
  <w:num w:numId="5" w16cid:durableId="1111360702">
    <w:abstractNumId w:val="6"/>
  </w:num>
  <w:num w:numId="6" w16cid:durableId="1495217707">
    <w:abstractNumId w:val="6"/>
  </w:num>
  <w:num w:numId="7" w16cid:durableId="1694649601">
    <w:abstractNumId w:val="5"/>
  </w:num>
  <w:num w:numId="8" w16cid:durableId="1985117862">
    <w:abstractNumId w:val="5"/>
  </w:num>
  <w:num w:numId="9" w16cid:durableId="2084257444">
    <w:abstractNumId w:val="4"/>
  </w:num>
  <w:num w:numId="10" w16cid:durableId="1920794935">
    <w:abstractNumId w:val="4"/>
  </w:num>
  <w:num w:numId="11" w16cid:durableId="1967353393">
    <w:abstractNumId w:val="8"/>
  </w:num>
  <w:num w:numId="12" w16cid:durableId="49773189">
    <w:abstractNumId w:val="8"/>
  </w:num>
  <w:num w:numId="13" w16cid:durableId="1251885811">
    <w:abstractNumId w:val="3"/>
  </w:num>
  <w:num w:numId="14" w16cid:durableId="887645049">
    <w:abstractNumId w:val="3"/>
  </w:num>
  <w:num w:numId="15" w16cid:durableId="2017147953">
    <w:abstractNumId w:val="2"/>
  </w:num>
  <w:num w:numId="16" w16cid:durableId="285505961">
    <w:abstractNumId w:val="2"/>
  </w:num>
  <w:num w:numId="17" w16cid:durableId="1771506420">
    <w:abstractNumId w:val="1"/>
  </w:num>
  <w:num w:numId="18" w16cid:durableId="339163720">
    <w:abstractNumId w:val="1"/>
  </w:num>
  <w:num w:numId="19" w16cid:durableId="40325911">
    <w:abstractNumId w:val="0"/>
  </w:num>
  <w:num w:numId="20" w16cid:durableId="1539735349">
    <w:abstractNumId w:val="0"/>
  </w:num>
  <w:num w:numId="21" w16cid:durableId="1130056601">
    <w:abstractNumId w:val="9"/>
  </w:num>
  <w:num w:numId="22" w16cid:durableId="1244024930">
    <w:abstractNumId w:val="7"/>
  </w:num>
  <w:num w:numId="23" w16cid:durableId="212011057">
    <w:abstractNumId w:val="6"/>
  </w:num>
  <w:num w:numId="24" w16cid:durableId="1687099482">
    <w:abstractNumId w:val="5"/>
  </w:num>
  <w:num w:numId="25" w16cid:durableId="1380009455">
    <w:abstractNumId w:val="4"/>
  </w:num>
  <w:num w:numId="26" w16cid:durableId="1662585188">
    <w:abstractNumId w:val="8"/>
  </w:num>
  <w:num w:numId="27" w16cid:durableId="185565110">
    <w:abstractNumId w:val="3"/>
  </w:num>
  <w:num w:numId="28" w16cid:durableId="1273169870">
    <w:abstractNumId w:val="2"/>
  </w:num>
  <w:num w:numId="29" w16cid:durableId="636179516">
    <w:abstractNumId w:val="1"/>
  </w:num>
  <w:num w:numId="30" w16cid:durableId="919480399">
    <w:abstractNumId w:val="0"/>
  </w:num>
  <w:num w:numId="31" w16cid:durableId="346685971">
    <w:abstractNumId w:val="9"/>
  </w:num>
  <w:num w:numId="32" w16cid:durableId="1650284905">
    <w:abstractNumId w:val="7"/>
  </w:num>
  <w:num w:numId="33" w16cid:durableId="218977280">
    <w:abstractNumId w:val="6"/>
  </w:num>
  <w:num w:numId="34" w16cid:durableId="1128011904">
    <w:abstractNumId w:val="5"/>
  </w:num>
  <w:num w:numId="35" w16cid:durableId="1417899423">
    <w:abstractNumId w:val="4"/>
  </w:num>
  <w:num w:numId="36" w16cid:durableId="1993949186">
    <w:abstractNumId w:val="8"/>
  </w:num>
  <w:num w:numId="37" w16cid:durableId="73203807">
    <w:abstractNumId w:val="3"/>
  </w:num>
  <w:num w:numId="38" w16cid:durableId="1473255618">
    <w:abstractNumId w:val="2"/>
  </w:num>
  <w:num w:numId="39" w16cid:durableId="1637906103">
    <w:abstractNumId w:val="1"/>
  </w:num>
  <w:num w:numId="40" w16cid:durableId="555511019">
    <w:abstractNumId w:val="0"/>
  </w:num>
  <w:num w:numId="41" w16cid:durableId="348147276">
    <w:abstractNumId w:val="10"/>
  </w:num>
  <w:num w:numId="42" w16cid:durableId="722875733">
    <w:abstractNumId w:val="10"/>
  </w:num>
  <w:num w:numId="43" w16cid:durableId="2043550603">
    <w:abstractNumId w:val="10"/>
  </w:num>
  <w:num w:numId="44" w16cid:durableId="3590936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2/2026-0032/2026"/>
    <w:docVar w:name="dvlangue" w:val="CS"/>
    <w:docVar w:name="dvnumam" w:val="0"/>
    <w:docVar w:name="dvpe" w:val="784.336"/>
    <w:docVar w:name="dvrapporteur" w:val="Zpravodajka: "/>
    <w:docVar w:name="dvtitre" w:val="Rozhodnutí Evropského parlamentu ze dne 10. března 2026 o návrhu na jmenování předsedy Evropského orgánu pro bankovnictví(N10-0004/2026 – C10-0020/2026 – 2026/0802(NLE))"/>
  </w:docVars>
  <w:rsids>
    <w:rsidRoot w:val="00C1708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33FF"/>
    <w:rsid w:val="002767FF"/>
    <w:rsid w:val="002B18FE"/>
    <w:rsid w:val="002B5493"/>
    <w:rsid w:val="00300A37"/>
    <w:rsid w:val="00310E74"/>
    <w:rsid w:val="00330B17"/>
    <w:rsid w:val="00343214"/>
    <w:rsid w:val="00361C00"/>
    <w:rsid w:val="00395FA1"/>
    <w:rsid w:val="003E15D4"/>
    <w:rsid w:val="003E704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4FAE"/>
    <w:rsid w:val="005C2568"/>
    <w:rsid w:val="005F1B17"/>
    <w:rsid w:val="006037C0"/>
    <w:rsid w:val="00645B2D"/>
    <w:rsid w:val="006631B6"/>
    <w:rsid w:val="00680577"/>
    <w:rsid w:val="006F74FA"/>
    <w:rsid w:val="00722BC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7088"/>
    <w:rsid w:val="00C23CD4"/>
    <w:rsid w:val="00C61C0C"/>
    <w:rsid w:val="00C941CB"/>
    <w:rsid w:val="00C97F67"/>
    <w:rsid w:val="00CC13B3"/>
    <w:rsid w:val="00CC2357"/>
    <w:rsid w:val="00CF071A"/>
    <w:rsid w:val="00D058B8"/>
    <w:rsid w:val="00D265BE"/>
    <w:rsid w:val="00D56C11"/>
    <w:rsid w:val="00D834A0"/>
    <w:rsid w:val="00D872DF"/>
    <w:rsid w:val="00D91E21"/>
    <w:rsid w:val="00DA2BC3"/>
    <w:rsid w:val="00DA7FCD"/>
    <w:rsid w:val="00DC03AC"/>
    <w:rsid w:val="00E365E1"/>
    <w:rsid w:val="00E60A45"/>
    <w:rsid w:val="00E820A4"/>
    <w:rsid w:val="00EB006A"/>
    <w:rsid w:val="00EB4772"/>
    <w:rsid w:val="00ED169E"/>
    <w:rsid w:val="00ED4235"/>
    <w:rsid w:val="00F04346"/>
    <w:rsid w:val="00F075DC"/>
    <w:rsid w:val="00F07B2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5826BD"/>
  <w15:chartTrackingRefBased/>
  <w15:docId w15:val="{D4B12EF5-8379-4299-B483-2B54BBD2E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265BE"/>
    <w:pPr>
      <w:spacing w:before="480" w:after="240"/>
    </w:pPr>
  </w:style>
  <w:style w:type="paragraph" w:customStyle="1" w:styleId="NormalBold">
    <w:name w:val="NormalBold"/>
    <w:basedOn w:val="Normal"/>
    <w:rsid w:val="00D265BE"/>
    <w:rPr>
      <w:b/>
    </w:rPr>
  </w:style>
  <w:style w:type="paragraph" w:customStyle="1" w:styleId="NormalHanging12a">
    <w:name w:val="NormalHanging12a"/>
    <w:basedOn w:val="Normal"/>
    <w:rsid w:val="00D265BE"/>
    <w:pPr>
      <w:spacing w:after="240"/>
      <w:ind w:left="567" w:hanging="567"/>
    </w:pPr>
  </w:style>
  <w:style w:type="character" w:styleId="Hyperlink">
    <w:name w:val="Hyperlink"/>
    <w:uiPriority w:val="99"/>
    <w:rsid w:val="00D265BE"/>
    <w:rPr>
      <w:color w:val="0000FF"/>
      <w:u w:val="single"/>
    </w:rPr>
  </w:style>
  <w:style w:type="paragraph" w:styleId="Revision">
    <w:name w:val="Revision"/>
    <w:hidden/>
    <w:uiPriority w:val="99"/>
    <w:semiHidden/>
    <w:rsid w:val="00645B2D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2245</Characters>
  <Application>Microsoft Office Word</Application>
  <DocSecurity>0</DocSecurity>
  <Lines>93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2026-05-13T14:27:00Z</dcterms:created>
  <dcterms:modified xsi:type="dcterms:W3CDTF">2026-05-13T14:27:00Z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P10_TA(2026)0061_</vt:lpwstr>
  </property>
  <property fmtid="{D5CDD505-2E9C-101B-9397-08002B2CF9AE}" pid="4" name="&lt;Type&gt;">
    <vt:lpwstr>RR</vt:lpwstr>
  </property>
</Properties>
</file>