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5C8D" w14:paraId="15285FC1" w14:textId="77777777" w:rsidTr="0010095E">
        <w:trPr>
          <w:trHeight w:hRule="exact" w:val="1418"/>
        </w:trPr>
        <w:tc>
          <w:tcPr>
            <w:tcW w:w="6804" w:type="dxa"/>
            <w:shd w:val="clear" w:color="auto" w:fill="auto"/>
            <w:vAlign w:val="center"/>
          </w:tcPr>
          <w:p w14:paraId="70B5393D" w14:textId="27A791A9" w:rsidR="00751A4A" w:rsidRPr="00655C8D" w:rsidRDefault="00BF61D8" w:rsidP="0010095E">
            <w:pPr>
              <w:pStyle w:val="EPName"/>
            </w:pPr>
            <w:r w:rsidRPr="00655C8D">
              <w:t>Europäisches Parlament</w:t>
            </w:r>
          </w:p>
          <w:p w14:paraId="7361CCFF" w14:textId="77777777" w:rsidR="00751A4A" w:rsidRPr="00655C8D" w:rsidRDefault="005F1B17" w:rsidP="005F1B17">
            <w:pPr>
              <w:pStyle w:val="EPTerm"/>
              <w:rPr>
                <w:rStyle w:val="HideTWBExt"/>
                <w:noProof w:val="0"/>
                <w:vanish w:val="0"/>
                <w:color w:val="auto"/>
              </w:rPr>
            </w:pPr>
            <w:r w:rsidRPr="00655C8D">
              <w:t>2024</w:t>
            </w:r>
            <w:r w:rsidR="00817416" w:rsidRPr="00655C8D">
              <w:t>-202</w:t>
            </w:r>
            <w:r w:rsidRPr="00655C8D">
              <w:t>9</w:t>
            </w:r>
          </w:p>
        </w:tc>
        <w:tc>
          <w:tcPr>
            <w:tcW w:w="2268" w:type="dxa"/>
            <w:shd w:val="clear" w:color="auto" w:fill="auto"/>
          </w:tcPr>
          <w:p w14:paraId="0A024BF3" w14:textId="77777777" w:rsidR="00751A4A" w:rsidRPr="00655C8D" w:rsidRDefault="00187494" w:rsidP="0010095E">
            <w:pPr>
              <w:pStyle w:val="EPLogo"/>
            </w:pPr>
            <w:r w:rsidRPr="00655C8D">
              <w:rPr>
                <w:noProof/>
                <w:lang w:eastAsia="ja-JP"/>
              </w:rPr>
              <w:drawing>
                <wp:inline distT="0" distB="0" distL="0" distR="0" wp14:anchorId="66798235" wp14:editId="5E850B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EE249D" w14:textId="77777777" w:rsidR="00D058B8" w:rsidRPr="00655C8D" w:rsidRDefault="00D058B8" w:rsidP="004C5D52">
      <w:pPr>
        <w:pStyle w:val="LineTop"/>
      </w:pPr>
    </w:p>
    <w:p w14:paraId="72FF6908" w14:textId="2A48A115" w:rsidR="00680577" w:rsidRPr="00655C8D" w:rsidRDefault="00BF61D8" w:rsidP="00680577">
      <w:pPr>
        <w:pStyle w:val="EPBodyTA1"/>
      </w:pPr>
      <w:r w:rsidRPr="00655C8D">
        <w:t>ANGENOMMENE TEXTE</w:t>
      </w:r>
    </w:p>
    <w:p w14:paraId="4B6D5B7B" w14:textId="77777777" w:rsidR="00D058B8" w:rsidRPr="00655C8D" w:rsidRDefault="00D058B8" w:rsidP="00D058B8">
      <w:pPr>
        <w:pStyle w:val="LineBottom"/>
      </w:pPr>
    </w:p>
    <w:p w14:paraId="72B223C9" w14:textId="4E421DCB" w:rsidR="00BF61D8" w:rsidRPr="00655C8D" w:rsidRDefault="00BF61D8" w:rsidP="00BF61D8">
      <w:pPr>
        <w:pStyle w:val="ATHeading1"/>
      </w:pPr>
      <w:bookmarkStart w:id="0" w:name="TANumber"/>
      <w:r w:rsidRPr="00655C8D">
        <w:t>P10_</w:t>
      </w:r>
      <w:proofErr w:type="gramStart"/>
      <w:r w:rsidRPr="00655C8D">
        <w:t>TA(</w:t>
      </w:r>
      <w:proofErr w:type="gramEnd"/>
      <w:r w:rsidRPr="00655C8D">
        <w:t>2026)00</w:t>
      </w:r>
      <w:bookmarkEnd w:id="0"/>
      <w:r w:rsidR="0067444D" w:rsidRPr="00655C8D">
        <w:t>61</w:t>
      </w:r>
    </w:p>
    <w:p w14:paraId="32F37EF8" w14:textId="77777777" w:rsidR="00BF61D8" w:rsidRPr="00655C8D" w:rsidRDefault="00BF61D8" w:rsidP="00BF61D8">
      <w:pPr>
        <w:pStyle w:val="ATHeading2"/>
      </w:pPr>
      <w:bookmarkStart w:id="1" w:name="title"/>
      <w:r w:rsidRPr="00655C8D">
        <w:t>Ernennung des Vorsitzes der Europäischen Bankenaufsichtsbehörde</w:t>
      </w:r>
      <w:bookmarkEnd w:id="1"/>
    </w:p>
    <w:p w14:paraId="4F39D45D" w14:textId="77777777" w:rsidR="00BF61D8" w:rsidRPr="00655C8D" w:rsidRDefault="00BF61D8" w:rsidP="00BF61D8">
      <w:pPr>
        <w:rPr>
          <w:i/>
          <w:vanish/>
        </w:rPr>
      </w:pPr>
      <w:r w:rsidRPr="00655C8D">
        <w:rPr>
          <w:i/>
        </w:rPr>
        <w:fldChar w:fldCharType="begin"/>
      </w:r>
      <w:r w:rsidRPr="00655C8D">
        <w:rPr>
          <w:i/>
        </w:rPr>
        <w:instrText xml:space="preserve"> TC"(</w:instrText>
      </w:r>
      <w:bookmarkStart w:id="2" w:name="DocNumber"/>
      <w:r w:rsidRPr="00655C8D">
        <w:rPr>
          <w:i/>
        </w:rPr>
        <w:instrText>A10-0032/2026</w:instrText>
      </w:r>
      <w:bookmarkEnd w:id="2"/>
      <w:r w:rsidRPr="00655C8D">
        <w:rPr>
          <w:i/>
        </w:rPr>
        <w:instrText xml:space="preserve"> - Berichterstatterin: Aurore Lalucq)"\l3 \n&gt; \* MERGEFORMAT </w:instrText>
      </w:r>
      <w:r w:rsidRPr="00655C8D">
        <w:rPr>
          <w:i/>
        </w:rPr>
        <w:fldChar w:fldCharType="end"/>
      </w:r>
    </w:p>
    <w:p w14:paraId="15CEC00A" w14:textId="77777777" w:rsidR="00BF61D8" w:rsidRPr="00655C8D" w:rsidRDefault="00BF61D8" w:rsidP="00BF61D8">
      <w:pPr>
        <w:rPr>
          <w:vanish/>
        </w:rPr>
      </w:pPr>
      <w:bookmarkStart w:id="3" w:name="Commission"/>
      <w:r w:rsidRPr="00655C8D">
        <w:rPr>
          <w:vanish/>
        </w:rPr>
        <w:t>Ausschuss für Wirtschaft und Währung</w:t>
      </w:r>
      <w:bookmarkEnd w:id="3"/>
    </w:p>
    <w:p w14:paraId="01B393AB" w14:textId="77777777" w:rsidR="00BF61D8" w:rsidRPr="00655C8D" w:rsidRDefault="00BF61D8" w:rsidP="00BF61D8">
      <w:pPr>
        <w:rPr>
          <w:vanish/>
        </w:rPr>
      </w:pPr>
      <w:bookmarkStart w:id="4" w:name="PE"/>
      <w:r w:rsidRPr="00655C8D">
        <w:rPr>
          <w:vanish/>
        </w:rPr>
        <w:t>PE784.336</w:t>
      </w:r>
      <w:bookmarkEnd w:id="4"/>
    </w:p>
    <w:p w14:paraId="7923BA26" w14:textId="597DE07E" w:rsidR="00BF61D8" w:rsidRPr="00655C8D" w:rsidRDefault="00BF61D8" w:rsidP="00BF61D8">
      <w:pPr>
        <w:pStyle w:val="ATHeading3"/>
      </w:pPr>
      <w:bookmarkStart w:id="5" w:name="Sujet"/>
      <w:r w:rsidRPr="00655C8D">
        <w:t xml:space="preserve">Beschluss des Europäischen Parlaments vom </w:t>
      </w:r>
      <w:r w:rsidR="00885642" w:rsidRPr="00655C8D">
        <w:t>10</w:t>
      </w:r>
      <w:r w:rsidRPr="00655C8D">
        <w:t>. März 2026 zu dem Vorschlag zur Ernennung des Vorsitzes der Europäischen Bankenaufsichtsbehörde</w:t>
      </w:r>
      <w:bookmarkEnd w:id="5"/>
      <w:r w:rsidRPr="00655C8D">
        <w:t xml:space="preserve"> </w:t>
      </w:r>
      <w:bookmarkStart w:id="6" w:name="References"/>
      <w:r w:rsidRPr="00655C8D">
        <w:t>(N10-0004/2026 – C10-0020/2026 – 2026/0802(NLE))</w:t>
      </w:r>
      <w:bookmarkEnd w:id="6"/>
    </w:p>
    <w:p w14:paraId="250722A0" w14:textId="77777777" w:rsidR="00F06F18" w:rsidRPr="00655C8D" w:rsidRDefault="00F06F18" w:rsidP="00F06F18">
      <w:pPr>
        <w:pStyle w:val="NormalBold"/>
      </w:pPr>
      <w:r w:rsidRPr="00655C8D">
        <w:t>(Zustimmung)</w:t>
      </w:r>
    </w:p>
    <w:p w14:paraId="1DC8299F" w14:textId="77777777" w:rsidR="00F06F18" w:rsidRPr="00655C8D" w:rsidRDefault="00F06F18" w:rsidP="00F06F18">
      <w:pPr>
        <w:pStyle w:val="EPComma"/>
        <w:rPr>
          <w:i/>
          <w:iCs/>
        </w:rPr>
      </w:pPr>
      <w:r w:rsidRPr="00655C8D">
        <w:rPr>
          <w:i/>
        </w:rPr>
        <w:t>Das Europäische Parlament,</w:t>
      </w:r>
    </w:p>
    <w:p w14:paraId="22F175E8" w14:textId="77777777" w:rsidR="00F06F18" w:rsidRPr="00655C8D" w:rsidRDefault="00F06F18" w:rsidP="00F06F18">
      <w:pPr>
        <w:pStyle w:val="NormalHanging12a"/>
      </w:pPr>
      <w:r w:rsidRPr="00655C8D">
        <w:t>–</w:t>
      </w:r>
      <w:r w:rsidRPr="00655C8D">
        <w:tab/>
        <w:t>unter Hinweis auf die vom Rat der Aufseher der Europäischen Bankenaufsichtsbehörde erstellte Auswahlliste qualifizierter Bewerber für das Amt des Vorsitzenden der Europäischen Bankenaufsichtsbehörde,</w:t>
      </w:r>
    </w:p>
    <w:p w14:paraId="24450127" w14:textId="77777777" w:rsidR="00F06F18" w:rsidRPr="00655C8D" w:rsidRDefault="00F06F18" w:rsidP="00F06F18">
      <w:pPr>
        <w:pStyle w:val="NormalHanging12a"/>
      </w:pPr>
      <w:r w:rsidRPr="00655C8D">
        <w:t>–</w:t>
      </w:r>
      <w:r w:rsidRPr="00655C8D">
        <w:tab/>
        <w:t>unter Hinweis auf das Schreiben des Rates vom 4. Februar 2026, in dem er François-Louis Michaud als Vorsitzenden der Europäischen Bankenaufsichtsbehörde vorschlägt (C10-0020/2026),</w:t>
      </w:r>
    </w:p>
    <w:p w14:paraId="0649EDAB" w14:textId="31F9B462" w:rsidR="00F06F18" w:rsidRPr="00655C8D" w:rsidRDefault="00F06F18" w:rsidP="00F06F18">
      <w:pPr>
        <w:pStyle w:val="NormalHanging12a"/>
      </w:pPr>
      <w:r w:rsidRPr="00655C8D">
        <w:t>–</w:t>
      </w:r>
      <w:r w:rsidRPr="00655C8D">
        <w:tab/>
        <w:t>gestützt auf Artikel 48 Absätze 2 und 3 der Verordnung (EU) Nr. 1093/2010 des Europäischen Parlaments und des Rates vom 24. November 2010 zur Errichtung einer Europäischen Aufsichtsbehörde (Europäische Bankenaufsichtsbehörde), zur Änderung des Beschlusses Nr. 716/2009/EG und zur Aufhebung des Beschlusses 2009/7</w:t>
      </w:r>
      <w:r w:rsidR="00885642" w:rsidRPr="00655C8D">
        <w:t>8</w:t>
      </w:r>
      <w:r w:rsidRPr="00655C8D">
        <w:t>/EG der Kommission</w:t>
      </w:r>
      <w:r w:rsidRPr="00655C8D">
        <w:rPr>
          <w:rStyle w:val="FootnoteReference"/>
        </w:rPr>
        <w:footnoteReference w:id="1"/>
      </w:r>
      <w:r w:rsidRPr="00655C8D">
        <w:t>,</w:t>
      </w:r>
    </w:p>
    <w:p w14:paraId="5D2F6AF2" w14:textId="77777777" w:rsidR="00F06F18" w:rsidRPr="00655C8D" w:rsidRDefault="00F06F18" w:rsidP="00F06F18">
      <w:pPr>
        <w:pStyle w:val="NormalHanging12a"/>
      </w:pPr>
      <w:r w:rsidRPr="00655C8D">
        <w:t>–</w:t>
      </w:r>
      <w:r w:rsidRPr="00655C8D">
        <w:tab/>
        <w:t>unter Hinweis auf seine Entschließung vom 14. März 2019 zum ausgewogenen Verhältnis von Frauen und Männern bei Nominierungen für Positionen im Bereich Wirtschaft und Währung auf EU-Ebene</w:t>
      </w:r>
      <w:r w:rsidRPr="00655C8D">
        <w:rPr>
          <w:vertAlign w:val="superscript"/>
        </w:rPr>
        <w:footnoteReference w:id="2"/>
      </w:r>
      <w:r w:rsidRPr="00655C8D">
        <w:t>,</w:t>
      </w:r>
    </w:p>
    <w:p w14:paraId="7F26BE18" w14:textId="77777777" w:rsidR="00F06F18" w:rsidRPr="00655C8D" w:rsidRDefault="00F06F18" w:rsidP="00F06F18">
      <w:pPr>
        <w:pStyle w:val="NormalHanging12a"/>
      </w:pPr>
      <w:r w:rsidRPr="00655C8D">
        <w:t>–</w:t>
      </w:r>
      <w:r w:rsidRPr="00655C8D">
        <w:tab/>
        <w:t>unter Hinweis auf seine Entschließung vom 16. Januar 2020 zu dem Thema „Organe und Einrichtungen der Wirtschafts- und Währungsunion: Interessenkonflikte nach dem Ausscheiden aus dem öffentlichen Dienst verhindern“</w:t>
      </w:r>
      <w:r w:rsidRPr="00655C8D">
        <w:rPr>
          <w:vertAlign w:val="superscript"/>
        </w:rPr>
        <w:footnoteReference w:id="3"/>
      </w:r>
      <w:r w:rsidRPr="00655C8D">
        <w:t>,</w:t>
      </w:r>
    </w:p>
    <w:p w14:paraId="0C57AC69" w14:textId="77777777" w:rsidR="00F06F18" w:rsidRPr="00655C8D" w:rsidRDefault="00F06F18" w:rsidP="00F06F18">
      <w:pPr>
        <w:pStyle w:val="NormalHanging12a"/>
      </w:pPr>
      <w:r w:rsidRPr="00655C8D">
        <w:lastRenderedPageBreak/>
        <w:t>–</w:t>
      </w:r>
      <w:r w:rsidRPr="00655C8D">
        <w:tab/>
        <w:t>gestützt auf Artikel 135 seiner Geschäftsordnung,</w:t>
      </w:r>
    </w:p>
    <w:p w14:paraId="1A7DFE35" w14:textId="77777777" w:rsidR="00F06F18" w:rsidRPr="00655C8D" w:rsidRDefault="00F06F18" w:rsidP="00F06F18">
      <w:pPr>
        <w:pStyle w:val="NormalHanging12a"/>
      </w:pPr>
      <w:r w:rsidRPr="00655C8D">
        <w:t>–</w:t>
      </w:r>
      <w:r w:rsidRPr="00655C8D">
        <w:tab/>
        <w:t>unter Hinweis auf den Bericht des Ausschusses für Wirtschaft und Währung (A10-0032/2026),</w:t>
      </w:r>
    </w:p>
    <w:p w14:paraId="6E8DE45C" w14:textId="77777777" w:rsidR="00F06F18" w:rsidRPr="00655C8D" w:rsidRDefault="00F06F18" w:rsidP="00F06F18">
      <w:pPr>
        <w:pStyle w:val="NormalHanging12a"/>
      </w:pPr>
      <w:r w:rsidRPr="00655C8D">
        <w:t>A.</w:t>
      </w:r>
      <w:r w:rsidRPr="00655C8D">
        <w:tab/>
        <w:t>in der Erwägung, dass der derzeitige Vorsitzende der Europäischen Bankenaufsichtsbehörde am 31. Januar 2026 zurückgetreten ist;</w:t>
      </w:r>
    </w:p>
    <w:p w14:paraId="547E8499" w14:textId="77777777" w:rsidR="00F06F18" w:rsidRPr="00655C8D" w:rsidRDefault="00F06F18" w:rsidP="00F06F18">
      <w:pPr>
        <w:pStyle w:val="NormalHanging12a"/>
      </w:pPr>
      <w:r w:rsidRPr="00655C8D">
        <w:t>B.</w:t>
      </w:r>
      <w:r w:rsidRPr="00655C8D">
        <w:tab/>
        <w:t>in der Erwägung, dass gemäß Artikel 48 Absatz 2 der Verordnung (EU) Nr. 1093/2010 der Vorsitzende der Europäischen Bankenaufsichtsbehörde im Anschluss an ein offenes Auswahlverfahren, bei dem der Grundsatz der ausgewogenen Vertretung von Frauen und Männern gewahrt wird, auf der Grundlage seiner Verdienste, seiner Kompetenzen, seiner Kenntnis von Finanzinstituten und -märkten sowie seiner Erfahrung im Bereich Finanzaufsicht und -regulierung ausgewählt wird;</w:t>
      </w:r>
    </w:p>
    <w:p w14:paraId="14B1C012" w14:textId="77777777" w:rsidR="00F06F18" w:rsidRPr="00655C8D" w:rsidRDefault="00F06F18" w:rsidP="00F06F18">
      <w:pPr>
        <w:pStyle w:val="NormalHanging12a"/>
      </w:pPr>
      <w:r w:rsidRPr="00655C8D">
        <w:t>C.</w:t>
      </w:r>
      <w:r w:rsidRPr="00655C8D">
        <w:tab/>
        <w:t>in der Erwägung, dass der Rat am 4. Februar 2026 vorgeschlagen hat, François-Louis Michaud nach Bestätigung durch das Parlament gemäß Artikel 48 Absätze 2 und 3 der Verordnung (EU) Nr. 1093/2010 für eine Amtszeit von fünf Jahren zum Vorsitzenden der Europäischen Bankenaufsichtsbehörde zu ernennen;</w:t>
      </w:r>
    </w:p>
    <w:p w14:paraId="022227E4" w14:textId="77777777" w:rsidR="00F06F18" w:rsidRPr="00655C8D" w:rsidRDefault="00F06F18" w:rsidP="00F06F18">
      <w:pPr>
        <w:pStyle w:val="NormalHanging12a"/>
      </w:pPr>
      <w:r w:rsidRPr="00655C8D">
        <w:t>D.</w:t>
      </w:r>
      <w:r w:rsidRPr="00655C8D">
        <w:tab/>
        <w:t>in der Erwägung, dass der Ausschuss für Wirtschaft und Währung am 25. Februar 2026 eine Anhörung von François-Louis Michaud durchgeführt hat, bei der dieser zunächst eine Erklärung abgab und anschließend die Fragen der Ausschussmitglieder beantwortete;</w:t>
      </w:r>
    </w:p>
    <w:p w14:paraId="736115E4" w14:textId="77777777" w:rsidR="00F06F18" w:rsidRPr="00655C8D" w:rsidRDefault="00F06F18" w:rsidP="00F06F18">
      <w:pPr>
        <w:pStyle w:val="NormalHanging12a"/>
      </w:pPr>
      <w:r w:rsidRPr="00655C8D">
        <w:t>1.</w:t>
      </w:r>
      <w:r w:rsidRPr="00655C8D">
        <w:tab/>
        <w:t>gibt seine Zustimmung zur Ernennung von François-Louis Michaud als Vorsitzender der Europäischen Bankenaufsichtsbehörde;</w:t>
      </w:r>
    </w:p>
    <w:p w14:paraId="01571EB3" w14:textId="1834E4AA" w:rsidR="00E365E1" w:rsidRPr="00655C8D" w:rsidRDefault="00F06F18" w:rsidP="00743CB1">
      <w:pPr>
        <w:pStyle w:val="NormalHanging12a"/>
      </w:pPr>
      <w:r w:rsidRPr="00655C8D">
        <w:t>2.</w:t>
      </w:r>
      <w:r w:rsidRPr="00655C8D">
        <w:tab/>
        <w:t>beauftragt seine Präsidentin, diesen Beschluss dem Rat, der Kommission, der Europäischen Bankenaufsichtsbehörde und den Regierungen der Mitgliedstaaten zu übermitteln.</w:t>
      </w:r>
    </w:p>
    <w:sectPr w:rsidR="00E365E1" w:rsidRPr="00655C8D" w:rsidSect="006C166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C1427" w14:textId="77777777" w:rsidR="00BF61D8" w:rsidRPr="006C166C" w:rsidRDefault="00BF61D8">
      <w:r w:rsidRPr="006C166C">
        <w:separator/>
      </w:r>
    </w:p>
  </w:endnote>
  <w:endnote w:type="continuationSeparator" w:id="0">
    <w:p w14:paraId="360E5A25" w14:textId="77777777" w:rsidR="00BF61D8" w:rsidRPr="006C166C" w:rsidRDefault="00BF61D8">
      <w:r w:rsidRPr="006C16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A9D42" w14:textId="77777777" w:rsidR="00064002" w:rsidRPr="006C166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CEE50" w14:textId="77777777" w:rsidR="00064002" w:rsidRPr="006C166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87B44" w14:textId="77777777" w:rsidR="00064002" w:rsidRPr="006C16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499A4" w14:textId="77777777" w:rsidR="00BF61D8" w:rsidRPr="006C166C" w:rsidRDefault="00BF61D8">
      <w:r w:rsidRPr="006C166C">
        <w:separator/>
      </w:r>
    </w:p>
  </w:footnote>
  <w:footnote w:type="continuationSeparator" w:id="0">
    <w:p w14:paraId="651FF2EB" w14:textId="77777777" w:rsidR="00BF61D8" w:rsidRPr="006C166C" w:rsidRDefault="00BF61D8">
      <w:r w:rsidRPr="006C166C">
        <w:continuationSeparator/>
      </w:r>
    </w:p>
  </w:footnote>
  <w:footnote w:id="1">
    <w:p w14:paraId="0452E591" w14:textId="42547B5A" w:rsidR="00F06F18" w:rsidRPr="006C166C" w:rsidRDefault="00F06F18" w:rsidP="006C166C">
      <w:pPr>
        <w:pStyle w:val="FootnoteText"/>
        <w:ind w:left="567" w:hanging="567"/>
        <w:rPr>
          <w:sz w:val="24"/>
          <w:lang w:val="de-DE"/>
        </w:rPr>
      </w:pPr>
      <w:r w:rsidRPr="006C166C">
        <w:rPr>
          <w:rStyle w:val="FootnoteReference"/>
          <w:sz w:val="24"/>
          <w:lang w:val="de-DE"/>
        </w:rPr>
        <w:footnoteRef/>
      </w:r>
      <w:r w:rsidR="006C166C" w:rsidRPr="006C166C">
        <w:rPr>
          <w:sz w:val="24"/>
          <w:lang w:val="de-DE"/>
        </w:rPr>
        <w:t xml:space="preserve"> </w:t>
      </w:r>
      <w:r w:rsidR="006C166C" w:rsidRPr="006C166C">
        <w:rPr>
          <w:sz w:val="24"/>
          <w:lang w:val="de-DE"/>
        </w:rPr>
        <w:tab/>
      </w:r>
      <w:proofErr w:type="spellStart"/>
      <w:r w:rsidRPr="006C166C">
        <w:rPr>
          <w:sz w:val="24"/>
          <w:lang w:val="de-DE"/>
        </w:rPr>
        <w:t>ABl.</w:t>
      </w:r>
      <w:proofErr w:type="spellEnd"/>
      <w:r w:rsidRPr="006C166C">
        <w:rPr>
          <w:sz w:val="24"/>
          <w:lang w:val="de-DE"/>
        </w:rPr>
        <w:t xml:space="preserve"> L 331 vom 15.12.2010, S. 12, ELI: </w:t>
      </w:r>
      <w:hyperlink r:id="rId1" w:history="1">
        <w:r w:rsidRPr="006C166C">
          <w:rPr>
            <w:rStyle w:val="Hyperlink"/>
            <w:sz w:val="24"/>
            <w:lang w:val="de-DE"/>
          </w:rPr>
          <w:t>http://data.europa.eu/eli/reg/2010/1093/oj</w:t>
        </w:r>
      </w:hyperlink>
      <w:r w:rsidRPr="006C166C">
        <w:rPr>
          <w:sz w:val="24"/>
          <w:lang w:val="de-DE"/>
        </w:rPr>
        <w:t>.</w:t>
      </w:r>
    </w:p>
  </w:footnote>
  <w:footnote w:id="2">
    <w:p w14:paraId="7B3DAAD6" w14:textId="138BF69A" w:rsidR="00F06F18" w:rsidRPr="006C166C" w:rsidRDefault="00F06F18" w:rsidP="006C166C">
      <w:pPr>
        <w:pStyle w:val="FootnoteText"/>
        <w:ind w:left="567" w:hanging="567"/>
        <w:rPr>
          <w:sz w:val="24"/>
          <w:lang w:val="de-DE"/>
        </w:rPr>
      </w:pPr>
      <w:r w:rsidRPr="006C166C">
        <w:rPr>
          <w:rStyle w:val="FootnoteReference"/>
          <w:sz w:val="24"/>
          <w:lang w:val="de-DE"/>
        </w:rPr>
        <w:footnoteRef/>
      </w:r>
      <w:r w:rsidR="006C166C" w:rsidRPr="006C166C">
        <w:rPr>
          <w:sz w:val="24"/>
          <w:lang w:val="de-DE"/>
        </w:rPr>
        <w:t xml:space="preserve"> </w:t>
      </w:r>
      <w:r w:rsidR="006C166C" w:rsidRPr="006C166C">
        <w:rPr>
          <w:sz w:val="24"/>
          <w:lang w:val="de-DE"/>
        </w:rPr>
        <w:tab/>
      </w:r>
      <w:proofErr w:type="spellStart"/>
      <w:r w:rsidRPr="006C166C">
        <w:rPr>
          <w:sz w:val="24"/>
          <w:lang w:val="de-DE"/>
        </w:rPr>
        <w:t>ABl.</w:t>
      </w:r>
      <w:proofErr w:type="spellEnd"/>
      <w:r w:rsidRPr="006C166C">
        <w:rPr>
          <w:sz w:val="24"/>
          <w:lang w:val="de-DE"/>
        </w:rPr>
        <w:t xml:space="preserve"> C 23 vom 21.1.2021, S. 105.</w:t>
      </w:r>
    </w:p>
  </w:footnote>
  <w:footnote w:id="3">
    <w:p w14:paraId="07CFD8AB" w14:textId="6BF12A88" w:rsidR="00F06F18" w:rsidRPr="006C166C" w:rsidRDefault="00F06F18" w:rsidP="006C166C">
      <w:pPr>
        <w:pStyle w:val="FootnoteText"/>
        <w:ind w:left="567" w:hanging="567"/>
        <w:rPr>
          <w:sz w:val="24"/>
          <w:lang w:val="de-DE"/>
        </w:rPr>
      </w:pPr>
      <w:r w:rsidRPr="00383B34">
        <w:rPr>
          <w:rStyle w:val="FootnoteReference"/>
          <w:sz w:val="24"/>
          <w:lang w:val="de-DE"/>
        </w:rPr>
        <w:footnoteRef/>
      </w:r>
      <w:r w:rsidR="006C166C" w:rsidRPr="00383B34">
        <w:rPr>
          <w:sz w:val="24"/>
          <w:lang w:val="de-DE"/>
        </w:rPr>
        <w:t xml:space="preserve"> </w:t>
      </w:r>
      <w:r w:rsidR="006C166C" w:rsidRPr="00383B34">
        <w:rPr>
          <w:sz w:val="24"/>
          <w:lang w:val="de-DE"/>
        </w:rPr>
        <w:tab/>
      </w:r>
      <w:proofErr w:type="spellStart"/>
      <w:r w:rsidR="00383B34" w:rsidRPr="00655C8D">
        <w:rPr>
          <w:sz w:val="24"/>
          <w:lang w:val="de-DE"/>
        </w:rPr>
        <w:t>ABl.</w:t>
      </w:r>
      <w:proofErr w:type="spellEnd"/>
      <w:r w:rsidR="00383B34" w:rsidRPr="00655C8D">
        <w:rPr>
          <w:sz w:val="24"/>
          <w:lang w:val="de-DE"/>
        </w:rPr>
        <w:t xml:space="preserve"> C 270 vom 7.7.2021, S. 113</w:t>
      </w:r>
      <w:r w:rsidRPr="006C166C">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A8B00" w14:textId="77777777" w:rsidR="00064002" w:rsidRPr="006C166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E1060" w14:textId="77777777" w:rsidR="00064002" w:rsidRPr="006C166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4D8AC" w14:textId="77777777" w:rsidR="00064002" w:rsidRPr="006C16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20539694">
    <w:abstractNumId w:val="9"/>
  </w:num>
  <w:num w:numId="2" w16cid:durableId="2138642573">
    <w:abstractNumId w:val="9"/>
  </w:num>
  <w:num w:numId="3" w16cid:durableId="1829058314">
    <w:abstractNumId w:val="7"/>
  </w:num>
  <w:num w:numId="4" w16cid:durableId="1818523037">
    <w:abstractNumId w:val="7"/>
  </w:num>
  <w:num w:numId="5" w16cid:durableId="1830369632">
    <w:abstractNumId w:val="6"/>
  </w:num>
  <w:num w:numId="6" w16cid:durableId="529801224">
    <w:abstractNumId w:val="6"/>
  </w:num>
  <w:num w:numId="7" w16cid:durableId="200556224">
    <w:abstractNumId w:val="5"/>
  </w:num>
  <w:num w:numId="8" w16cid:durableId="1237665373">
    <w:abstractNumId w:val="5"/>
  </w:num>
  <w:num w:numId="9" w16cid:durableId="1193111019">
    <w:abstractNumId w:val="4"/>
  </w:num>
  <w:num w:numId="10" w16cid:durableId="664287462">
    <w:abstractNumId w:val="4"/>
  </w:num>
  <w:num w:numId="11" w16cid:durableId="1914118386">
    <w:abstractNumId w:val="8"/>
  </w:num>
  <w:num w:numId="12" w16cid:durableId="297998843">
    <w:abstractNumId w:val="8"/>
  </w:num>
  <w:num w:numId="13" w16cid:durableId="1374038670">
    <w:abstractNumId w:val="3"/>
  </w:num>
  <w:num w:numId="14" w16cid:durableId="1286231499">
    <w:abstractNumId w:val="3"/>
  </w:num>
  <w:num w:numId="15" w16cid:durableId="2082173977">
    <w:abstractNumId w:val="2"/>
  </w:num>
  <w:num w:numId="16" w16cid:durableId="1693216484">
    <w:abstractNumId w:val="2"/>
  </w:num>
  <w:num w:numId="17" w16cid:durableId="82145360">
    <w:abstractNumId w:val="1"/>
  </w:num>
  <w:num w:numId="18" w16cid:durableId="513223467">
    <w:abstractNumId w:val="1"/>
  </w:num>
  <w:num w:numId="19" w16cid:durableId="1247228493">
    <w:abstractNumId w:val="0"/>
  </w:num>
  <w:num w:numId="20" w16cid:durableId="325673959">
    <w:abstractNumId w:val="0"/>
  </w:num>
  <w:num w:numId="21" w16cid:durableId="438791503">
    <w:abstractNumId w:val="9"/>
  </w:num>
  <w:num w:numId="22" w16cid:durableId="1887526099">
    <w:abstractNumId w:val="7"/>
  </w:num>
  <w:num w:numId="23" w16cid:durableId="1816488507">
    <w:abstractNumId w:val="6"/>
  </w:num>
  <w:num w:numId="24" w16cid:durableId="1461805813">
    <w:abstractNumId w:val="5"/>
  </w:num>
  <w:num w:numId="25" w16cid:durableId="1644500538">
    <w:abstractNumId w:val="4"/>
  </w:num>
  <w:num w:numId="26" w16cid:durableId="454254354">
    <w:abstractNumId w:val="8"/>
  </w:num>
  <w:num w:numId="27" w16cid:durableId="176888606">
    <w:abstractNumId w:val="3"/>
  </w:num>
  <w:num w:numId="28" w16cid:durableId="897547537">
    <w:abstractNumId w:val="2"/>
  </w:num>
  <w:num w:numId="29" w16cid:durableId="427195348">
    <w:abstractNumId w:val="1"/>
  </w:num>
  <w:num w:numId="30" w16cid:durableId="2019262139">
    <w:abstractNumId w:val="0"/>
  </w:num>
  <w:num w:numId="31" w16cid:durableId="2022735716">
    <w:abstractNumId w:val="9"/>
  </w:num>
  <w:num w:numId="32" w16cid:durableId="1863543157">
    <w:abstractNumId w:val="7"/>
  </w:num>
  <w:num w:numId="33" w16cid:durableId="1612011726">
    <w:abstractNumId w:val="6"/>
  </w:num>
  <w:num w:numId="34" w16cid:durableId="1990094403">
    <w:abstractNumId w:val="5"/>
  </w:num>
  <w:num w:numId="35" w16cid:durableId="331105188">
    <w:abstractNumId w:val="4"/>
  </w:num>
  <w:num w:numId="36" w16cid:durableId="1773817675">
    <w:abstractNumId w:val="8"/>
  </w:num>
  <w:num w:numId="37" w16cid:durableId="1890847405">
    <w:abstractNumId w:val="3"/>
  </w:num>
  <w:num w:numId="38" w16cid:durableId="340011028">
    <w:abstractNumId w:val="2"/>
  </w:num>
  <w:num w:numId="39" w16cid:durableId="496072439">
    <w:abstractNumId w:val="1"/>
  </w:num>
  <w:num w:numId="40" w16cid:durableId="1210263166">
    <w:abstractNumId w:val="0"/>
  </w:num>
  <w:num w:numId="41" w16cid:durableId="948926423">
    <w:abstractNumId w:val="10"/>
  </w:num>
  <w:num w:numId="42" w16cid:durableId="1197498335">
    <w:abstractNumId w:val="10"/>
  </w:num>
  <w:num w:numId="43" w16cid:durableId="1462071942">
    <w:abstractNumId w:val="10"/>
  </w:num>
  <w:num w:numId="44" w16cid:durableId="9616139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2/2026"/>
    <w:docVar w:name="dvlangue" w:val="DE"/>
    <w:docVar w:name="dvnumam" w:val="0"/>
    <w:docVar w:name="dvpe" w:val="784.336"/>
    <w:docVar w:name="dvrapporteur" w:val="Berichterstatterin: "/>
    <w:docVar w:name="dvtitre" w:val="Beschluss des Europäischen Parlaments vom XX. März 2026 zu dem Vorschlag zur Ernennung des Vorsitzes der Europäischen Bankenaufsichtsbehörde(N10-0004/2026 – C10-0020/2026 – 2026/0802(NLE))"/>
  </w:docVars>
  <w:rsids>
    <w:rsidRoot w:val="00BF61D8"/>
    <w:rsid w:val="00002272"/>
    <w:rsid w:val="00064002"/>
    <w:rsid w:val="000677B9"/>
    <w:rsid w:val="000831BA"/>
    <w:rsid w:val="000A42CC"/>
    <w:rsid w:val="000E7DD9"/>
    <w:rsid w:val="0010095E"/>
    <w:rsid w:val="00125B37"/>
    <w:rsid w:val="00187494"/>
    <w:rsid w:val="001B0EA4"/>
    <w:rsid w:val="001F32AE"/>
    <w:rsid w:val="00205666"/>
    <w:rsid w:val="002767FF"/>
    <w:rsid w:val="002A42E5"/>
    <w:rsid w:val="002B18FE"/>
    <w:rsid w:val="002B5493"/>
    <w:rsid w:val="00343214"/>
    <w:rsid w:val="00361C00"/>
    <w:rsid w:val="00383B3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5C8D"/>
    <w:rsid w:val="006631B6"/>
    <w:rsid w:val="0067444D"/>
    <w:rsid w:val="00680577"/>
    <w:rsid w:val="006C166C"/>
    <w:rsid w:val="006D01B9"/>
    <w:rsid w:val="006F74FA"/>
    <w:rsid w:val="00731ADD"/>
    <w:rsid w:val="00734777"/>
    <w:rsid w:val="00743CB1"/>
    <w:rsid w:val="00747932"/>
    <w:rsid w:val="00751A4A"/>
    <w:rsid w:val="00756632"/>
    <w:rsid w:val="00762C74"/>
    <w:rsid w:val="00786EC0"/>
    <w:rsid w:val="007D1690"/>
    <w:rsid w:val="007E22AD"/>
    <w:rsid w:val="00817416"/>
    <w:rsid w:val="0083598E"/>
    <w:rsid w:val="00842779"/>
    <w:rsid w:val="00865F67"/>
    <w:rsid w:val="00881A7B"/>
    <w:rsid w:val="008840E5"/>
    <w:rsid w:val="00885642"/>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61D8"/>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6F18"/>
    <w:rsid w:val="00F075DC"/>
    <w:rsid w:val="00F149E9"/>
    <w:rsid w:val="00F5134D"/>
    <w:rsid w:val="00F74202"/>
    <w:rsid w:val="00F75AF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01DDF9"/>
  <w15:chartTrackingRefBased/>
  <w15:docId w15:val="{C6F0660C-4A5E-48E2-A5C1-D5C317155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06F18"/>
    <w:pPr>
      <w:spacing w:before="480" w:after="240"/>
    </w:pPr>
  </w:style>
  <w:style w:type="paragraph" w:customStyle="1" w:styleId="NormalBold">
    <w:name w:val="NormalBold"/>
    <w:basedOn w:val="Normal"/>
    <w:rsid w:val="00F06F18"/>
    <w:rPr>
      <w:b/>
    </w:rPr>
  </w:style>
  <w:style w:type="paragraph" w:customStyle="1" w:styleId="NormalHanging12a">
    <w:name w:val="NormalHanging12a"/>
    <w:basedOn w:val="Normal"/>
    <w:rsid w:val="00F06F18"/>
    <w:pPr>
      <w:spacing w:after="240"/>
      <w:ind w:left="567" w:hanging="567"/>
    </w:pPr>
  </w:style>
  <w:style w:type="character" w:styleId="Hyperlink">
    <w:name w:val="Hyperlink"/>
    <w:uiPriority w:val="99"/>
    <w:rsid w:val="00F06F18"/>
    <w:rPr>
      <w:color w:val="0000FF"/>
      <w:u w:val="single"/>
    </w:rPr>
  </w:style>
  <w:style w:type="paragraph" w:styleId="Revision">
    <w:name w:val="Revision"/>
    <w:hidden/>
    <w:uiPriority w:val="99"/>
    <w:semiHidden/>
    <w:rsid w:val="00885642"/>
    <w:rPr>
      <w:sz w:val="24"/>
      <w:lang w:val="de-DE"/>
    </w:rPr>
  </w:style>
  <w:style w:type="character" w:styleId="CommentReference">
    <w:name w:val="annotation reference"/>
    <w:basedOn w:val="DefaultParagraphFont"/>
    <w:rsid w:val="0083598E"/>
    <w:rPr>
      <w:sz w:val="16"/>
      <w:szCs w:val="16"/>
    </w:rPr>
  </w:style>
  <w:style w:type="paragraph" w:styleId="CommentText">
    <w:name w:val="annotation text"/>
    <w:basedOn w:val="Normal"/>
    <w:link w:val="CommentTextChar"/>
    <w:rsid w:val="0083598E"/>
    <w:rPr>
      <w:sz w:val="20"/>
    </w:rPr>
  </w:style>
  <w:style w:type="character" w:customStyle="1" w:styleId="CommentTextChar">
    <w:name w:val="Comment Text Char"/>
    <w:basedOn w:val="DefaultParagraphFont"/>
    <w:link w:val="CommentText"/>
    <w:rsid w:val="0083598E"/>
    <w:rPr>
      <w:lang w:val="de-DE"/>
    </w:rPr>
  </w:style>
  <w:style w:type="paragraph" w:styleId="CommentSubject">
    <w:name w:val="annotation subject"/>
    <w:basedOn w:val="CommentText"/>
    <w:next w:val="CommentText"/>
    <w:link w:val="CommentSubjectChar"/>
    <w:rsid w:val="0083598E"/>
    <w:rPr>
      <w:b/>
      <w:bCs/>
    </w:rPr>
  </w:style>
  <w:style w:type="character" w:customStyle="1" w:styleId="CommentSubjectChar">
    <w:name w:val="Comment Subject Char"/>
    <w:basedOn w:val="CommentTextChar"/>
    <w:link w:val="CommentSubject"/>
    <w:rsid w:val="0083598E"/>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0/1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397</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2</cp:revision>
  <cp:lastPrinted>2004-11-19T15:42:00Z</cp:lastPrinted>
  <dcterms:created xsi:type="dcterms:W3CDTF">2026-03-10T12:28:00Z</dcterms:created>
  <dcterms:modified xsi:type="dcterms:W3CDTF">2026-03-10T12:28:00Z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A10-0032/2026</vt:lpwstr>
  </property>
  <property fmtid="{D5CDD505-2E9C-101B-9397-08002B2CF9AE}" pid="4" name="&lt;Type&gt;">
    <vt:lpwstr>RR</vt:lpwstr>
  </property>
</Properties>
</file>