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44794" w14:paraId="351E9663" w14:textId="77777777" w:rsidTr="0010095E">
        <w:trPr>
          <w:trHeight w:hRule="exact" w:val="1418"/>
        </w:trPr>
        <w:tc>
          <w:tcPr>
            <w:tcW w:w="6804" w:type="dxa"/>
            <w:shd w:val="clear" w:color="auto" w:fill="auto"/>
            <w:vAlign w:val="center"/>
          </w:tcPr>
          <w:p w14:paraId="5F5F7C38" w14:textId="77777777" w:rsidR="00751A4A" w:rsidRPr="00644794" w:rsidRDefault="00776A23" w:rsidP="0010095E">
            <w:pPr>
              <w:pStyle w:val="EPName"/>
            </w:pPr>
            <w:r w:rsidRPr="00644794">
              <w:t>Europees Parlement</w:t>
            </w:r>
          </w:p>
          <w:p w14:paraId="6D2D6A2D" w14:textId="77777777" w:rsidR="00751A4A" w:rsidRPr="00644794" w:rsidRDefault="005F1B17" w:rsidP="005F1B17">
            <w:pPr>
              <w:pStyle w:val="EPTerm"/>
              <w:rPr>
                <w:rStyle w:val="HideTWBExt"/>
                <w:noProof w:val="0"/>
                <w:vanish w:val="0"/>
                <w:color w:val="auto"/>
              </w:rPr>
            </w:pPr>
            <w:r w:rsidRPr="00644794">
              <w:t>2024</w:t>
            </w:r>
            <w:r w:rsidR="00817416" w:rsidRPr="00644794">
              <w:t>-202</w:t>
            </w:r>
            <w:r w:rsidRPr="00644794">
              <w:t>9</w:t>
            </w:r>
          </w:p>
        </w:tc>
        <w:tc>
          <w:tcPr>
            <w:tcW w:w="2268" w:type="dxa"/>
            <w:shd w:val="clear" w:color="auto" w:fill="auto"/>
          </w:tcPr>
          <w:p w14:paraId="024F3E88" w14:textId="77777777" w:rsidR="00751A4A" w:rsidRPr="00644794" w:rsidRDefault="00187494" w:rsidP="0010095E">
            <w:pPr>
              <w:pStyle w:val="EPLogo"/>
            </w:pPr>
            <w:r w:rsidRPr="00644794">
              <w:rPr>
                <w:noProof/>
                <w:lang w:eastAsia="ja-JP"/>
              </w:rPr>
              <w:drawing>
                <wp:inline distT="0" distB="0" distL="0" distR="0" wp14:anchorId="702BFEB3" wp14:editId="62D70CD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7C2988" w14:textId="77777777" w:rsidR="00D058B8" w:rsidRPr="00644794" w:rsidRDefault="00D058B8" w:rsidP="004C5D52">
      <w:pPr>
        <w:pStyle w:val="LineTop"/>
      </w:pPr>
    </w:p>
    <w:p w14:paraId="435247E2" w14:textId="77777777" w:rsidR="00680577" w:rsidRPr="00644794" w:rsidRDefault="00776A23" w:rsidP="00680577">
      <w:pPr>
        <w:pStyle w:val="EPBodyTA1"/>
      </w:pPr>
      <w:r w:rsidRPr="00644794">
        <w:t>AANGENOMEN TEKSTEN</w:t>
      </w:r>
    </w:p>
    <w:p w14:paraId="469C7E25" w14:textId="77777777" w:rsidR="00D058B8" w:rsidRPr="00644794" w:rsidRDefault="00D058B8" w:rsidP="00D058B8">
      <w:pPr>
        <w:pStyle w:val="LineBottom"/>
      </w:pPr>
    </w:p>
    <w:p w14:paraId="7CA0317F" w14:textId="70B64018" w:rsidR="00776A23" w:rsidRPr="00644794" w:rsidRDefault="00776A23" w:rsidP="00776A23">
      <w:pPr>
        <w:pStyle w:val="ATHeading1"/>
      </w:pPr>
      <w:bookmarkStart w:id="0" w:name="TANumber"/>
      <w:r w:rsidRPr="00644794">
        <w:t>P10_TA(2026)00</w:t>
      </w:r>
      <w:r w:rsidR="00644794" w:rsidRPr="00644794">
        <w:t>61</w:t>
      </w:r>
      <w:bookmarkEnd w:id="0"/>
    </w:p>
    <w:p w14:paraId="2897D019" w14:textId="77777777" w:rsidR="00776A23" w:rsidRPr="00644794" w:rsidRDefault="00776A23" w:rsidP="00776A23">
      <w:pPr>
        <w:pStyle w:val="ATHeading2"/>
      </w:pPr>
      <w:bookmarkStart w:id="1" w:name="title"/>
      <w:r w:rsidRPr="00644794">
        <w:t>Benoeming van de voorzitter van de Europese Bankautoriteit</w:t>
      </w:r>
      <w:bookmarkEnd w:id="1"/>
    </w:p>
    <w:p w14:paraId="63170567" w14:textId="77777777" w:rsidR="00776A23" w:rsidRPr="00644794" w:rsidRDefault="00776A23" w:rsidP="00776A23">
      <w:pPr>
        <w:rPr>
          <w:i/>
          <w:vanish/>
        </w:rPr>
      </w:pPr>
      <w:r w:rsidRPr="00644794">
        <w:rPr>
          <w:i/>
        </w:rPr>
        <w:fldChar w:fldCharType="begin"/>
      </w:r>
      <w:r w:rsidRPr="00644794">
        <w:rPr>
          <w:i/>
        </w:rPr>
        <w:instrText xml:space="preserve"> TC"(</w:instrText>
      </w:r>
      <w:bookmarkStart w:id="2" w:name="DocNumber"/>
      <w:r w:rsidRPr="00644794">
        <w:rPr>
          <w:i/>
        </w:rPr>
        <w:instrText>A10-0032/2026</w:instrText>
      </w:r>
      <w:bookmarkEnd w:id="2"/>
      <w:r w:rsidRPr="00644794">
        <w:rPr>
          <w:i/>
        </w:rPr>
        <w:instrText xml:space="preserve"> - Rapporteur: Aurore Lalucq)"\l3 \n&gt; \* MERGEFORMAT </w:instrText>
      </w:r>
      <w:r w:rsidRPr="00644794">
        <w:rPr>
          <w:i/>
        </w:rPr>
        <w:fldChar w:fldCharType="end"/>
      </w:r>
    </w:p>
    <w:p w14:paraId="053734B6" w14:textId="77777777" w:rsidR="00776A23" w:rsidRPr="00644794" w:rsidRDefault="00776A23" w:rsidP="00776A23">
      <w:pPr>
        <w:rPr>
          <w:vanish/>
        </w:rPr>
      </w:pPr>
      <w:bookmarkStart w:id="3" w:name="Commission"/>
      <w:r w:rsidRPr="00644794">
        <w:rPr>
          <w:vanish/>
        </w:rPr>
        <w:t>Commissie economische en monetaire zaken</w:t>
      </w:r>
      <w:bookmarkEnd w:id="3"/>
    </w:p>
    <w:p w14:paraId="31EDD9FF" w14:textId="77777777" w:rsidR="00776A23" w:rsidRPr="00644794" w:rsidRDefault="00776A23" w:rsidP="00776A23">
      <w:pPr>
        <w:rPr>
          <w:vanish/>
        </w:rPr>
      </w:pPr>
      <w:bookmarkStart w:id="4" w:name="PE"/>
      <w:r w:rsidRPr="00644794">
        <w:rPr>
          <w:vanish/>
        </w:rPr>
        <w:t>PE784.336</w:t>
      </w:r>
      <w:bookmarkEnd w:id="4"/>
    </w:p>
    <w:p w14:paraId="0CD0E81A" w14:textId="4D009F3D" w:rsidR="00776A23" w:rsidRPr="00644794" w:rsidRDefault="00776A23" w:rsidP="00776A23">
      <w:pPr>
        <w:pStyle w:val="ATHeading3"/>
      </w:pPr>
      <w:bookmarkStart w:id="5" w:name="Sujet"/>
      <w:r w:rsidRPr="00644794">
        <w:t xml:space="preserve">Besluit van het Europees Parlement van </w:t>
      </w:r>
      <w:r w:rsidR="002C4902" w:rsidRPr="00644794">
        <w:t xml:space="preserve">10 </w:t>
      </w:r>
      <w:r w:rsidRPr="00644794">
        <w:t>maart 2026 over de voordracht voor de benoeming van de voorzitter van de Europese Bankautoriteit</w:t>
      </w:r>
      <w:bookmarkEnd w:id="5"/>
      <w:r w:rsidRPr="00644794">
        <w:t xml:space="preserve"> </w:t>
      </w:r>
      <w:bookmarkStart w:id="6" w:name="References"/>
      <w:r w:rsidRPr="00644794">
        <w:t>(N10-0004/2026 – C10-0020/2026 – 2026/0802(NLE))</w:t>
      </w:r>
      <w:bookmarkEnd w:id="6"/>
    </w:p>
    <w:p w14:paraId="098B8370" w14:textId="77777777" w:rsidR="006654BF" w:rsidRPr="00644794" w:rsidRDefault="006654BF" w:rsidP="006654BF">
      <w:pPr>
        <w:pStyle w:val="NormalBold"/>
      </w:pPr>
      <w:r w:rsidRPr="00644794">
        <w:t>(Goedkeuring)</w:t>
      </w:r>
    </w:p>
    <w:p w14:paraId="483E1AA8" w14:textId="77777777" w:rsidR="006654BF" w:rsidRPr="00644794" w:rsidRDefault="006654BF" w:rsidP="006654BF">
      <w:pPr>
        <w:pStyle w:val="EPComma"/>
      </w:pPr>
      <w:r w:rsidRPr="00644794">
        <w:rPr>
          <w:i/>
        </w:rPr>
        <w:t>Het Europees Parlement</w:t>
      </w:r>
      <w:r w:rsidRPr="00644794">
        <w:t>,</w:t>
      </w:r>
    </w:p>
    <w:p w14:paraId="11917700" w14:textId="6CD498F7" w:rsidR="006654BF" w:rsidRPr="00644794" w:rsidRDefault="006654BF" w:rsidP="006654BF">
      <w:pPr>
        <w:pStyle w:val="NormalHanging12a"/>
      </w:pPr>
      <w:r w:rsidRPr="00644794">
        <w:t>–</w:t>
      </w:r>
      <w:r w:rsidRPr="00644794">
        <w:tab/>
        <w:t>gezien de door de raad van toezichthouders van de Europese Bankautoriteit opgestelde shortlist van geschikte kandidaten voor de functie van voorzitter</w:t>
      </w:r>
      <w:r w:rsidR="00594D9C" w:rsidRPr="00644794">
        <w:t xml:space="preserve"> van de Europese Bankautoriteit</w:t>
      </w:r>
      <w:r w:rsidRPr="00644794">
        <w:t>,</w:t>
      </w:r>
    </w:p>
    <w:p w14:paraId="148EF7EB" w14:textId="77777777" w:rsidR="006654BF" w:rsidRPr="00644794" w:rsidRDefault="006654BF" w:rsidP="006654BF">
      <w:pPr>
        <w:pStyle w:val="NormalHanging12a"/>
      </w:pPr>
      <w:r w:rsidRPr="00644794">
        <w:t>–</w:t>
      </w:r>
      <w:r w:rsidRPr="00644794">
        <w:tab/>
        <w:t>gezien de brief van de Raad van 4 februari 2026 waarin wordt voorgesteld François-Louis Michaud te benoemen tot voorzitter van de Europese Bankautoriteit (C10</w:t>
      </w:r>
      <w:r w:rsidRPr="00644794">
        <w:noBreakHyphen/>
        <w:t>0020/2026),</w:t>
      </w:r>
    </w:p>
    <w:p w14:paraId="4BC9BFB2" w14:textId="4D9DD57B" w:rsidR="006654BF" w:rsidRPr="00644794" w:rsidRDefault="006654BF" w:rsidP="006654BF">
      <w:pPr>
        <w:pStyle w:val="NormalHanging12a"/>
      </w:pPr>
      <w:r w:rsidRPr="00644794">
        <w:t>–</w:t>
      </w:r>
      <w:r w:rsidRPr="00644794">
        <w:tab/>
        <w:t>gezien artikel 48, leden 2 en 3, van Verordening (EU) nr. 1093/2010 van het Europees Parlement en de Raad van 24 november 2010 tot oprichting van een Europese toezichthoudende autoriteit (Europese Bankautoriteit), tot wijziging van Besluit nr. 716/2009/EG en tot intrekking van Besluit 2009/7</w:t>
      </w:r>
      <w:r w:rsidR="002C4902" w:rsidRPr="00644794">
        <w:t>8</w:t>
      </w:r>
      <w:r w:rsidRPr="00644794">
        <w:t>/EG van de Commissie</w:t>
      </w:r>
      <w:r w:rsidRPr="00644794">
        <w:rPr>
          <w:rStyle w:val="FootnoteReference"/>
        </w:rPr>
        <w:footnoteReference w:id="1"/>
      </w:r>
      <w:r w:rsidRPr="00644794">
        <w:t>,</w:t>
      </w:r>
    </w:p>
    <w:p w14:paraId="15CBFAE4" w14:textId="77777777" w:rsidR="006654BF" w:rsidRPr="00644794" w:rsidRDefault="006654BF" w:rsidP="006654BF">
      <w:pPr>
        <w:pStyle w:val="NormalHanging12a"/>
      </w:pPr>
      <w:r w:rsidRPr="00644794">
        <w:t>–</w:t>
      </w:r>
      <w:r w:rsidRPr="00644794">
        <w:tab/>
        <w:t>gezien zijn resolutie van 14 maart 2019 over genderevenwicht bij benoemingen in de EU op het gebied van economische en monetaire zaken</w:t>
      </w:r>
      <w:r w:rsidRPr="00644794">
        <w:rPr>
          <w:vertAlign w:val="superscript"/>
        </w:rPr>
        <w:footnoteReference w:id="2"/>
      </w:r>
      <w:r w:rsidRPr="00644794">
        <w:t>,</w:t>
      </w:r>
    </w:p>
    <w:p w14:paraId="4D64AD88" w14:textId="77777777" w:rsidR="006654BF" w:rsidRPr="00644794" w:rsidRDefault="006654BF" w:rsidP="006654BF">
      <w:pPr>
        <w:pStyle w:val="NormalHanging12a"/>
      </w:pPr>
      <w:r w:rsidRPr="00644794">
        <w:t>–</w:t>
      </w:r>
      <w:r w:rsidRPr="00644794">
        <w:tab/>
        <w:t>gezien zijn resolutie van 16 januari 2020 over instellingen en organen in de economische en monetaire unie: belangenconflicten na uitdiensttreding bij de overheid voorkomen</w:t>
      </w:r>
      <w:r w:rsidRPr="00644794">
        <w:rPr>
          <w:vertAlign w:val="superscript"/>
        </w:rPr>
        <w:footnoteReference w:id="3"/>
      </w:r>
      <w:r w:rsidRPr="00644794">
        <w:t>,</w:t>
      </w:r>
    </w:p>
    <w:p w14:paraId="2A6216CB" w14:textId="77777777" w:rsidR="006654BF" w:rsidRPr="00644794" w:rsidRDefault="006654BF" w:rsidP="006654BF">
      <w:pPr>
        <w:pStyle w:val="NormalHanging12a"/>
      </w:pPr>
      <w:r w:rsidRPr="00644794">
        <w:t>–</w:t>
      </w:r>
      <w:r w:rsidRPr="00644794">
        <w:tab/>
        <w:t>gezien artikel 135 van zijn Reglement,</w:t>
      </w:r>
    </w:p>
    <w:p w14:paraId="1011422A" w14:textId="77777777" w:rsidR="006654BF" w:rsidRPr="00644794" w:rsidRDefault="006654BF" w:rsidP="006654BF">
      <w:pPr>
        <w:pStyle w:val="NormalHanging12a"/>
      </w:pPr>
      <w:r w:rsidRPr="00644794">
        <w:t>–</w:t>
      </w:r>
      <w:r w:rsidRPr="00644794">
        <w:tab/>
        <w:t xml:space="preserve">gezien het verslag van de Commissie economische en monetaire zaken </w:t>
      </w:r>
      <w:r w:rsidRPr="00644794">
        <w:lastRenderedPageBreak/>
        <w:t>(A10</w:t>
      </w:r>
      <w:r w:rsidRPr="00644794">
        <w:noBreakHyphen/>
        <w:t>0032/2026),</w:t>
      </w:r>
    </w:p>
    <w:p w14:paraId="012405A0" w14:textId="77777777" w:rsidR="006654BF" w:rsidRPr="00644794" w:rsidRDefault="006654BF" w:rsidP="006654BF">
      <w:pPr>
        <w:pStyle w:val="NormalHanging12a"/>
      </w:pPr>
      <w:r w:rsidRPr="00644794">
        <w:t>A.</w:t>
      </w:r>
      <w:r w:rsidRPr="00644794">
        <w:tab/>
        <w:t>overwegende dat de huidige voorzitter van de Europese Bankautoriteit op 31 januari 2026 is afgetreden;</w:t>
      </w:r>
    </w:p>
    <w:p w14:paraId="5DF87FB9" w14:textId="77777777" w:rsidR="006654BF" w:rsidRPr="00644794" w:rsidRDefault="006654BF" w:rsidP="006654BF">
      <w:pPr>
        <w:pStyle w:val="NormalHanging12a"/>
      </w:pPr>
      <w:r w:rsidRPr="00644794">
        <w:t>B.</w:t>
      </w:r>
      <w:r w:rsidRPr="00644794">
        <w:tab/>
        <w:t>overwegende dat in artikel 48, lid 2, van Verordening (EU) nr. 1093/2010 is bepaald dat de voorzitter van de Europese Bankautoriteit, na een open selectieprocedure die conform is met het beginsel van genderevenwicht, wordt geselecteerd op basis van verdienste, bekwaamheid, kennis van financiële instellingen en financiële markten, en relevante ervaring met betrekking tot financieel toezicht en financiële regulering;</w:t>
      </w:r>
    </w:p>
    <w:p w14:paraId="2148C9AE" w14:textId="77777777" w:rsidR="006654BF" w:rsidRPr="00644794" w:rsidRDefault="006654BF" w:rsidP="006654BF">
      <w:pPr>
        <w:pStyle w:val="NormalHanging12a"/>
        <w:widowControl/>
      </w:pPr>
      <w:r w:rsidRPr="00644794">
        <w:t>C.</w:t>
      </w:r>
      <w:r w:rsidRPr="00644794">
        <w:tab/>
        <w:t>overwegende dat de Raad op 4 februari 2026 heeft voorgesteld om, na bevestiging door het Parlement, François-Louis Michaud te benoemen tot voorzitter van de Europese Bankautoriteit voor een mandaat van vijf jaar, overeenkomstig artikel 48, leden 2 en 3, van Verordening (EU) nr. 1093/2010;</w:t>
      </w:r>
    </w:p>
    <w:p w14:paraId="006DE59E" w14:textId="77777777" w:rsidR="006654BF" w:rsidRPr="00644794" w:rsidRDefault="006654BF" w:rsidP="006654BF">
      <w:pPr>
        <w:pStyle w:val="NormalHanging12a"/>
      </w:pPr>
      <w:r w:rsidRPr="00644794">
        <w:t>D.</w:t>
      </w:r>
      <w:r w:rsidRPr="00644794">
        <w:tab/>
        <w:t>overwegende dat de Commissie economische en monetaire zaken op 25 februari 2026 een hoorzitting heeft gehouden met François-Louis Michaud, die hierbij een openingsverklaring heeft afgelegd en vervolgens vragen van de commissieleden heeft beantwoord;</w:t>
      </w:r>
    </w:p>
    <w:p w14:paraId="130E83DE" w14:textId="77777777" w:rsidR="006654BF" w:rsidRPr="00644794" w:rsidRDefault="006654BF" w:rsidP="006654BF">
      <w:pPr>
        <w:pStyle w:val="NormalHanging12a"/>
      </w:pPr>
      <w:r w:rsidRPr="00644794">
        <w:t>1.</w:t>
      </w:r>
      <w:r w:rsidRPr="00644794">
        <w:tab/>
        <w:t>hecht zijn goedkeuring aan de benoeming van François-Louis Michaud tot voorzitter van de Europese Bankautoriteit;</w:t>
      </w:r>
    </w:p>
    <w:p w14:paraId="2EE5883C" w14:textId="3559D8BF" w:rsidR="007D0819" w:rsidRPr="00644794" w:rsidRDefault="006654BF" w:rsidP="007D0819">
      <w:pPr>
        <w:pStyle w:val="NormalHanging12a"/>
      </w:pPr>
      <w:r w:rsidRPr="00644794">
        <w:t>2.</w:t>
      </w:r>
      <w:r w:rsidRPr="00644794">
        <w:tab/>
        <w:t>verzoekt zijn Voorzitter dit besluit te doen toekomen aan de Raad, de Commissie en de Europese Bankautoriteit, alsmede aan de regeringen van de lidstaten.</w:t>
      </w:r>
    </w:p>
    <w:p w14:paraId="1885FE15" w14:textId="1AA70CE6" w:rsidR="00E365E1" w:rsidRPr="00644794" w:rsidRDefault="00E365E1" w:rsidP="00776A23"/>
    <w:sectPr w:rsidR="00E365E1" w:rsidRPr="00644794" w:rsidSect="007D081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00BBD0" w14:textId="77777777" w:rsidR="00776A23" w:rsidRPr="007D0819" w:rsidRDefault="00776A23">
      <w:r w:rsidRPr="007D0819">
        <w:separator/>
      </w:r>
    </w:p>
  </w:endnote>
  <w:endnote w:type="continuationSeparator" w:id="0">
    <w:p w14:paraId="60709770" w14:textId="77777777" w:rsidR="00776A23" w:rsidRPr="007D0819" w:rsidRDefault="00776A23">
      <w:r w:rsidRPr="007D08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274B6" w14:textId="77777777" w:rsidR="00064002" w:rsidRPr="007D081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4A6AA" w14:textId="77777777" w:rsidR="00064002" w:rsidRPr="007D081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AADF2" w14:textId="77777777" w:rsidR="00064002" w:rsidRPr="007D081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006AFB" w14:textId="77777777" w:rsidR="00776A23" w:rsidRPr="007D0819" w:rsidRDefault="00776A23">
      <w:r w:rsidRPr="007D0819">
        <w:separator/>
      </w:r>
    </w:p>
  </w:footnote>
  <w:footnote w:type="continuationSeparator" w:id="0">
    <w:p w14:paraId="6AEA3520" w14:textId="77777777" w:rsidR="00776A23" w:rsidRPr="007D0819" w:rsidRDefault="00776A23">
      <w:r w:rsidRPr="007D0819">
        <w:continuationSeparator/>
      </w:r>
    </w:p>
  </w:footnote>
  <w:footnote w:id="1">
    <w:p w14:paraId="7FA5B2D2" w14:textId="39960882" w:rsidR="006654BF" w:rsidRPr="007D0819" w:rsidRDefault="006654BF" w:rsidP="007D0819">
      <w:pPr>
        <w:pStyle w:val="FootnoteText"/>
        <w:ind w:left="567" w:hanging="567"/>
        <w:rPr>
          <w:sz w:val="24"/>
          <w:lang w:val="nl-NL"/>
        </w:rPr>
      </w:pPr>
      <w:r w:rsidRPr="007D0819">
        <w:rPr>
          <w:rStyle w:val="FootnoteReference"/>
          <w:sz w:val="24"/>
          <w:lang w:val="nl-NL"/>
        </w:rPr>
        <w:footnoteRef/>
      </w:r>
      <w:r w:rsidR="007D0819" w:rsidRPr="007D0819">
        <w:rPr>
          <w:sz w:val="24"/>
          <w:lang w:val="nl-NL"/>
        </w:rPr>
        <w:t xml:space="preserve"> </w:t>
      </w:r>
      <w:r w:rsidR="007D0819" w:rsidRPr="007D0819">
        <w:rPr>
          <w:sz w:val="24"/>
          <w:lang w:val="nl-NL"/>
        </w:rPr>
        <w:tab/>
      </w:r>
      <w:r w:rsidRPr="007D0819">
        <w:rPr>
          <w:sz w:val="24"/>
          <w:lang w:val="nl-NL"/>
        </w:rPr>
        <w:t xml:space="preserve">PB L 331 van 15.12.2010, blz. 12, ELI: </w:t>
      </w:r>
      <w:hyperlink r:id="rId1" w:history="1">
        <w:r w:rsidRPr="007D0819">
          <w:rPr>
            <w:rStyle w:val="Hyperlink"/>
            <w:sz w:val="24"/>
            <w:lang w:val="nl-NL"/>
          </w:rPr>
          <w:t>http://data.europa.eu/eli/reg/2010/1093/oj</w:t>
        </w:r>
      </w:hyperlink>
      <w:r w:rsidRPr="007D0819">
        <w:rPr>
          <w:sz w:val="24"/>
          <w:lang w:val="nl-NL"/>
        </w:rPr>
        <w:t>.</w:t>
      </w:r>
    </w:p>
  </w:footnote>
  <w:footnote w:id="2">
    <w:p w14:paraId="12CA2917" w14:textId="34FB2888" w:rsidR="006654BF" w:rsidRPr="007D0819" w:rsidRDefault="006654BF" w:rsidP="007D0819">
      <w:pPr>
        <w:pStyle w:val="FootnoteText"/>
        <w:ind w:left="567" w:hanging="567"/>
        <w:rPr>
          <w:sz w:val="24"/>
          <w:lang w:val="nl-NL"/>
        </w:rPr>
      </w:pPr>
      <w:r w:rsidRPr="007D0819">
        <w:rPr>
          <w:rStyle w:val="FootnoteReference"/>
          <w:sz w:val="24"/>
          <w:lang w:val="nl-NL"/>
        </w:rPr>
        <w:footnoteRef/>
      </w:r>
      <w:r w:rsidR="007D0819" w:rsidRPr="007D0819">
        <w:rPr>
          <w:sz w:val="24"/>
          <w:lang w:val="nl-NL"/>
        </w:rPr>
        <w:t xml:space="preserve"> </w:t>
      </w:r>
      <w:r w:rsidR="007D0819" w:rsidRPr="007D0819">
        <w:rPr>
          <w:sz w:val="24"/>
          <w:lang w:val="nl-NL"/>
        </w:rPr>
        <w:tab/>
      </w:r>
      <w:r w:rsidRPr="007D0819">
        <w:rPr>
          <w:sz w:val="24"/>
          <w:lang w:val="nl-NL"/>
        </w:rPr>
        <w:t>PB C 23 van 21.1.2021, blz. 105.</w:t>
      </w:r>
    </w:p>
  </w:footnote>
  <w:footnote w:id="3">
    <w:p w14:paraId="70970223" w14:textId="76B8B63A" w:rsidR="006654BF" w:rsidRPr="007D0819" w:rsidRDefault="006654BF" w:rsidP="007D0819">
      <w:pPr>
        <w:pStyle w:val="FootnoteText"/>
        <w:ind w:left="567" w:hanging="567"/>
        <w:rPr>
          <w:sz w:val="24"/>
          <w:lang w:val="nl-NL"/>
        </w:rPr>
      </w:pPr>
      <w:r w:rsidRPr="007D0819">
        <w:rPr>
          <w:rStyle w:val="FootnoteReference"/>
          <w:sz w:val="24"/>
          <w:lang w:val="nl-NL"/>
        </w:rPr>
        <w:footnoteRef/>
      </w:r>
      <w:r w:rsidR="007D0819" w:rsidRPr="007D0819">
        <w:rPr>
          <w:sz w:val="24"/>
          <w:lang w:val="nl-NL"/>
        </w:rPr>
        <w:t xml:space="preserve"> </w:t>
      </w:r>
      <w:r w:rsidR="007D0819" w:rsidRPr="007D0819">
        <w:rPr>
          <w:sz w:val="24"/>
          <w:lang w:val="nl-NL"/>
        </w:rPr>
        <w:tab/>
      </w:r>
      <w:r w:rsidR="00434FFA">
        <w:rPr>
          <w:sz w:val="24"/>
          <w:lang w:val="nl-NL"/>
        </w:rPr>
        <w:t>PB</w:t>
      </w:r>
      <w:r w:rsidR="00434FFA" w:rsidRPr="00434FFA">
        <w:rPr>
          <w:sz w:val="24"/>
          <w:lang w:val="nl-NL"/>
        </w:rPr>
        <w:t xml:space="preserve"> C 270</w:t>
      </w:r>
      <w:r w:rsidR="00434FFA">
        <w:rPr>
          <w:sz w:val="24"/>
          <w:lang w:val="nl-NL"/>
        </w:rPr>
        <w:t xml:space="preserve"> van</w:t>
      </w:r>
      <w:r w:rsidR="00434FFA" w:rsidRPr="00434FFA">
        <w:rPr>
          <w:sz w:val="24"/>
          <w:lang w:val="nl-NL"/>
        </w:rPr>
        <w:t xml:space="preserve"> 7.7.2021, </w:t>
      </w:r>
      <w:r w:rsidR="00434FFA">
        <w:rPr>
          <w:sz w:val="24"/>
          <w:lang w:val="nl-NL"/>
        </w:rPr>
        <w:t>blz</w:t>
      </w:r>
      <w:r w:rsidR="00434FFA" w:rsidRPr="00434FFA">
        <w:rPr>
          <w:sz w:val="24"/>
          <w:lang w:val="nl-NL"/>
        </w:rPr>
        <w:t>. 113.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71130" w14:textId="77777777" w:rsidR="00064002" w:rsidRPr="007D081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B1E56" w14:textId="77777777" w:rsidR="00064002" w:rsidRPr="007D081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00C6F" w14:textId="77777777" w:rsidR="00064002" w:rsidRPr="007D081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68133066">
    <w:abstractNumId w:val="9"/>
  </w:num>
  <w:num w:numId="2" w16cid:durableId="1957911372">
    <w:abstractNumId w:val="9"/>
  </w:num>
  <w:num w:numId="3" w16cid:durableId="418841175">
    <w:abstractNumId w:val="7"/>
  </w:num>
  <w:num w:numId="4" w16cid:durableId="171337778">
    <w:abstractNumId w:val="7"/>
  </w:num>
  <w:num w:numId="5" w16cid:durableId="630669486">
    <w:abstractNumId w:val="6"/>
  </w:num>
  <w:num w:numId="6" w16cid:durableId="1271430935">
    <w:abstractNumId w:val="6"/>
  </w:num>
  <w:num w:numId="7" w16cid:durableId="163671345">
    <w:abstractNumId w:val="5"/>
  </w:num>
  <w:num w:numId="8" w16cid:durableId="477843625">
    <w:abstractNumId w:val="5"/>
  </w:num>
  <w:num w:numId="9" w16cid:durableId="1396124501">
    <w:abstractNumId w:val="4"/>
  </w:num>
  <w:num w:numId="10" w16cid:durableId="763527139">
    <w:abstractNumId w:val="4"/>
  </w:num>
  <w:num w:numId="11" w16cid:durableId="2001493689">
    <w:abstractNumId w:val="8"/>
  </w:num>
  <w:num w:numId="12" w16cid:durableId="2130660595">
    <w:abstractNumId w:val="8"/>
  </w:num>
  <w:num w:numId="13" w16cid:durableId="2014448640">
    <w:abstractNumId w:val="3"/>
  </w:num>
  <w:num w:numId="14" w16cid:durableId="563301788">
    <w:abstractNumId w:val="3"/>
  </w:num>
  <w:num w:numId="15" w16cid:durableId="1432161240">
    <w:abstractNumId w:val="2"/>
  </w:num>
  <w:num w:numId="16" w16cid:durableId="1947417859">
    <w:abstractNumId w:val="2"/>
  </w:num>
  <w:num w:numId="17" w16cid:durableId="993948624">
    <w:abstractNumId w:val="1"/>
  </w:num>
  <w:num w:numId="18" w16cid:durableId="1033574260">
    <w:abstractNumId w:val="1"/>
  </w:num>
  <w:num w:numId="19" w16cid:durableId="264847410">
    <w:abstractNumId w:val="0"/>
  </w:num>
  <w:num w:numId="20" w16cid:durableId="2039119557">
    <w:abstractNumId w:val="0"/>
  </w:num>
  <w:num w:numId="21" w16cid:durableId="1429740939">
    <w:abstractNumId w:val="9"/>
  </w:num>
  <w:num w:numId="22" w16cid:durableId="769398774">
    <w:abstractNumId w:val="7"/>
  </w:num>
  <w:num w:numId="23" w16cid:durableId="1042747168">
    <w:abstractNumId w:val="6"/>
  </w:num>
  <w:num w:numId="24" w16cid:durableId="1796946245">
    <w:abstractNumId w:val="5"/>
  </w:num>
  <w:num w:numId="25" w16cid:durableId="1185822669">
    <w:abstractNumId w:val="4"/>
  </w:num>
  <w:num w:numId="26" w16cid:durableId="2060787942">
    <w:abstractNumId w:val="8"/>
  </w:num>
  <w:num w:numId="27" w16cid:durableId="1909073669">
    <w:abstractNumId w:val="3"/>
  </w:num>
  <w:num w:numId="28" w16cid:durableId="1354258597">
    <w:abstractNumId w:val="2"/>
  </w:num>
  <w:num w:numId="29" w16cid:durableId="2070417798">
    <w:abstractNumId w:val="1"/>
  </w:num>
  <w:num w:numId="30" w16cid:durableId="1368408231">
    <w:abstractNumId w:val="0"/>
  </w:num>
  <w:num w:numId="31" w16cid:durableId="1630435901">
    <w:abstractNumId w:val="9"/>
  </w:num>
  <w:num w:numId="32" w16cid:durableId="2027635329">
    <w:abstractNumId w:val="7"/>
  </w:num>
  <w:num w:numId="33" w16cid:durableId="1219631363">
    <w:abstractNumId w:val="6"/>
  </w:num>
  <w:num w:numId="34" w16cid:durableId="1562327528">
    <w:abstractNumId w:val="5"/>
  </w:num>
  <w:num w:numId="35" w16cid:durableId="1111631234">
    <w:abstractNumId w:val="4"/>
  </w:num>
  <w:num w:numId="36" w16cid:durableId="102652146">
    <w:abstractNumId w:val="8"/>
  </w:num>
  <w:num w:numId="37" w16cid:durableId="2097625623">
    <w:abstractNumId w:val="3"/>
  </w:num>
  <w:num w:numId="38" w16cid:durableId="2030179791">
    <w:abstractNumId w:val="2"/>
  </w:num>
  <w:num w:numId="39" w16cid:durableId="2040815698">
    <w:abstractNumId w:val="1"/>
  </w:num>
  <w:num w:numId="40" w16cid:durableId="1304198029">
    <w:abstractNumId w:val="0"/>
  </w:num>
  <w:num w:numId="41" w16cid:durableId="2123649977">
    <w:abstractNumId w:val="10"/>
  </w:num>
  <w:num w:numId="42" w16cid:durableId="1078018282">
    <w:abstractNumId w:val="10"/>
  </w:num>
  <w:num w:numId="43" w16cid:durableId="2048408842">
    <w:abstractNumId w:val="10"/>
  </w:num>
  <w:num w:numId="44" w16cid:durableId="16981951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2/2026"/>
    <w:docVar w:name="dvlangue" w:val="NL"/>
    <w:docVar w:name="dvnumam" w:val="0"/>
    <w:docVar w:name="dvpe" w:val="784.336"/>
    <w:docVar w:name="dvrapporteur" w:val="Rapporteur: "/>
    <w:docVar w:name="dvtitre" w:val="Besluit van het Europees Parlement van xx maart 2026 over de voordracht voor de benoeming van de voorzitter van de Europese Bankautoriteit(N10-0004/2026 – C10-0020/2026 – 2026/0802(NLE))"/>
  </w:docVars>
  <w:rsids>
    <w:rsidRoot w:val="00776A23"/>
    <w:rsid w:val="00002272"/>
    <w:rsid w:val="00064002"/>
    <w:rsid w:val="000677B9"/>
    <w:rsid w:val="000831BA"/>
    <w:rsid w:val="000A42CC"/>
    <w:rsid w:val="000E7DD9"/>
    <w:rsid w:val="0010095E"/>
    <w:rsid w:val="00125B37"/>
    <w:rsid w:val="00187494"/>
    <w:rsid w:val="001F32AE"/>
    <w:rsid w:val="002767FF"/>
    <w:rsid w:val="002B18FE"/>
    <w:rsid w:val="002B5493"/>
    <w:rsid w:val="002C4902"/>
    <w:rsid w:val="0031429B"/>
    <w:rsid w:val="00343214"/>
    <w:rsid w:val="00361C00"/>
    <w:rsid w:val="00395FA1"/>
    <w:rsid w:val="003E15D4"/>
    <w:rsid w:val="00411CCE"/>
    <w:rsid w:val="0041666E"/>
    <w:rsid w:val="00421060"/>
    <w:rsid w:val="00434FFA"/>
    <w:rsid w:val="00471C19"/>
    <w:rsid w:val="004867E3"/>
    <w:rsid w:val="00494A28"/>
    <w:rsid w:val="004C0004"/>
    <w:rsid w:val="004C5D52"/>
    <w:rsid w:val="0050519A"/>
    <w:rsid w:val="005072A1"/>
    <w:rsid w:val="00514517"/>
    <w:rsid w:val="00545827"/>
    <w:rsid w:val="00554E61"/>
    <w:rsid w:val="00560270"/>
    <w:rsid w:val="00594D9C"/>
    <w:rsid w:val="005A0ABF"/>
    <w:rsid w:val="005C2568"/>
    <w:rsid w:val="005F1B17"/>
    <w:rsid w:val="006037C0"/>
    <w:rsid w:val="00644794"/>
    <w:rsid w:val="006631B6"/>
    <w:rsid w:val="006654BF"/>
    <w:rsid w:val="00680577"/>
    <w:rsid w:val="006F74FA"/>
    <w:rsid w:val="00731ADD"/>
    <w:rsid w:val="00734777"/>
    <w:rsid w:val="00747932"/>
    <w:rsid w:val="00751A4A"/>
    <w:rsid w:val="00756632"/>
    <w:rsid w:val="00762C74"/>
    <w:rsid w:val="00776A23"/>
    <w:rsid w:val="00786EC0"/>
    <w:rsid w:val="007D0819"/>
    <w:rsid w:val="007D1690"/>
    <w:rsid w:val="007E22AD"/>
    <w:rsid w:val="00812758"/>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FE35E6"/>
  <w15:chartTrackingRefBased/>
  <w15:docId w15:val="{3123DBC1-B3D6-4CD9-8FA4-D4F6D61BC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654BF"/>
    <w:pPr>
      <w:spacing w:before="480" w:after="240"/>
    </w:pPr>
  </w:style>
  <w:style w:type="paragraph" w:customStyle="1" w:styleId="NormalBold">
    <w:name w:val="NormalBold"/>
    <w:basedOn w:val="Normal"/>
    <w:rsid w:val="006654BF"/>
    <w:rPr>
      <w:b/>
    </w:rPr>
  </w:style>
  <w:style w:type="paragraph" w:customStyle="1" w:styleId="NormalHanging12a">
    <w:name w:val="NormalHanging12a"/>
    <w:basedOn w:val="Normal"/>
    <w:rsid w:val="006654BF"/>
    <w:pPr>
      <w:spacing w:after="240"/>
      <w:ind w:left="567" w:hanging="567"/>
    </w:pPr>
  </w:style>
  <w:style w:type="character" w:styleId="Hyperlink">
    <w:name w:val="Hyperlink"/>
    <w:uiPriority w:val="99"/>
    <w:rsid w:val="006654BF"/>
    <w:rPr>
      <w:color w:val="0000FF"/>
      <w:u w:val="single"/>
    </w:rPr>
  </w:style>
  <w:style w:type="paragraph" w:styleId="Revision">
    <w:name w:val="Revision"/>
    <w:hidden/>
    <w:uiPriority w:val="99"/>
    <w:semiHidden/>
    <w:rsid w:val="002C4902"/>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0/10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400</Words>
  <Characters>2549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Filiep SLOSSE</cp:lastModifiedBy>
  <cp:revision>2</cp:revision>
  <cp:lastPrinted>2004-11-19T15:42:00Z</cp:lastPrinted>
  <dcterms:created xsi:type="dcterms:W3CDTF">2026-03-10T12:52:00Z</dcterms:created>
  <dcterms:modified xsi:type="dcterms:W3CDTF">2026-03-10T12:52:00Z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A10-0032/2026</vt:lpwstr>
  </property>
  <property fmtid="{D5CDD505-2E9C-101B-9397-08002B2CF9AE}" pid="4" name="&lt;Type&gt;">
    <vt:lpwstr>RR</vt:lpwstr>
  </property>
</Properties>
</file>