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27F2" w14:paraId="01F656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C96A3E" w14:textId="77777777" w:rsidR="00751A4A" w:rsidRPr="002027F2" w:rsidRDefault="00026BE7" w:rsidP="0010095E">
            <w:pPr>
              <w:pStyle w:val="EPName"/>
            </w:pPr>
            <w:r w:rsidRPr="002027F2">
              <w:t>Parlament Ewropew</w:t>
            </w:r>
          </w:p>
          <w:p w14:paraId="09FD9BF3" w14:textId="77777777" w:rsidR="00751A4A" w:rsidRPr="002027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7F2">
              <w:t>2024</w:t>
            </w:r>
            <w:r w:rsidR="00817416" w:rsidRPr="002027F2">
              <w:t>-202</w:t>
            </w:r>
            <w:r w:rsidRPr="002027F2">
              <w:t>9</w:t>
            </w:r>
          </w:p>
        </w:tc>
        <w:tc>
          <w:tcPr>
            <w:tcW w:w="2268" w:type="dxa"/>
            <w:shd w:val="clear" w:color="auto" w:fill="auto"/>
          </w:tcPr>
          <w:p w14:paraId="6154816E" w14:textId="77777777" w:rsidR="00751A4A" w:rsidRPr="002027F2" w:rsidRDefault="00187494" w:rsidP="0010095E">
            <w:pPr>
              <w:pStyle w:val="EPLogo"/>
            </w:pPr>
            <w:r w:rsidRPr="002027F2">
              <w:rPr>
                <w:noProof/>
                <w:lang w:eastAsia="ja-JP"/>
              </w:rPr>
              <w:drawing>
                <wp:inline distT="0" distB="0" distL="0" distR="0" wp14:anchorId="76B1C610" wp14:editId="1D0850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51973B" w14:textId="77777777" w:rsidR="00D058B8" w:rsidRPr="002027F2" w:rsidRDefault="00D058B8" w:rsidP="004C5D52">
      <w:pPr>
        <w:pStyle w:val="LineTop"/>
      </w:pPr>
    </w:p>
    <w:p w14:paraId="6F239B55" w14:textId="77777777" w:rsidR="00680577" w:rsidRPr="002027F2" w:rsidRDefault="00026BE7" w:rsidP="00680577">
      <w:pPr>
        <w:pStyle w:val="EPBodyTA1"/>
      </w:pPr>
      <w:r w:rsidRPr="002027F2">
        <w:t>TESTI ADOTTATI</w:t>
      </w:r>
    </w:p>
    <w:p w14:paraId="440B081C" w14:textId="77777777" w:rsidR="00D058B8" w:rsidRPr="002027F2" w:rsidRDefault="00D058B8" w:rsidP="00D058B8">
      <w:pPr>
        <w:pStyle w:val="LineBottom"/>
      </w:pPr>
    </w:p>
    <w:p w14:paraId="7642FA4D" w14:textId="7AF95B40" w:rsidR="00026BE7" w:rsidRPr="002027F2" w:rsidRDefault="00026BE7" w:rsidP="00026BE7">
      <w:pPr>
        <w:pStyle w:val="ATHeading1"/>
      </w:pPr>
      <w:bookmarkStart w:id="0" w:name="TANumber"/>
      <w:r w:rsidRPr="002027F2">
        <w:t>P10_TA(2026)00</w:t>
      </w:r>
      <w:bookmarkEnd w:id="0"/>
      <w:r w:rsidR="00FE4121">
        <w:t>63</w:t>
      </w:r>
    </w:p>
    <w:p w14:paraId="02895DE7" w14:textId="4D51636A" w:rsidR="00026BE7" w:rsidRPr="002027F2" w:rsidRDefault="00E71C97" w:rsidP="00E71C97">
      <w:pPr>
        <w:pStyle w:val="ATHeading2"/>
      </w:pPr>
      <w:r>
        <w:t>L-idoneità regolatorja u s-sussidjarjetà u l-proporzjonalità tal-Unjoni Ewropea – rapport dwar it-Tfassil Aħjar tal-Liġijiet li jkopri l-2023 u l-2024</w:t>
      </w:r>
    </w:p>
    <w:p w14:paraId="6AE41931" w14:textId="77777777" w:rsidR="00026BE7" w:rsidRPr="002027F2" w:rsidRDefault="00026BE7" w:rsidP="00026BE7">
      <w:pPr>
        <w:rPr>
          <w:i/>
          <w:vanish/>
        </w:rPr>
      </w:pPr>
      <w:r w:rsidRPr="002027F2">
        <w:rPr>
          <w:i/>
        </w:rPr>
        <w:fldChar w:fldCharType="begin"/>
      </w:r>
      <w:r w:rsidRPr="002027F2">
        <w:rPr>
          <w:i/>
        </w:rPr>
        <w:instrText xml:space="preserve"> TC"(</w:instrText>
      </w:r>
      <w:bookmarkStart w:id="1" w:name="DocNumber"/>
      <w:r w:rsidRPr="002027F2">
        <w:rPr>
          <w:i/>
        </w:rPr>
        <w:instrText>A10-0020/2026</w:instrText>
      </w:r>
      <w:bookmarkEnd w:id="1"/>
      <w:r w:rsidRPr="002027F2">
        <w:rPr>
          <w:i/>
        </w:rPr>
        <w:instrText xml:space="preserve"> - Rapporteur: Jörgen Warborn)"\l3 \n&gt; \* MERGEFORMAT </w:instrText>
      </w:r>
      <w:r w:rsidRPr="002027F2">
        <w:rPr>
          <w:i/>
        </w:rPr>
        <w:fldChar w:fldCharType="end"/>
      </w:r>
    </w:p>
    <w:p w14:paraId="4BA7686F" w14:textId="77777777" w:rsidR="00026BE7" w:rsidRPr="002027F2" w:rsidRDefault="00026BE7" w:rsidP="00026BE7">
      <w:pPr>
        <w:rPr>
          <w:vanish/>
        </w:rPr>
      </w:pPr>
      <w:bookmarkStart w:id="2" w:name="Commission"/>
      <w:r w:rsidRPr="002027F2">
        <w:rPr>
          <w:vanish/>
        </w:rPr>
        <w:t>Kumitat għall-Affarijiet Legali</w:t>
      </w:r>
      <w:bookmarkEnd w:id="2"/>
    </w:p>
    <w:p w14:paraId="705E5000" w14:textId="77777777" w:rsidR="00026BE7" w:rsidRPr="002027F2" w:rsidRDefault="00026BE7" w:rsidP="00026BE7">
      <w:pPr>
        <w:rPr>
          <w:vanish/>
        </w:rPr>
      </w:pPr>
      <w:bookmarkStart w:id="3" w:name="PE"/>
      <w:r w:rsidRPr="002027F2">
        <w:rPr>
          <w:vanish/>
        </w:rPr>
        <w:t>PE776.862</w:t>
      </w:r>
      <w:bookmarkEnd w:id="3"/>
    </w:p>
    <w:p w14:paraId="6D2FFC7E" w14:textId="5E0940A5" w:rsidR="00026BE7" w:rsidRPr="002027F2" w:rsidRDefault="00026BE7" w:rsidP="00026BE7">
      <w:pPr>
        <w:pStyle w:val="ATHeading3"/>
      </w:pPr>
      <w:bookmarkStart w:id="4" w:name="Sujet"/>
      <w:r w:rsidRPr="00E71C97">
        <w:t>Riżoluzzjoni tal</w:t>
      </w:r>
      <w:r w:rsidRPr="002027F2">
        <w:t xml:space="preserve">-Parlament Ewropew </w:t>
      </w:r>
      <w:r w:rsidR="008648E8">
        <w:t>tal-10 ta’ Marzu</w:t>
      </w:r>
      <w:r w:rsidRPr="002027F2">
        <w:t xml:space="preserve"> 2026 dwar l-idoneità regolatorja u s-sussidjarjetà u l-proporzjonalità tal-Unjoni Ewropea – rapport dwar it-Tfassil Aħjar tal-Liġijiet li jkopri l-2023 u l-2024</w:t>
      </w:r>
      <w:bookmarkEnd w:id="4"/>
      <w:r w:rsidRPr="002027F2">
        <w:t xml:space="preserve"> </w:t>
      </w:r>
      <w:bookmarkStart w:id="5" w:name="References"/>
      <w:r w:rsidRPr="002027F2">
        <w:t>(2025/2015(INI))</w:t>
      </w:r>
      <w:bookmarkEnd w:id="5"/>
    </w:p>
    <w:p w14:paraId="64F66E93" w14:textId="77777777" w:rsidR="00026BE7" w:rsidRPr="002027F2" w:rsidRDefault="00026BE7" w:rsidP="00026BE7"/>
    <w:p w14:paraId="49DB5861" w14:textId="77777777" w:rsidR="00D11C70" w:rsidRPr="002027F2" w:rsidRDefault="00D11C70" w:rsidP="00D11C70">
      <w:pPr>
        <w:pStyle w:val="Normal12"/>
      </w:pPr>
      <w:bookmarkStart w:id="6" w:name="TextBodyBegin"/>
      <w:bookmarkEnd w:id="6"/>
      <w:r w:rsidRPr="002027F2">
        <w:t>Il-Parlament Ewropew,</w:t>
      </w:r>
    </w:p>
    <w:p w14:paraId="7EDA4C76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l-Artikolu 5 tat-Trattat dwar l-Unjoni Ewropea (TUE), b’mod partikolari l-prinċipji tas-sussidjarjetà u tal-proporzjonalità minquxa fih,</w:t>
      </w:r>
    </w:p>
    <w:p w14:paraId="17B45929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l-Protokoll Nru 1 tat-TUE u tat-Trattat dwar il-Funzjonament tal-Unjoni Ewropea dwar ir-rwol tal-parlamenti nazzjonali fl-Unjoni Ewropea</w:t>
      </w:r>
      <w:r w:rsidRPr="002027F2">
        <w:rPr>
          <w:rStyle w:val="FootnoteReference"/>
        </w:rPr>
        <w:footnoteReference w:customMarkFollows="1" w:id="1"/>
        <w:t>1</w:t>
      </w:r>
      <w:r w:rsidRPr="002027F2">
        <w:t>,</w:t>
      </w:r>
    </w:p>
    <w:p w14:paraId="7CCD2AF8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l-Protokoll Nru 2 tat-TUE u tat-TFUE dwar l-applikazzjoni tal-prinċipji ta’ sussidjarjetà u proporzjonalità</w:t>
      </w:r>
      <w:r w:rsidRPr="002027F2">
        <w:rPr>
          <w:rStyle w:val="FootnoteReference"/>
        </w:rPr>
        <w:footnoteReference w:customMarkFollows="1" w:id="2"/>
        <w:t>2</w:t>
      </w:r>
      <w:r w:rsidRPr="002027F2">
        <w:t>,</w:t>
      </w:r>
    </w:p>
    <w:p w14:paraId="65F66B52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l-Ftehim Interistituzzjonali bejn il-Parlament Ewropew, il-Kunsill tal-Unjoni Ewropea u l-Kummissjoni Ewropea tat-13 ta’ April 2016 dwar it-Tfassil Aħjar tal-Liġijiet</w:t>
      </w:r>
      <w:r w:rsidRPr="002027F2">
        <w:rPr>
          <w:rStyle w:val="FootnoteReference"/>
        </w:rPr>
        <w:footnoteReference w:customMarkFollows="1" w:id="3"/>
        <w:t>3</w:t>
      </w:r>
      <w:r w:rsidRPr="002027F2">
        <w:t>,</w:t>
      </w:r>
    </w:p>
    <w:p w14:paraId="3980131D" w14:textId="5E56A730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r-rapport annwali 2023 tal-Kummissjoni tal-25 ta’ Ottubru 2024 dwar l-applikazzjoni tal-prinċipji tas-sussidjarjetà u tal-proporzjonalità u dwar ir-relazzjonijiet mal-parlamenti nazzjonali (</w:t>
      </w:r>
      <w:r w:rsidRPr="00E71C97">
        <w:t>COM(2024)0493</w:t>
      </w:r>
      <w:r w:rsidRPr="002027F2">
        <w:t>),</w:t>
      </w:r>
    </w:p>
    <w:p w14:paraId="016A0FB6" w14:textId="0FC5AE6D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r-rapport annwali 2024 tal-Kummissjoni tat-8 ta’ Settembru 2025 dwar l-applikazzjoni tal-prinċipji tas-sussidjarjetà u tal-proporzjonalità u dwar ir-relazzjonijiet mal-parlamenti nazzjonali (</w:t>
      </w:r>
      <w:r w:rsidRPr="00E71C97">
        <w:t>COM(2025)0473</w:t>
      </w:r>
      <w:r w:rsidRPr="002027F2">
        <w:t>),</w:t>
      </w:r>
    </w:p>
    <w:p w14:paraId="5CE97A3A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r-riżoluzzjoni tiegħu tal-24 ta’ Ġunju 2021 dwar l-idoneità regolatorja tal-Unjoni Ewropea u s-sussidjarjetà u l-proporzjonalità – rapport dwar it-Tfassil Aħjar tal-Liġijiet li jkopri s-snin 2017, 2018 u 2019</w:t>
      </w:r>
      <w:r w:rsidRPr="002027F2">
        <w:rPr>
          <w:rStyle w:val="FootnoteReference"/>
        </w:rPr>
        <w:footnoteReference w:customMarkFollows="1" w:id="4"/>
        <w:t>4</w:t>
      </w:r>
      <w:r w:rsidRPr="002027F2">
        <w:t>,</w:t>
      </w:r>
    </w:p>
    <w:p w14:paraId="0402FD5C" w14:textId="77777777" w:rsidR="00D11C70" w:rsidRPr="002027F2" w:rsidRDefault="00D11C70" w:rsidP="00D11C70">
      <w:pPr>
        <w:pStyle w:val="NormalHanging"/>
      </w:pPr>
      <w:r w:rsidRPr="002027F2">
        <w:lastRenderedPageBreak/>
        <w:t>–</w:t>
      </w:r>
      <w:r w:rsidRPr="002027F2">
        <w:tab/>
        <w:t>wara li kkunsidra r-riżoluzzjoni tiegħu tat-23 ta’ Novembru 2023 dwar l-idoneità regolatorja tal-Unjoni Ewropea u s-sussidjarjetà u l-proporzjonalità – rapport dwar it-Tfassil Aħjar tal-Liġijiet li jkopri s-snin 2020, 2021 u 2022</w:t>
      </w:r>
      <w:r w:rsidRPr="002027F2">
        <w:rPr>
          <w:rStyle w:val="FootnoteReference"/>
        </w:rPr>
        <w:footnoteReference w:customMarkFollows="1" w:id="5"/>
        <w:t>5</w:t>
      </w:r>
      <w:r w:rsidRPr="002027F2">
        <w:t>,</w:t>
      </w:r>
    </w:p>
    <w:p w14:paraId="01BE5BC9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r-riżoluzzjoni tiegħu tas-17 ta’ Jannar 2024 dwar l-implimentazzjoni tad-dispożizzjonijiet tat-Trattat dwar il-parlamenti nazzjonali</w:t>
      </w:r>
      <w:r w:rsidRPr="002027F2">
        <w:rPr>
          <w:rStyle w:val="FootnoteReference"/>
        </w:rPr>
        <w:footnoteReference w:customMarkFollows="1" w:id="6"/>
        <w:t>6</w:t>
      </w:r>
      <w:r w:rsidRPr="002027F2">
        <w:t>,</w:t>
      </w:r>
    </w:p>
    <w:p w14:paraId="7ED3EBAF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l-komunikazzjoni tal-Kummissjoni tad-29 ta’ April 2021 bit-titolu “Regolazzjoni aħjar: Ningħaqdu flimkien biex nagħmlu liġijiet aħjar” (COM(2021)0219),</w:t>
      </w:r>
    </w:p>
    <w:p w14:paraId="2305853A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r-riżoluzzjoni tiegħu tas-7 ta’ Lulju 2022 bit-titolu “Regolamentazzjoni aħjar: Ningħaqdu flimkien biex nagħmlu liġijiet aħjar”</w:t>
      </w:r>
      <w:r w:rsidRPr="002027F2">
        <w:rPr>
          <w:rStyle w:val="FootnoteReference"/>
        </w:rPr>
        <w:footnoteReference w:customMarkFollows="1" w:id="7"/>
        <w:t>7</w:t>
      </w:r>
      <w:r w:rsidRPr="002027F2">
        <w:t>,</w:t>
      </w:r>
    </w:p>
    <w:p w14:paraId="25D4B4CC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l-istudju bit-titolu “</w:t>
      </w:r>
      <w:proofErr w:type="spellStart"/>
      <w:r w:rsidRPr="002027F2">
        <w:t>The</w:t>
      </w:r>
      <w:proofErr w:type="spellEnd"/>
      <w:r w:rsidRPr="002027F2">
        <w:t xml:space="preserve"> “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in</w:t>
      </w:r>
      <w:proofErr w:type="spellEnd"/>
      <w:r w:rsidRPr="002027F2">
        <w:t xml:space="preserve">, 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out</w:t>
      </w:r>
      <w:proofErr w:type="spellEnd"/>
      <w:r w:rsidRPr="002027F2">
        <w:t xml:space="preserve">” </w:t>
      </w:r>
      <w:proofErr w:type="spellStart"/>
      <w:r w:rsidRPr="002027F2">
        <w:t>principle</w:t>
      </w:r>
      <w:proofErr w:type="spellEnd"/>
      <w:r w:rsidRPr="002027F2">
        <w:t>” (Il-prinċipju ta’ “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in</w:t>
      </w:r>
      <w:proofErr w:type="spellEnd"/>
      <w:r w:rsidRPr="002027F2">
        <w:t xml:space="preserve">, 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out</w:t>
      </w:r>
      <w:proofErr w:type="spellEnd"/>
      <w:r w:rsidRPr="002027F2">
        <w:t>”), ippubblikat mid-Dipartiment Tematiku tiegħu għad-Drittijiet taċ-Ċittadini u l-Affarijiet Kostituzzjonali f’Ottubru 2023,</w:t>
      </w:r>
    </w:p>
    <w:p w14:paraId="6C28CED2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l-komunikazzjonijiet preċedenti kollha tal-Kummissjoni dwar il-ħtieġa ta’ regolamentazzjoni aħjar sabiex jinkisbu riżultati aħjar għall-benefiċċju taċ-ċittadini tal-UE,</w:t>
      </w:r>
    </w:p>
    <w:p w14:paraId="749350E3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 xml:space="preserve">wara li kkunsidra r-rapport ta’ Mario </w:t>
      </w:r>
      <w:proofErr w:type="spellStart"/>
      <w:r w:rsidRPr="002027F2">
        <w:t>Draghi</w:t>
      </w:r>
      <w:proofErr w:type="spellEnd"/>
      <w:r w:rsidRPr="002027F2">
        <w:t xml:space="preserve"> tad-9 ta’ Settembru 2024 bit-titolu “</w:t>
      </w:r>
      <w:proofErr w:type="spellStart"/>
      <w:r w:rsidRPr="002027F2">
        <w:t>The</w:t>
      </w:r>
      <w:proofErr w:type="spellEnd"/>
      <w:r w:rsidRPr="002027F2">
        <w:t xml:space="preserve"> </w:t>
      </w:r>
      <w:proofErr w:type="spellStart"/>
      <w:r w:rsidRPr="002027F2">
        <w:t>future</w:t>
      </w:r>
      <w:proofErr w:type="spellEnd"/>
      <w:r w:rsidRPr="002027F2">
        <w:t xml:space="preserve"> of </w:t>
      </w:r>
      <w:proofErr w:type="spellStart"/>
      <w:r w:rsidRPr="002027F2">
        <w:t>European</w:t>
      </w:r>
      <w:proofErr w:type="spellEnd"/>
      <w:r w:rsidRPr="002027F2">
        <w:t xml:space="preserve"> </w:t>
      </w:r>
      <w:proofErr w:type="spellStart"/>
      <w:r w:rsidRPr="002027F2">
        <w:t>competitiveness</w:t>
      </w:r>
      <w:proofErr w:type="spellEnd"/>
      <w:r w:rsidRPr="002027F2">
        <w:t xml:space="preserve"> – A </w:t>
      </w:r>
      <w:proofErr w:type="spellStart"/>
      <w:r w:rsidRPr="002027F2">
        <w:t>competitiveness</w:t>
      </w:r>
      <w:proofErr w:type="spellEnd"/>
      <w:r w:rsidRPr="002027F2">
        <w:t xml:space="preserve"> </w:t>
      </w:r>
      <w:proofErr w:type="spellStart"/>
      <w:r w:rsidRPr="002027F2">
        <w:t>strategy</w:t>
      </w:r>
      <w:proofErr w:type="spellEnd"/>
      <w:r w:rsidRPr="002027F2">
        <w:t xml:space="preserve"> </w:t>
      </w:r>
      <w:proofErr w:type="spellStart"/>
      <w:r w:rsidRPr="002027F2">
        <w:t>for</w:t>
      </w:r>
      <w:proofErr w:type="spellEnd"/>
      <w:r w:rsidRPr="002027F2">
        <w:t xml:space="preserve"> </w:t>
      </w:r>
      <w:proofErr w:type="spellStart"/>
      <w:r w:rsidRPr="002027F2">
        <w:t>Europe</w:t>
      </w:r>
      <w:proofErr w:type="spellEnd"/>
      <w:r w:rsidRPr="002027F2">
        <w:t xml:space="preserve">” (Il-futur tal-kompetittività Ewropea – Strateġija għall-kompetittività għall-Ewropa) (ir-rapport </w:t>
      </w:r>
      <w:proofErr w:type="spellStart"/>
      <w:r w:rsidRPr="002027F2">
        <w:t>Draghi</w:t>
      </w:r>
      <w:proofErr w:type="spellEnd"/>
      <w:r w:rsidRPr="002027F2">
        <w:t>),</w:t>
      </w:r>
    </w:p>
    <w:p w14:paraId="52930562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 xml:space="preserve">wara li kkunsidra r-rapport ta’ Enrico </w:t>
      </w:r>
      <w:proofErr w:type="spellStart"/>
      <w:r w:rsidRPr="002027F2">
        <w:t>Letta</w:t>
      </w:r>
      <w:proofErr w:type="spellEnd"/>
      <w:r w:rsidRPr="002027F2">
        <w:t xml:space="preserve"> tas-17 ta’ April 2024 bit-titolu “</w:t>
      </w:r>
      <w:proofErr w:type="spellStart"/>
      <w:r w:rsidRPr="002027F2">
        <w:t>Much</w:t>
      </w:r>
      <w:proofErr w:type="spellEnd"/>
      <w:r w:rsidRPr="002027F2">
        <w:t xml:space="preserve"> </w:t>
      </w:r>
      <w:proofErr w:type="spellStart"/>
      <w:r w:rsidRPr="002027F2">
        <w:t>more</w:t>
      </w:r>
      <w:proofErr w:type="spellEnd"/>
      <w:r w:rsidRPr="002027F2">
        <w:t xml:space="preserve"> </w:t>
      </w:r>
      <w:proofErr w:type="spellStart"/>
      <w:r w:rsidRPr="002027F2">
        <w:t>than</w:t>
      </w:r>
      <w:proofErr w:type="spellEnd"/>
      <w:r w:rsidRPr="002027F2">
        <w:t xml:space="preserve"> a </w:t>
      </w:r>
      <w:proofErr w:type="spellStart"/>
      <w:r w:rsidRPr="002027F2">
        <w:t>market</w:t>
      </w:r>
      <w:proofErr w:type="spellEnd"/>
      <w:r w:rsidRPr="002027F2">
        <w:t xml:space="preserve">” (Ħafna aktar minn suq) (ir-rapport </w:t>
      </w:r>
      <w:proofErr w:type="spellStart"/>
      <w:r w:rsidRPr="002027F2">
        <w:t>Letta</w:t>
      </w:r>
      <w:proofErr w:type="spellEnd"/>
      <w:r w:rsidRPr="002027F2">
        <w:t>),</w:t>
      </w:r>
    </w:p>
    <w:p w14:paraId="6D42503F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l-Artikolu 55 tar-Regoli ta’ Proċedura tiegħu,</w:t>
      </w:r>
    </w:p>
    <w:p w14:paraId="240D8450" w14:textId="77777777" w:rsidR="00D11C70" w:rsidRPr="002027F2" w:rsidRDefault="00D11C70" w:rsidP="00D11C70">
      <w:pPr>
        <w:pStyle w:val="NormalHanging"/>
      </w:pPr>
      <w:r w:rsidRPr="002027F2">
        <w:t>–</w:t>
      </w:r>
      <w:r w:rsidRPr="002027F2">
        <w:tab/>
        <w:t>wara li kkunsidra r-rapport tal-Kumitat għall-Affarijiet Legali (A10-0020/2026),</w:t>
      </w:r>
    </w:p>
    <w:p w14:paraId="3599BB9E" w14:textId="77777777" w:rsidR="00D11C70" w:rsidRPr="002027F2" w:rsidRDefault="00D11C70" w:rsidP="00D11C70">
      <w:pPr>
        <w:pStyle w:val="NormalHanging"/>
      </w:pPr>
      <w:r w:rsidRPr="002027F2">
        <w:t>A.</w:t>
      </w:r>
      <w:r w:rsidRPr="002027F2">
        <w:tab/>
        <w:t>billi, b’konformità mal-Artikolu 5 tat-TUE, il-limiti tal-kompetenzi tal-UE huma regolati mill-prinċipju tal-għoti tal-kompetenzi; billi, l-eżerċizzju ta’ dawn il-kompetenzi huwa regolat mill-prinċipji tas-sussidjarjetà u tal-proporzjonalità; billi, skont il-prinċipju tal-għoti tal-kompetenzi, l-UE għandha taġixxi biss fil-limiti tal-kompetenzi mogħtija lilha mill-Istati Membri fit-Trattati sabiex tilħaq l-objettivi stabbiliti minn dawn it-Trattati; billi l-kompetenzi li ma jingħatawx lill-UE fit-Trattati jibqgħu għand l-Istati Membri;</w:t>
      </w:r>
    </w:p>
    <w:p w14:paraId="65BF6BF8" w14:textId="77777777" w:rsidR="00D11C70" w:rsidRPr="002027F2" w:rsidRDefault="00D11C70" w:rsidP="00D11C70">
      <w:pPr>
        <w:pStyle w:val="NormalHanging"/>
      </w:pPr>
      <w:r w:rsidRPr="002027F2">
        <w:t>B.</w:t>
      </w:r>
      <w:r w:rsidRPr="002027F2">
        <w:tab/>
        <w:t xml:space="preserve">billi l-leġiżlazzjoni tal-UE għandha tkun adattata għall-iskop tagħha, proporzjonata, ċara u komprensiva sabiex iċ-ċittadini u l-partijiet ikkonċernati jibbenefikaw b’mod effettiv minnha; billi regolamentazzjoni aħjar tgħin biex jiġi żgurat li l-politiki u l-leġiżlazzjoni tal-UE jkunu mmirati lejn il-futur, filwaqt li jqisu l-pass aktar mgħaġġel tal-iżviluppi teknoloġiċi, </w:t>
      </w:r>
      <w:proofErr w:type="spellStart"/>
      <w:r w:rsidRPr="002027F2">
        <w:t>soċjetali</w:t>
      </w:r>
      <w:proofErr w:type="spellEnd"/>
      <w:r w:rsidRPr="002027F2">
        <w:t xml:space="preserve"> u ambjentali; billi, għalhekk, se jkun dejjem aktar importanti li l-proposti regolatorji jiġu </w:t>
      </w:r>
      <w:proofErr w:type="spellStart"/>
      <w:r w:rsidRPr="002027F2">
        <w:t>appoġġjati</w:t>
      </w:r>
      <w:proofErr w:type="spellEnd"/>
      <w:r w:rsidRPr="002027F2">
        <w:t xml:space="preserve"> b’valutazzjonijiet ibbażati fuq l-evidenza; billi t-</w:t>
      </w:r>
      <w:r w:rsidRPr="002027F2">
        <w:lastRenderedPageBreak/>
        <w:t>tfassil tal-liġijiet ta’ kwalità għandu jagħti riżultati għal kulħadd bħala investiment fit-tul fil-prosperità kondiviża tas-soċjetajiet tagħna u l-futur tagħna;</w:t>
      </w:r>
    </w:p>
    <w:p w14:paraId="7B9E058C" w14:textId="77777777" w:rsidR="00D11C70" w:rsidRPr="002027F2" w:rsidRDefault="00D11C70" w:rsidP="00D11C70">
      <w:pPr>
        <w:pStyle w:val="NormalHanging"/>
      </w:pPr>
      <w:r w:rsidRPr="002027F2">
        <w:t>C.</w:t>
      </w:r>
      <w:r w:rsidRPr="002027F2">
        <w:tab/>
        <w:t>billi t-tfassil tal-liġijiet tal-UE huwa xprunat mill-valuri u r-rekwiżiti tar-rispett għad-dinjità tal-bniedem, il-libertà, id-demokrazija, l-ugwaljanza, l-istat tad-dritt u r-rispett għad-drittijiet tal-bniedem, kif minqux fl-Artikolu 2 tat-TUE; billi l-istat tad-dritt jiżgura li l-azzjoni kollha tal-Unjoni, inklużi l-proċessi leġiżlattivi u regolatorji, tkun ibbażata fuq il-</w:t>
      </w:r>
      <w:proofErr w:type="spellStart"/>
      <w:r w:rsidRPr="002027F2">
        <w:t>legalità</w:t>
      </w:r>
      <w:proofErr w:type="spellEnd"/>
      <w:r w:rsidRPr="002027F2">
        <w:t>, it-trasparenza u r-rieżami ġudizzjarju effettiv;</w:t>
      </w:r>
    </w:p>
    <w:p w14:paraId="7847C0BF" w14:textId="77777777" w:rsidR="00D11C70" w:rsidRPr="002027F2" w:rsidRDefault="00D11C70" w:rsidP="00D11C70">
      <w:pPr>
        <w:pStyle w:val="NormalHanging"/>
      </w:pPr>
      <w:r w:rsidRPr="002027F2">
        <w:t>D.</w:t>
      </w:r>
      <w:r w:rsidRPr="002027F2">
        <w:tab/>
        <w:t xml:space="preserve">billi t-tfassil aħjar tal-liġijiet huwa għan komuni għall-istituzzjonijiet kollha tal-UE u huwa responsabbiltà kondiviża bejn l-istituzzjonijiet tal-UE u l-Istati Membri, u għandu jkun </w:t>
      </w:r>
      <w:proofErr w:type="spellStart"/>
      <w:r w:rsidRPr="002027F2">
        <w:t>mirfud</w:t>
      </w:r>
      <w:proofErr w:type="spellEnd"/>
      <w:r w:rsidRPr="002027F2">
        <w:t xml:space="preserve"> mit-trasparenza, il-proporzjonalità, l-obbligu ta’ rendikont u l-kooperazzjoni bejn l-istituzzjonijiet u l-Istati Membri, iċ-ċittadini u l-partijiet ikkonċernati, filwaqt li jiġi żgurat ir-rispett sħiħ għall-valuri fundamentali Ewropej kollha, inklużi d-demokrazija, l-istat tad-dritt u d-drittijiet tal-bniedem;</w:t>
      </w:r>
    </w:p>
    <w:p w14:paraId="73BA4702" w14:textId="77777777" w:rsidR="00D11C70" w:rsidRPr="002027F2" w:rsidRDefault="00D11C70" w:rsidP="00D11C70">
      <w:pPr>
        <w:pStyle w:val="NormalHanging"/>
      </w:pPr>
      <w:r w:rsidRPr="002027F2">
        <w:t>E.</w:t>
      </w:r>
      <w:r w:rsidRPr="002027F2">
        <w:tab/>
        <w:t xml:space="preserve">billi fil-linji gwida politiċi tagħha għall-Kummissjoni Ewropea li jmiss 2024–2029 tat-18 ta’ Lulju 2024, il-President elett iddikjarat li “l-leġiżlazzjoni futura trid tiġi </w:t>
      </w:r>
      <w:proofErr w:type="spellStart"/>
      <w:r w:rsidRPr="002027F2">
        <w:t>ssimplifikata</w:t>
      </w:r>
      <w:proofErr w:type="spellEnd"/>
      <w:r w:rsidRPr="002027F2">
        <w:t xml:space="preserve"> u mfassla wkoll b’kunsiderazzjoni tan-negozji ż-żgħar u fi spirtu ta’ sussidjarjetà”; billi </w:t>
      </w:r>
      <w:proofErr w:type="spellStart"/>
      <w:r w:rsidRPr="002027F2">
        <w:t>ddikjarat</w:t>
      </w:r>
      <w:proofErr w:type="spellEnd"/>
      <w:r w:rsidRPr="002027F2">
        <w:t xml:space="preserve"> ukoll li “t-tfassil aħjar tal-liġijiet għandu jkun kompitu konġunt – mal-istituzzjonijiet kollha involuti u bil-proċess leġiżlattiv kollu kopert”;</w:t>
      </w:r>
    </w:p>
    <w:p w14:paraId="4C432005" w14:textId="77777777" w:rsidR="00D11C70" w:rsidRPr="002027F2" w:rsidRDefault="00D11C70" w:rsidP="00D11C70">
      <w:pPr>
        <w:pStyle w:val="NormalHanging"/>
      </w:pPr>
      <w:r w:rsidRPr="002027F2">
        <w:t>F.</w:t>
      </w:r>
      <w:r w:rsidRPr="002027F2">
        <w:tab/>
        <w:t>billi l-Kummissjoni għamlitha ċara fid-diversi komunikazzjonijiet tagħha li t-tfassil aħjar tal-liġijiet jirrikjedi li jiġi żgurat li d-dritt u t-tfassil tal-politika tal-UE jkunu bbażati fuq evidenza soda, jinvolvi lill-partijiet ikkonċernati, inklużi ċ-ċittadini u n-negozji, jevita li jimponi piżijiet bla bżonn u jġib benefiċċji tanġibbli u sostenibbli għaċ-ċittadini tal-UE;</w:t>
      </w:r>
    </w:p>
    <w:p w14:paraId="4630493E" w14:textId="77777777" w:rsidR="00D11C70" w:rsidRPr="002027F2" w:rsidRDefault="00D11C70" w:rsidP="00D11C70">
      <w:pPr>
        <w:pStyle w:val="NormalHanging"/>
      </w:pPr>
      <w:r w:rsidRPr="002027F2">
        <w:t>G.</w:t>
      </w:r>
      <w:r w:rsidRPr="002027F2">
        <w:tab/>
        <w:t xml:space="preserve">billi l-parlamenti nazzjonali huma l-gwardjani naturali tal-prinċipju tas-sussidjarjetà u għandhom rwol kruċjali fl-iżgurar tal-konformità mal-prinċipji tas-sussidjarjetà u l-proporzjonalità permezz tad-djalogu </w:t>
      </w:r>
      <w:proofErr w:type="spellStart"/>
      <w:r w:rsidRPr="002027F2">
        <w:t>interparlamentari</w:t>
      </w:r>
      <w:proofErr w:type="spellEnd"/>
      <w:r w:rsidRPr="002027F2">
        <w:t xml:space="preserve"> u s-Sistema ta’ Twissija Bikrija, li tippermetti lill-parlamenti u/jew lill-kmamar nazzjonali jressqu opinjoni motivata jekk jemmnu li proposta leġiżlattiva ma </w:t>
      </w:r>
      <w:proofErr w:type="spellStart"/>
      <w:r w:rsidRPr="002027F2">
        <w:t>tirrispettax</w:t>
      </w:r>
      <w:proofErr w:type="spellEnd"/>
      <w:r w:rsidRPr="002027F2">
        <w:t xml:space="preserve"> il-prinċipju tas-sussidjarjetà;</w:t>
      </w:r>
    </w:p>
    <w:p w14:paraId="457698CE" w14:textId="77777777" w:rsidR="00D11C70" w:rsidRPr="002027F2" w:rsidRDefault="00D11C70" w:rsidP="00D11C70">
      <w:pPr>
        <w:pStyle w:val="NormalHanging"/>
      </w:pPr>
      <w:r w:rsidRPr="002027F2">
        <w:t>H.</w:t>
      </w:r>
      <w:r w:rsidRPr="002027F2">
        <w:tab/>
        <w:t xml:space="preserve">billi, f’konformità mal-Artikolu 4 tat-TUE, l-UE u l-Istati Membri tagħha huma marbuta bil-prinċipju tal-kooperazzjoni leali, li </w:t>
      </w:r>
      <w:proofErr w:type="spellStart"/>
      <w:r w:rsidRPr="002027F2">
        <w:t>skontu</w:t>
      </w:r>
      <w:proofErr w:type="spellEnd"/>
      <w:r w:rsidRPr="002027F2">
        <w:t xml:space="preserve"> għandhom jassistu lil xulxin fit-twettiq tal-kompiti skont it-Trattati; billi dan jinkludi l-kompitu li l-Istati Membri jieħdu kwalunkwe miżura xierqa biex jiżguraw it-twettiq tal-obbligi li jirriżultaw mit-Trattati jew mill-atti tal-UE;</w:t>
      </w:r>
    </w:p>
    <w:p w14:paraId="71D0E309" w14:textId="77777777" w:rsidR="00D11C70" w:rsidRPr="002027F2" w:rsidRDefault="00D11C70" w:rsidP="00D11C70">
      <w:pPr>
        <w:pStyle w:val="NormalHanging"/>
      </w:pPr>
      <w:r w:rsidRPr="002027F2">
        <w:t>I.</w:t>
      </w:r>
      <w:r w:rsidRPr="002027F2">
        <w:tab/>
        <w:t xml:space="preserve">billi l-kompetittività, l-innovazzjoni u t-tkabbir tal-kumpaniji tal-UE ma għandhomx jiġu </w:t>
      </w:r>
      <w:proofErr w:type="spellStart"/>
      <w:r w:rsidRPr="002027F2">
        <w:t>mxekkla</w:t>
      </w:r>
      <w:proofErr w:type="spellEnd"/>
      <w:r w:rsidRPr="002027F2">
        <w:t xml:space="preserve"> bla bżonn minn piżijiet regolatorji </w:t>
      </w:r>
      <w:proofErr w:type="spellStart"/>
      <w:r w:rsidRPr="002027F2">
        <w:t>eċċessivi</w:t>
      </w:r>
      <w:proofErr w:type="spellEnd"/>
      <w:r w:rsidRPr="002027F2">
        <w:t>, li jwasslu għal ħruġ ta’ investiment u impjiegi barra mill-UE, b’effetti partikolarment detrimentali fuq l-intrapriżi żgħar u ta’ daqs medju (SMEs); billi l-prevedibbiltà legali u ċ-ċertezza legali huma essenzjali biex is-suq uniku jiffunzjona; billi s-suq uniku għadu qed jiffaċċja ostakli u frammentazzjoni;</w:t>
      </w:r>
    </w:p>
    <w:p w14:paraId="75A2C60E" w14:textId="77777777" w:rsidR="00D11C70" w:rsidRPr="002027F2" w:rsidRDefault="00D11C70" w:rsidP="00D11C70">
      <w:pPr>
        <w:pStyle w:val="NormalHanging"/>
      </w:pPr>
      <w:r w:rsidRPr="002027F2">
        <w:t>J.</w:t>
      </w:r>
      <w:r w:rsidRPr="002027F2">
        <w:tab/>
        <w:t xml:space="preserve">billi l-applikazzjoni trasparenti, preċiża u uniformi tal-leġiżlazzjoni tal-UE hija essenzjali biex titrawwem il-fiduċja taċ-ċittadini fl-UE, filwaqt li jiġi evitat li jinħolqu piżijiet bla bżonn u kostijiet addizzjonali għal dak li jkun, inklużi n-negozji u l-konsumaturi; billi skont l-Artikolu 197 tat-TFUE, implimentazzjoni effettiva trid titqies </w:t>
      </w:r>
      <w:r w:rsidRPr="002027F2">
        <w:lastRenderedPageBreak/>
        <w:t xml:space="preserve">bħala kwistjoni ta’ interess komuni għall-Istati Membri; billi l-Istati Membri għandhom jevitaw li jżidu piżijiet amministrattivi jew ta’ konformità addizzjonali bla bżonn meta jkunu qed </w:t>
      </w:r>
      <w:proofErr w:type="spellStart"/>
      <w:r w:rsidRPr="002027F2">
        <w:t>jittrasponu</w:t>
      </w:r>
      <w:proofErr w:type="spellEnd"/>
      <w:r w:rsidRPr="002027F2">
        <w:t xml:space="preserve"> l-leġiżlazzjoni tal-UE;</w:t>
      </w:r>
    </w:p>
    <w:p w14:paraId="0094F59C" w14:textId="77777777" w:rsidR="00D11C70" w:rsidRPr="002027F2" w:rsidRDefault="00D11C70" w:rsidP="00D11C70">
      <w:pPr>
        <w:pStyle w:val="NormalHanging"/>
      </w:pPr>
      <w:r w:rsidRPr="002027F2">
        <w:t>K.</w:t>
      </w:r>
      <w:r w:rsidRPr="002027F2">
        <w:tab/>
        <w:t xml:space="preserve">billi fl-2021 il-Kummissjoni </w:t>
      </w:r>
      <w:proofErr w:type="spellStart"/>
      <w:r w:rsidRPr="002027F2">
        <w:t>introduċiet</w:t>
      </w:r>
      <w:proofErr w:type="spellEnd"/>
      <w:r w:rsidRPr="002027F2">
        <w:t xml:space="preserve"> il-prinċipju ta’ “</w:t>
      </w:r>
      <w:proofErr w:type="spellStart"/>
      <w:r w:rsidRPr="002027F2">
        <w:t>one</w:t>
      </w:r>
      <w:proofErr w:type="spellEnd"/>
      <w:r w:rsidRPr="002027F2">
        <w:t> </w:t>
      </w:r>
      <w:proofErr w:type="spellStart"/>
      <w:r w:rsidRPr="002027F2">
        <w:t>in</w:t>
      </w:r>
      <w:proofErr w:type="spellEnd"/>
      <w:r w:rsidRPr="002027F2">
        <w:t>, </w:t>
      </w:r>
      <w:proofErr w:type="spellStart"/>
      <w:r w:rsidRPr="002027F2">
        <w:t>one</w:t>
      </w:r>
      <w:proofErr w:type="spellEnd"/>
      <w:r w:rsidRPr="002027F2">
        <w:t> </w:t>
      </w:r>
      <w:proofErr w:type="spellStart"/>
      <w:r w:rsidRPr="002027F2">
        <w:t>out</w:t>
      </w:r>
      <w:proofErr w:type="spellEnd"/>
      <w:r w:rsidRPr="002027F2">
        <w:t xml:space="preserve">” bl-intenzjoni li jkun hemm </w:t>
      </w:r>
      <w:proofErr w:type="spellStart"/>
      <w:r w:rsidRPr="002027F2">
        <w:t>tpaċija</w:t>
      </w:r>
      <w:proofErr w:type="spellEnd"/>
      <w:r w:rsidRPr="002027F2">
        <w:t xml:space="preserve"> tal-piżijiet ġodda li jirriżultaw mill-proposti leġiżlattivi tal-Kummissjoni billi jneħħi l-piżijiet eżistenti fl-istess qasam ta’ politika; billi dan il-kunċett mhuwiex qed jagħti riżultati bħala għodda għal regolamentazzjoni aħjar fil-forma attwali tiegħu, b’mod partikolari peress li ma </w:t>
      </w:r>
      <w:proofErr w:type="spellStart"/>
      <w:r w:rsidRPr="002027F2">
        <w:t>jindirizzax</w:t>
      </w:r>
      <w:proofErr w:type="spellEnd"/>
      <w:r w:rsidRPr="002027F2">
        <w:t xml:space="preserve"> b’mod determinat il-kwalità leġiżlattiva, li ma tistax titnaqqas għal miri </w:t>
      </w:r>
      <w:proofErr w:type="spellStart"/>
      <w:r w:rsidRPr="002027F2">
        <w:t>kwantitattivi</w:t>
      </w:r>
      <w:proofErr w:type="spellEnd"/>
      <w:r w:rsidRPr="002027F2">
        <w:t xml:space="preserve"> fir-rigward tat-tnaqqis tal-piżijiet u l-kostijiet biss, u ma jinkludix il-valutazzjoni tal-effetti possibbli tiegħu fuq l-għanijiet regolatorji attwali tal-UE;</w:t>
      </w:r>
    </w:p>
    <w:p w14:paraId="6D9F1226" w14:textId="77777777" w:rsidR="00D11C70" w:rsidRPr="002027F2" w:rsidRDefault="00D11C70" w:rsidP="00D11C70">
      <w:pPr>
        <w:pStyle w:val="NormalHanging"/>
      </w:pPr>
      <w:r w:rsidRPr="002027F2">
        <w:t>L.</w:t>
      </w:r>
      <w:r w:rsidRPr="002027F2">
        <w:tab/>
        <w:t>billi l-approċċ ta’ “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in</w:t>
      </w:r>
      <w:proofErr w:type="spellEnd"/>
      <w:r w:rsidRPr="002027F2">
        <w:t xml:space="preserve">, 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out</w:t>
      </w:r>
      <w:proofErr w:type="spellEnd"/>
      <w:r w:rsidRPr="002027F2">
        <w:t xml:space="preserve">” m’għandux jinftiehem bħala mira numerika għall-atti leġiżlattivi, iżda pjuttost bħala mekkaniżmu </w:t>
      </w:r>
      <w:proofErr w:type="spellStart"/>
      <w:r w:rsidRPr="002027F2">
        <w:t>bbażat</w:t>
      </w:r>
      <w:proofErr w:type="spellEnd"/>
      <w:r w:rsidRPr="002027F2">
        <w:t xml:space="preserve"> fuq il-kostijiet bl-għan li jinkiseb tnaqqis nett tanġibbli fil-kostijiet regolatorji u titjib fil-funzjonament tas-suq tal-UE u tas-soċjetà; billi l-enfasi trid tibqa’ fuq il-kostijiet amministrattivi, ta’ konformità u ta’ implimentazzjoni totali imposti fuq in-negozji, filwaqt li jiġi żgurat li kwalunkwe obbligu ġdid jiġi </w:t>
      </w:r>
      <w:proofErr w:type="spellStart"/>
      <w:r w:rsidRPr="002027F2">
        <w:t>paċut</w:t>
      </w:r>
      <w:proofErr w:type="spellEnd"/>
      <w:r w:rsidRPr="002027F2">
        <w:t>; billi l-approċċ attwali ta’ “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in</w:t>
      </w:r>
      <w:proofErr w:type="spellEnd"/>
      <w:r w:rsidRPr="002027F2">
        <w:t xml:space="preserve">, 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out</w:t>
      </w:r>
      <w:proofErr w:type="spellEnd"/>
      <w:r w:rsidRPr="002027F2">
        <w:t>” mhuwiex adegwat f’dan ir-rigward; billi għandu jiġi stabbilit approċċ ġenerali aktar ambizzjuż;</w:t>
      </w:r>
    </w:p>
    <w:p w14:paraId="0A8829A8" w14:textId="77777777" w:rsidR="00D11C70" w:rsidRPr="002027F2" w:rsidRDefault="00D11C70" w:rsidP="00D11C70">
      <w:pPr>
        <w:pStyle w:val="NormalHanging"/>
      </w:pPr>
      <w:r w:rsidRPr="002027F2">
        <w:t>M.</w:t>
      </w:r>
      <w:r w:rsidRPr="002027F2">
        <w:tab/>
        <w:t xml:space="preserve">billi l-avvanzi reċenti fl-intelliġenza artifiċjali (IA) qed </w:t>
      </w:r>
      <w:proofErr w:type="spellStart"/>
      <w:r w:rsidRPr="002027F2">
        <w:t>jittrasformaw</w:t>
      </w:r>
      <w:proofErr w:type="spellEnd"/>
      <w:r w:rsidRPr="002027F2">
        <w:t xml:space="preserve"> il-mod li bih id-dritt tal-UE jista’ jiġi </w:t>
      </w:r>
      <w:proofErr w:type="spellStart"/>
      <w:r w:rsidRPr="002027F2">
        <w:t>vvalutat</w:t>
      </w:r>
      <w:proofErr w:type="spellEnd"/>
      <w:r w:rsidRPr="002027F2">
        <w:t xml:space="preserve"> u applikat, u qed jevolvu minn sistemi esperti limitati u bbażati fuq l-għarfien lejn mudelli ta’ tagħlim awtomatiku </w:t>
      </w:r>
      <w:proofErr w:type="spellStart"/>
      <w:r w:rsidRPr="002027F2">
        <w:t>predittiv</w:t>
      </w:r>
      <w:proofErr w:type="spellEnd"/>
      <w:r w:rsidRPr="002027F2">
        <w:t xml:space="preserve"> u </w:t>
      </w:r>
      <w:proofErr w:type="spellStart"/>
      <w:r w:rsidRPr="002027F2">
        <w:t>ġenerattiv</w:t>
      </w:r>
      <w:proofErr w:type="spellEnd"/>
      <w:r w:rsidRPr="002027F2">
        <w:t>; billi tali teknoloġiji jiftħu possibbiltajiet ġodda kif ukoll sfidi ġodda fiċ-ċiklu leġiżlattiv kollu – inkluż matul l-analiżi ta’ qabel il-promulgazzjoni, it-tbassir tal-impatt, l-abbozzar leġiżlattiv, il-konsultazzjoni pubblika u, b’mod partikolari, matul il-monitoraġġ ta’ wara l-promulgazzjoni – u b’hekk joffru opportunitajiet sinifikanti biex jittejbu l-</w:t>
      </w:r>
      <w:proofErr w:type="spellStart"/>
      <w:r w:rsidRPr="002027F2">
        <w:t>puntwalità</w:t>
      </w:r>
      <w:proofErr w:type="spellEnd"/>
      <w:r w:rsidRPr="002027F2">
        <w:t>, il-preċiżjoni u l-</w:t>
      </w:r>
      <w:proofErr w:type="spellStart"/>
      <w:r w:rsidRPr="002027F2">
        <w:t>profondità</w:t>
      </w:r>
      <w:proofErr w:type="spellEnd"/>
      <w:r w:rsidRPr="002027F2">
        <w:t xml:space="preserve"> tat-tfassil tal-liġijiet tal-UE jekk jiġu ttrattati bl-attenzjoni dovuta u b’rispett għad-drittijiet fundamentali;</w:t>
      </w:r>
    </w:p>
    <w:p w14:paraId="24B2B5A0" w14:textId="77777777" w:rsidR="00D11C70" w:rsidRPr="002027F2" w:rsidRDefault="00D11C70" w:rsidP="00D11C70">
      <w:pPr>
        <w:pStyle w:val="NormalHanging"/>
      </w:pPr>
      <w:r w:rsidRPr="002027F2">
        <w:t>N.</w:t>
      </w:r>
      <w:r w:rsidRPr="002027F2">
        <w:tab/>
        <w:t xml:space="preserve">billi t-tfassil aħjar tal-liġijiet irid ikollu l-għan li jaqdi l-ambizzjonijiet politiċi tal-UE, speċjalment l-objettivi fit-tul tagħha; billi valutazzjonijiet tal-impatt ex </w:t>
      </w:r>
      <w:proofErr w:type="spellStart"/>
      <w:r w:rsidRPr="002027F2">
        <w:t>ante</w:t>
      </w:r>
      <w:proofErr w:type="spellEnd"/>
      <w:r w:rsidRPr="002027F2">
        <w:t xml:space="preserve"> u ex post imwettqa tajjeb, inkluż fir-rigward tal-impatti soċjali, ekonomiċi u ambjentali, u konsultazzjonijiet pubbliċi huma għodod essenzjali għal tfassil tal-liġijiet infurmat tajjeb, aħjar, effiċjenti, bl-obbligu ta’ rendikont u trasparenti; billi l-Bord tal-Iskrutinju Regolatorju huwa responsabbli mill-valutazzjoni tal-kwalità tal-valutazzjonijiet tal-impatt u tal-kontrolli tal-idoneità u tal-evalwazzjonijiet ewlenin biex jappoġġja t-teħid ta’ deċiżjonijiet politiċi;</w:t>
      </w:r>
    </w:p>
    <w:p w14:paraId="76EE7950" w14:textId="77777777" w:rsidR="00D11C70" w:rsidRPr="002027F2" w:rsidRDefault="00D11C70" w:rsidP="00D11C70">
      <w:pPr>
        <w:pStyle w:val="Normal12a"/>
      </w:pPr>
      <w:r w:rsidRPr="002027F2">
        <w:rPr>
          <w:b/>
        </w:rPr>
        <w:t>Sussidjarjetà u proporzjonalità</w:t>
      </w:r>
    </w:p>
    <w:p w14:paraId="35B0E920" w14:textId="77777777" w:rsidR="00D11C70" w:rsidRPr="002027F2" w:rsidRDefault="00D11C70" w:rsidP="00D11C70">
      <w:pPr>
        <w:pStyle w:val="NormalHanging12a"/>
      </w:pPr>
      <w:r w:rsidRPr="002027F2">
        <w:t>1.</w:t>
      </w:r>
      <w:r w:rsidRPr="002027F2">
        <w:tab/>
        <w:t xml:space="preserve">Ifakkar li, skont il-prinċipji tas-sussidjarjetà u l-proporzjonalità minquxa fl-Artikolu 5 tat-TUE, l-UE għandha l-obbligu li </w:t>
      </w:r>
      <w:proofErr w:type="spellStart"/>
      <w:r w:rsidRPr="002027F2">
        <w:t>tilleġiżla</w:t>
      </w:r>
      <w:proofErr w:type="spellEnd"/>
      <w:r w:rsidRPr="002027F2">
        <w:t xml:space="preserve"> biss meta u sal-punt meħtieġ; ifakkar li l-għan ta’ dan l-obbligu huwa li </w:t>
      </w:r>
      <w:proofErr w:type="spellStart"/>
      <w:r w:rsidRPr="002027F2">
        <w:t>tilleġiżla</w:t>
      </w:r>
      <w:proofErr w:type="spellEnd"/>
      <w:r w:rsidRPr="002027F2">
        <w:t xml:space="preserve"> kemm jista’ jkun qrib iċ-ċittadini tal-UE;</w:t>
      </w:r>
    </w:p>
    <w:p w14:paraId="5EEC3C3A" w14:textId="77777777" w:rsidR="00D11C70" w:rsidRPr="002027F2" w:rsidRDefault="00D11C70" w:rsidP="00D11C70">
      <w:pPr>
        <w:pStyle w:val="NormalHanging12a"/>
      </w:pPr>
      <w:r w:rsidRPr="002027F2">
        <w:t>2.</w:t>
      </w:r>
      <w:r w:rsidRPr="002027F2">
        <w:tab/>
        <w:t xml:space="preserve">Ifakkar li t-tfassil aħjar tal-liġijiet huwa </w:t>
      </w:r>
      <w:proofErr w:type="spellStart"/>
      <w:r w:rsidRPr="002027F2">
        <w:t>bbażat</w:t>
      </w:r>
      <w:proofErr w:type="spellEnd"/>
      <w:r w:rsidRPr="002027F2">
        <w:t xml:space="preserve"> fuq bilanċ interistituzzjonali fost il-koleġiżlaturi u impenn </w:t>
      </w:r>
      <w:proofErr w:type="spellStart"/>
      <w:r w:rsidRPr="002027F2">
        <w:t>kondiviż</w:t>
      </w:r>
      <w:proofErr w:type="spellEnd"/>
      <w:r w:rsidRPr="002027F2">
        <w:t xml:space="preserve"> għal kooperazzjoni sinċiera u trasparenti matul iċ-ċiklu leġiżlattiv kollu kemm hu; jinnota li dan għandu jiġi rifless fl-istabbiliment jew fir-rieżami tal-prijoritajiet pluriennali, u fid-dikjarazzjoni konġunta ta’ kull sena dwar il-prijoritajiet interistituzzjonali annwali; ifakkar li kwalunkwe intenzjoni mill-</w:t>
      </w:r>
      <w:r w:rsidRPr="002027F2">
        <w:lastRenderedPageBreak/>
        <w:t>Kummissjoni li tirtira atti leġiżlattivi pendenti kif imħabbar fil-programmi ta’ ħidma annwali tagħha jeħtieġ li tkun debitament motivata u sostanzjata, filwaqt li tippermetti l-konsultazzjoni xierqa tal-koleġiżlaturi tal-UE;</w:t>
      </w:r>
    </w:p>
    <w:p w14:paraId="27CF617A" w14:textId="77777777" w:rsidR="00D11C70" w:rsidRPr="002027F2" w:rsidRDefault="00D11C70" w:rsidP="00D11C70">
      <w:pPr>
        <w:pStyle w:val="NormalHanging12a"/>
      </w:pPr>
      <w:r w:rsidRPr="002027F2">
        <w:t>3.</w:t>
      </w:r>
      <w:r w:rsidRPr="002027F2">
        <w:tab/>
        <w:t>Ifakkar li r-rikors għal bażijiet legali oħra minbarra l-proċedura leġiżlattiva ordinarja huwa mfassal bir-reqqa fit-Trattati; iwissi kontra kwalunkwe użu tal-proċessi leġiżlattivi previsti speċifikament għal sitwazzjonijiet ta’ emerġenza bbażati fuq l-Artikolu 122 tat-TFUE lil hinn minn sitwazzjonijiet speċifiċi li jeħtieġu reazzjonijiet rapidi għall-kriżijiet li jkunu qed jiżviluppaw;</w:t>
      </w:r>
    </w:p>
    <w:p w14:paraId="59DB4815" w14:textId="77777777" w:rsidR="00D11C70" w:rsidRPr="002027F2" w:rsidRDefault="00D11C70" w:rsidP="00D11C70">
      <w:pPr>
        <w:pStyle w:val="NormalHanging12a"/>
      </w:pPr>
      <w:r w:rsidRPr="002027F2">
        <w:t>4.</w:t>
      </w:r>
      <w:r w:rsidRPr="002027F2">
        <w:tab/>
        <w:t>Ifakkar li l-evalwazzjonijiet, il-valutazzjonijiet tal-impatt u l-konsultazzjonijiet mal-partijiet ikkonċernati huma pilastri ewlenin ta’ proċess regolatorju effiċjenti, responsabbli u demokratiku;</w:t>
      </w:r>
    </w:p>
    <w:p w14:paraId="4C692166" w14:textId="77777777" w:rsidR="00D11C70" w:rsidRPr="002027F2" w:rsidRDefault="00D11C70" w:rsidP="00D11C70">
      <w:pPr>
        <w:pStyle w:val="NormalHanging12a"/>
      </w:pPr>
      <w:r w:rsidRPr="002027F2">
        <w:t>5.</w:t>
      </w:r>
      <w:r w:rsidRPr="002027F2">
        <w:tab/>
        <w:t>Jinnota li fl-2023, il-parlamenti nazzjonali ppreżentaw 22 opinjoni motivata, terz anqas mill-2022, f’konformità max-xejra ’l isfel fit-tul fl-għadd ta’ opinjonijiet motivati; jinnota li kien hemm ukoll żieda fil-parteċipazzjoni tal-parlamenti nazzjonali fid-djalogu politiku usa’ mal-Kummissjoni, li tirrappreżenta żieda ta’ aktar minn 10 % meta mqabbel mal-2022;</w:t>
      </w:r>
    </w:p>
    <w:p w14:paraId="783322BD" w14:textId="77777777" w:rsidR="00D11C70" w:rsidRPr="002027F2" w:rsidRDefault="00D11C70" w:rsidP="00D11C70">
      <w:pPr>
        <w:pStyle w:val="NormalHanging12a"/>
      </w:pPr>
      <w:r w:rsidRPr="002027F2">
        <w:t>6.</w:t>
      </w:r>
      <w:r w:rsidRPr="002027F2">
        <w:tab/>
        <w:t xml:space="preserve">Jinnota li l-parlamenti nazzjonali ppreżentaw biss 577 kontroll tas-sussidjarjetà u opinjoni motivata, 3 803 kontribut, tliet “karti sofor” u l-ebda “karta oranġjo” mid-dħul fis-seħħ tat-Trattat ta’ </w:t>
      </w:r>
      <w:proofErr w:type="spellStart"/>
      <w:r w:rsidRPr="002027F2">
        <w:t>Liżbona</w:t>
      </w:r>
      <w:proofErr w:type="spellEnd"/>
      <w:r w:rsidRPr="002027F2">
        <w:t xml:space="preserve"> fl-2009;</w:t>
      </w:r>
    </w:p>
    <w:p w14:paraId="5CC8A0F3" w14:textId="77777777" w:rsidR="00D11C70" w:rsidRPr="002027F2" w:rsidRDefault="00D11C70" w:rsidP="00D11C70">
      <w:pPr>
        <w:pStyle w:val="NormalHanging12a"/>
      </w:pPr>
      <w:r w:rsidRPr="002027F2">
        <w:t>7.</w:t>
      </w:r>
      <w:r w:rsidRPr="002027F2">
        <w:tab/>
        <w:t xml:space="preserve">Jinnota li, minbarra l-mekkaniżmu ta’ kontroll tas-sussidjarjetà stabbilit mill-Protokoll Nru 2, il-Kummissjoni stabbiliet djalogu politiku fl-2006, li permezz tiegħu tressqu 402 opinjoni fl-2023; jinnota, barra minn hekk, li f’dawk is-sottomissjonijiet, il-parlamenti nazzjonali </w:t>
      </w:r>
      <w:proofErr w:type="spellStart"/>
      <w:r w:rsidRPr="002027F2">
        <w:t>ffukaw</w:t>
      </w:r>
      <w:proofErr w:type="spellEnd"/>
      <w:r w:rsidRPr="002027F2">
        <w:t xml:space="preserve"> fuq il-programm ta’ ħidma tal-Kummissjoni għall-2023;</w:t>
      </w:r>
    </w:p>
    <w:p w14:paraId="17D36086" w14:textId="77777777" w:rsidR="00D11C70" w:rsidRPr="002027F2" w:rsidRDefault="00D11C70" w:rsidP="00D11C70">
      <w:pPr>
        <w:pStyle w:val="NormalHanging12a"/>
      </w:pPr>
      <w:r w:rsidRPr="002027F2">
        <w:t>8.</w:t>
      </w:r>
      <w:r w:rsidRPr="002027F2">
        <w:tab/>
        <w:t xml:space="preserve">Jinnota li fl-2024 għaddew 15-il sena mid-dħul fis-seħħ u l-applikazzjoni tat-Trattat ta’ </w:t>
      </w:r>
      <w:proofErr w:type="spellStart"/>
      <w:r w:rsidRPr="002027F2">
        <w:t>Liżbona</w:t>
      </w:r>
      <w:proofErr w:type="spellEnd"/>
      <w:r w:rsidRPr="002027F2">
        <w:t xml:space="preserve">, li </w:t>
      </w:r>
      <w:proofErr w:type="spellStart"/>
      <w:r w:rsidRPr="002027F2">
        <w:t>introduċa</w:t>
      </w:r>
      <w:proofErr w:type="spellEnd"/>
      <w:r w:rsidRPr="002027F2">
        <w:t xml:space="preserve"> livelli ogħla ta’ skrutinju parlamentari u obbligu ta’ rendikont demokratiku fl-UE, b’mod partikolari permezz tal-prinċipji tas-sussidjarjetà u l-proporzjonalità;</w:t>
      </w:r>
    </w:p>
    <w:p w14:paraId="232AAAC8" w14:textId="77777777" w:rsidR="00D11C70" w:rsidRPr="002027F2" w:rsidRDefault="00D11C70" w:rsidP="00D11C70">
      <w:pPr>
        <w:pStyle w:val="NormalHanging12a"/>
      </w:pPr>
      <w:r w:rsidRPr="002027F2">
        <w:t>9.</w:t>
      </w:r>
      <w:r w:rsidRPr="002027F2">
        <w:tab/>
        <w:t>Jinnota li l-2024 kienet ukoll sena ta’ tranżizzjoni bejn żewġ mandati tal-Kummissjoni, li matulhom l-intensità tal-iskrutinju parlamentari nazzjonali tipikament tonqos; jinnota li dan kien ukoll il-każ fl-2024, li matulu l-parlamenti nazzjonali ppreżentaw 252 opinjoni, li minnhom 14 kienu opinjonijiet motivati; jinnota li għalkemm dan huwa tnaqqis konsiderevoli meta mqabbel mal-2023, mhuwiex rari għal sena ta’ tranżizzjoni u kien tnaqqis aktar modest meta mqabbel mas-sena ta’ tranżizzjoni preċedenti tal-2019;</w:t>
      </w:r>
    </w:p>
    <w:p w14:paraId="36E673AD" w14:textId="77777777" w:rsidR="00D11C70" w:rsidRPr="002027F2" w:rsidRDefault="00D11C70" w:rsidP="00D11C70">
      <w:pPr>
        <w:pStyle w:val="NormalHanging12a"/>
      </w:pPr>
      <w:r w:rsidRPr="002027F2">
        <w:t>10.</w:t>
      </w:r>
      <w:r w:rsidRPr="002027F2">
        <w:tab/>
        <w:t xml:space="preserve">Jilqa’ l-fatt li fl-2024, il-Kummissjoni tejbet b’mod sinifikanti l-mod li bih l-opinjonijiet tal-parlamenti nazzjonali, kif ukoll it-tweġibiet tagħha għal dawk l-opinjonijiet, isiru disponibbli għall-pubbliku, billi varat bażi tad-data online ġdida b’għadd ta’ possibbiltajiet ta’ </w:t>
      </w:r>
      <w:proofErr w:type="spellStart"/>
      <w:r w:rsidRPr="002027F2">
        <w:t>filtrazzjoni</w:t>
      </w:r>
      <w:proofErr w:type="spellEnd"/>
      <w:r w:rsidRPr="002027F2">
        <w:t>; jilqa’ wkoll il-fatt li dan it-titjib japplika wkoll għall-opinjonijiet u t-tweġibiet miġbura mill-2014 ’il hawn;</w:t>
      </w:r>
    </w:p>
    <w:p w14:paraId="41F09674" w14:textId="77777777" w:rsidR="00D11C70" w:rsidRPr="002027F2" w:rsidRDefault="00D11C70" w:rsidP="00D11C70">
      <w:pPr>
        <w:pStyle w:val="NormalHanging12a"/>
      </w:pPr>
      <w:r w:rsidRPr="002027F2">
        <w:t>11.</w:t>
      </w:r>
      <w:r w:rsidRPr="002027F2">
        <w:tab/>
        <w:t>Jitlob li jkun hemm involviment aktar bikri, strutturat u sinifikattiv tal-parlamenti nazzjonali fiċ-ċiklu tat-tfassil tal-politika tal-UE, inkluż matul il-fażijiet ta’ konsultazzjoni u tfassil tal-aġenda, u mhux biss ladarba l-Kummissjoni tkun adottat proposta; jissottolinja li l-għoti ta’ aċċess f’waqtu lill-parlamenti nazzjonali għall-</w:t>
      </w:r>
      <w:r w:rsidRPr="002027F2">
        <w:lastRenderedPageBreak/>
        <w:t xml:space="preserve">abbozzi ta’ inizjattivi, l-analiżijiet tal-isfond u l-materjal tal-valutazzjoni tal-impatt jippermetti skrutinju aktar effettiv tal-kunsiderazzjonijiet tas-sussidjarjetà u tal-proporzjonalità u jiżgura li l-għarfien espert nazzjonali jkun rifless </w:t>
      </w:r>
      <w:proofErr w:type="spellStart"/>
      <w:r w:rsidRPr="002027F2">
        <w:t>upstream</w:t>
      </w:r>
      <w:proofErr w:type="spellEnd"/>
      <w:r w:rsidRPr="002027F2">
        <w:t xml:space="preserve"> fil-proċess leġiżlattiv tal-UE;</w:t>
      </w:r>
    </w:p>
    <w:p w14:paraId="45C8BB7A" w14:textId="77777777" w:rsidR="00D11C70" w:rsidRPr="002027F2" w:rsidRDefault="00D11C70" w:rsidP="00D11C70">
      <w:pPr>
        <w:pStyle w:val="NormalHanging12a"/>
      </w:pPr>
      <w:r w:rsidRPr="002027F2">
        <w:t>12.</w:t>
      </w:r>
      <w:r w:rsidRPr="002027F2">
        <w:tab/>
        <w:t>Jieħu nota tat-talbiet li saru minn diversi parlamenti nazzjonali għal involviment akbar fl-iskrutinju tal-atti delegati u ta’ implimentazzjoni; jisħaq fuq l-importanza tal-iskrutinju minn qabel ta’ tali atti mill-parlamenti nazzjonali sabiex jiġu żgurati r-rispett għall-prinċipji tas-sussidjarjetà u tal-proporzjonalità u l-konformità magħhom;</w:t>
      </w:r>
    </w:p>
    <w:p w14:paraId="40CD2145" w14:textId="77777777" w:rsidR="00D11C70" w:rsidRPr="002027F2" w:rsidRDefault="00D11C70" w:rsidP="00D11C70">
      <w:pPr>
        <w:pStyle w:val="NormalHanging12a"/>
      </w:pPr>
      <w:r w:rsidRPr="002027F2">
        <w:t>13.</w:t>
      </w:r>
      <w:r w:rsidRPr="002027F2">
        <w:tab/>
        <w:t xml:space="preserve">Jitlob kooperazzjoni msaħħa mal-parlamenti nazzjonali permezz ta’ pjattaformi ta’ djalogu diġitali strutturati biex tiġi żgurata l-kondiviżjoni f’waqtha tal-informazzjoni dwar inizjattivi ġodda tal-UE; iħeġġeġ il-kunsiderazzjoni ta’ </w:t>
      </w:r>
      <w:proofErr w:type="spellStart"/>
      <w:r w:rsidRPr="002027F2">
        <w:t>perkorsi</w:t>
      </w:r>
      <w:proofErr w:type="spellEnd"/>
      <w:r w:rsidRPr="002027F2">
        <w:t xml:space="preserve"> li jippermettu lill-parlamenti nazzjonali jkollhom rwol aktar proattiv fit-tfassil tal-politika tal-UE, inkluż permezz ta’ mekkaniżmu strutturat ta’ “karta ħadra” li jippermetti suġġerimenti kollettivi għall-inizjattivi tal-Kummissjoni, li joperaw taħt limiti raġonevoli u li jistgħu jintlaħqu; jisħaq li l-iskambji </w:t>
      </w:r>
      <w:proofErr w:type="spellStart"/>
      <w:r w:rsidRPr="002027F2">
        <w:t>interparlamentari</w:t>
      </w:r>
      <w:proofErr w:type="spellEnd"/>
      <w:r w:rsidRPr="002027F2">
        <w:t xml:space="preserve"> għandhom jinkludu rappreżentanti lokali u reġjonali biex itejbu t-trasparenza u s-sjieda pubblika tat-tfassil tal-liġijiet tal-UE; jinnota li l-għoti tas-setgħa lill-parlamenti lil hinn minn rwol </w:t>
      </w:r>
      <w:proofErr w:type="spellStart"/>
      <w:r w:rsidRPr="002027F2">
        <w:t>reattiv</w:t>
      </w:r>
      <w:proofErr w:type="spellEnd"/>
      <w:r w:rsidRPr="002027F2">
        <w:t xml:space="preserve"> isaħħaħ is-sjieda u l-leġittimità demokratika tal-azzjoni tal-UE;</w:t>
      </w:r>
    </w:p>
    <w:p w14:paraId="188227C4" w14:textId="77777777" w:rsidR="00D11C70" w:rsidRPr="002027F2" w:rsidRDefault="00D11C70" w:rsidP="00D11C70">
      <w:pPr>
        <w:pStyle w:val="NormalHanging12a"/>
      </w:pPr>
      <w:r w:rsidRPr="002027F2">
        <w:t>14.</w:t>
      </w:r>
      <w:r w:rsidRPr="002027F2">
        <w:tab/>
        <w:t xml:space="preserve">Jinnota li fl-2024, il-Qorti tal-Ġustizzja tal-Unjoni Ewropea annullat dispożizzjoni ta’ regolament miżjuda matul in-negozjati leġiżlattivi minħabba li ma kienx hemm biżżejjed informazzjoni biex il-proporzjonalità tagħha tiġi vvalutata u stabbilita b’mod </w:t>
      </w:r>
      <w:proofErr w:type="spellStart"/>
      <w:r w:rsidRPr="002027F2">
        <w:t>inekwivoku</w:t>
      </w:r>
      <w:proofErr w:type="spellEnd"/>
      <w:r w:rsidRPr="002027F2">
        <w:t>; jafferma mill-ġdid li l-prinċipji tas-sussidjarjetà u l-proporzjonalità jibqgħu essenzjali għal-leġittimità tal-UE u jitlob kooperazzjoni aktar mill-qrib u djalogu strutturat imsaħħaħ mal-parlamenti nazzjonali;</w:t>
      </w:r>
    </w:p>
    <w:p w14:paraId="543C398F" w14:textId="77777777" w:rsidR="00D11C70" w:rsidRPr="002027F2" w:rsidRDefault="00D11C70" w:rsidP="00D11C70">
      <w:pPr>
        <w:pStyle w:val="NormalHanging12a"/>
      </w:pPr>
      <w:r w:rsidRPr="002027F2">
        <w:t>15.</w:t>
      </w:r>
      <w:r w:rsidRPr="002027F2">
        <w:tab/>
        <w:t xml:space="preserve">Jissottolinja li, minkejja l-objettiv </w:t>
      </w:r>
      <w:proofErr w:type="spellStart"/>
      <w:r w:rsidRPr="002027F2">
        <w:t>kondiviż</w:t>
      </w:r>
      <w:proofErr w:type="spellEnd"/>
      <w:r w:rsidRPr="002027F2">
        <w:t xml:space="preserve"> ta’ kooperazzjoni sinċiera li jiggwida t-tfassil tal-politika u tal-liġijiet tal-UE, inkluż ir-rwol tal-Istati Membri fit-teħid tal-miżuri xierqa kollha biex jiżguraw it-twettiq tal-obbligi li jirriżultaw mit-Trattati jew li jirriżultaw minn atti tal-istituzzjonijiet tal-UE, is-sitwazzjonijiet għadhom ivarjaw ħafna fit-traspożizzjoni f’waqtha tad-direttivi u fl-implimentazzjoni tad-dritt tal-UE; iħeġġeġ aktar appoġġ biex tinbena l-kapaċità amministrattiva u teknika tal-Istati Membri f’dan ir-rigward, u jħeġġeġ lill-Kummissjoni tiżgura infurzar determinat meta l-kooperazzjoni tfalli;</w:t>
      </w:r>
    </w:p>
    <w:p w14:paraId="2578F4FF" w14:textId="77777777" w:rsidR="00D11C70" w:rsidRPr="002027F2" w:rsidRDefault="00D11C70" w:rsidP="00D11C70">
      <w:pPr>
        <w:pStyle w:val="NormalHanging12a"/>
      </w:pPr>
      <w:r w:rsidRPr="002027F2">
        <w:t>16.</w:t>
      </w:r>
      <w:r w:rsidRPr="002027F2">
        <w:tab/>
        <w:t xml:space="preserve">Jinnota l-istabbiliment ta’ “djalogi ta’ implimentazzjoni” mwettqa mill-Kummissjoni bħala parti mill-isforzi tagħha ta’ trasparenza u demokrazija </w:t>
      </w:r>
      <w:proofErr w:type="spellStart"/>
      <w:r w:rsidRPr="002027F2">
        <w:t>parteċipattiva</w:t>
      </w:r>
      <w:proofErr w:type="spellEnd"/>
      <w:r w:rsidRPr="002027F2">
        <w:t xml:space="preserve"> lejn tfassil aħjar tal-liġijiet; iħeġġeġ, b’mod aktar ġenerali, inizjattivi li jwasslu għall-involviment sinifikattiv tas-soċjetà ċivili u tan-negozji fit-tfassil tal-politika; jinnota, f’dan ir-rigward, li jista’ jsir titjib biex jiġi żgurat li l-proċess leġiżlattiv tal-UE jkun aktar trasparenti, jinkludi l-kontribut kollu tal-partijiet ikkonċernati u jkun aktar faċli biex jiġi segwit;</w:t>
      </w:r>
    </w:p>
    <w:p w14:paraId="2C5BB082" w14:textId="77777777" w:rsidR="00D11C70" w:rsidRPr="002027F2" w:rsidRDefault="00D11C70" w:rsidP="00D11C70">
      <w:pPr>
        <w:pStyle w:val="Normal12a"/>
      </w:pPr>
      <w:r w:rsidRPr="002027F2">
        <w:rPr>
          <w:b/>
        </w:rPr>
        <w:t>Tfassil aħjar tal-liġijiet</w:t>
      </w:r>
    </w:p>
    <w:p w14:paraId="548F24D8" w14:textId="77777777" w:rsidR="00D11C70" w:rsidRPr="002027F2" w:rsidRDefault="00D11C70" w:rsidP="00D11C70">
      <w:pPr>
        <w:pStyle w:val="NormalHanging12a"/>
      </w:pPr>
      <w:r w:rsidRPr="002027F2">
        <w:t>17.</w:t>
      </w:r>
      <w:r w:rsidRPr="002027F2">
        <w:tab/>
        <w:t>Jissottolinja li, minkejja l-progress li sar fl-ambitu tal-aġenda għal regolamentazzjoni aħjar, il-leġiżlazzjoni tal-UE għadha tiġġenera ħafna piż regolatorju u għalhekk jista’ jsir titjib biex jiġi żgurat li l-proċess leġiżlattiv tal-UE jkun aktar trasparenti, jinkludi l-</w:t>
      </w:r>
      <w:r w:rsidRPr="002027F2">
        <w:lastRenderedPageBreak/>
        <w:t>kontribut rilevanti tal-partijiet ikkonċernati u jkun aktar faċli biex jiġi segwit u implimentat;</w:t>
      </w:r>
    </w:p>
    <w:p w14:paraId="12856676" w14:textId="77777777" w:rsidR="00D11C70" w:rsidRPr="002027F2" w:rsidRDefault="00D11C70" w:rsidP="00D11C70">
      <w:pPr>
        <w:pStyle w:val="NormalHanging12a"/>
      </w:pPr>
      <w:r w:rsidRPr="002027F2">
        <w:t>18.</w:t>
      </w:r>
      <w:r w:rsidRPr="002027F2">
        <w:tab/>
        <w:t xml:space="preserve">Jitlob lill-Kummissjoni u lill-koleġiżlaturi japplikaw b’mod sistematiku </w:t>
      </w:r>
      <w:proofErr w:type="spellStart"/>
      <w:r w:rsidRPr="002027F2">
        <w:t>tekniki</w:t>
      </w:r>
      <w:proofErr w:type="spellEnd"/>
      <w:r w:rsidRPr="002027F2">
        <w:t xml:space="preserve"> ta’ abbozzar leġiżlattiv tajbin u jużaw lingwaġġ legali ċar u aċċessibbli, filwaqt li jiżguraw il-koerenza fl-acquis kollu tal-UE u jevitaw id-duplikazzjoni jew il-</w:t>
      </w:r>
      <w:proofErr w:type="spellStart"/>
      <w:r w:rsidRPr="002027F2">
        <w:t>kontradizzjonijiet</w:t>
      </w:r>
      <w:proofErr w:type="spellEnd"/>
      <w:r w:rsidRPr="002027F2">
        <w:t xml:space="preserve"> li joħolqu kumplessità bla bżonn u jxekklu l-implimentazzjoni; itenni li abbozzar ċar u koerenti jsaħħaħ iċ-ċertezza legali u jnaqqas il-piż amministrattiv għaċ-ċittadini, in-negozji u l-amministrazzjonijiet pubbliċi;</w:t>
      </w:r>
    </w:p>
    <w:p w14:paraId="22B8773D" w14:textId="77777777" w:rsidR="00D11C70" w:rsidRPr="002027F2" w:rsidRDefault="00D11C70" w:rsidP="00D11C70">
      <w:pPr>
        <w:pStyle w:val="NormalHanging12a"/>
      </w:pPr>
      <w:r w:rsidRPr="002027F2">
        <w:t>19.</w:t>
      </w:r>
      <w:r w:rsidRPr="002027F2">
        <w:tab/>
        <w:t>Jirrikonoxxi r-rwol essenzjali tal-infurzar tal-liġi fir-rispett tal-istat tad-dritt u l-protezzjoni tad-drittijiet fundamentali; ifakkar li ċ-ċertezza legali, l-aċċessibbiltà u l-prevedibbiltà tal-leġiżlazzjoni huma rekwiżiti fundamentali tal-istat tad-dritt; jitlob lill-Kummissjoni u lill-koleġiżlaturi jiżguraw li l-għodod ta’ regolamentazzjoni aħjar, inklużi l-valutazzjonijiet tal-impatt, il-konsultazzjonijiet u l-evalwazzjonijiet, jikkontribwixxu għal leġiżlazzjoni tal-UE aktar ċara, aktar koerenti u aktar prevedibbli; jistieden lill-Istati Membri jiżguraw li kwalunkwe riforma kostituzzjonali jew leġiżlattiva li taffettwa s-separazzjoni tas-setgħat tkun tikkonforma bis-sħiħ mal-valuri fundamentali u mal-prinċipji legali tal-UE, u li jsir użu sħiħ mis-sett ta’ għodod dwar l-istat tad-dritt tal-UE, peress li dawn ikollhom konsegwenzi enormi għall-koeżjoni tal-UE u għall-ħajja taċ-ċittadini;</w:t>
      </w:r>
    </w:p>
    <w:p w14:paraId="19C325BF" w14:textId="77777777" w:rsidR="00D11C70" w:rsidRPr="002027F2" w:rsidRDefault="00D11C70" w:rsidP="00D11C70">
      <w:pPr>
        <w:pStyle w:val="NormalHanging12a"/>
      </w:pPr>
      <w:r w:rsidRPr="002027F2">
        <w:t>20.</w:t>
      </w:r>
      <w:r w:rsidRPr="002027F2">
        <w:tab/>
        <w:t>Jiddispjaċih ħafna li l-Kummissjoni qed tonqos dejjem aktar milli twettaq valutazzjonijiet tal-impatt, li jiffurmaw komponent tal-qafas għal regolamentazzjoni aħjar tagħha stess; iqis li sabiex jintlaħqu l-objettivi tal-aġenda għal regolamentazzjoni aħjar, il-kwalità u l-użu tal-valutazzjonijiet tal-impatt jeħtieġ li jittejbu b’mod sinifikanti;</w:t>
      </w:r>
    </w:p>
    <w:p w14:paraId="6E8BC7E8" w14:textId="77777777" w:rsidR="00D11C70" w:rsidRPr="002027F2" w:rsidRDefault="00D11C70" w:rsidP="00D11C70">
      <w:pPr>
        <w:pStyle w:val="NormalHanging12a"/>
      </w:pPr>
      <w:r w:rsidRPr="002027F2">
        <w:t>21.</w:t>
      </w:r>
      <w:r w:rsidRPr="002027F2">
        <w:tab/>
        <w:t>Jenfasizza l-ħtieġa ta’ valutazzjonijiet tal-impatt xierqa, indipendenti u trasparenti tal-proposti leġiżlattivi kollha kif ukoll evalwazzjonijiet ex post xierqa tal-inizjattivi tal-Unjoni; ifakkar li, f’diversi okkażjonijiet, il-Parlament wettaq hu stess il-valutazzjonijiet tal-impatt minflok il-Kummissjoni; ifakkar, barra minn hekk, li l-Parlament waqqaf Direttorat għall-Valutazzjoni tal-Impatt u l-Valur Miżjud Ewropew dedikat biex ikun jista’ jwettaq valutazzjonijiet tal-impatt ex </w:t>
      </w:r>
      <w:proofErr w:type="spellStart"/>
      <w:r w:rsidRPr="002027F2">
        <w:t>ante</w:t>
      </w:r>
      <w:proofErr w:type="spellEnd"/>
      <w:r w:rsidRPr="002027F2">
        <w:t xml:space="preserve"> u evalwazzjonijiet ex post bil-ħsieb li jappoġġja t-tfassil tal-politika </w:t>
      </w:r>
      <w:proofErr w:type="spellStart"/>
      <w:r w:rsidRPr="002027F2">
        <w:t>bbażat</w:t>
      </w:r>
      <w:proofErr w:type="spellEnd"/>
      <w:r w:rsidRPr="002027F2">
        <w:t xml:space="preserve"> fuq l-evidenza; ifakkar, madankollu, li l-valutazzjonijiet tal-impatt jgħinu biex jinfurmaw, iżda ma </w:t>
      </w:r>
      <w:proofErr w:type="spellStart"/>
      <w:r w:rsidRPr="002027F2">
        <w:t>jissostitwux</w:t>
      </w:r>
      <w:proofErr w:type="spellEnd"/>
      <w:r w:rsidRPr="002027F2">
        <w:t>, it-teħid ta’ deċiżjonijiet politiċi;</w:t>
      </w:r>
    </w:p>
    <w:p w14:paraId="0380FFFA" w14:textId="77777777" w:rsidR="00D11C70" w:rsidRPr="002027F2" w:rsidRDefault="00D11C70" w:rsidP="00D11C70">
      <w:pPr>
        <w:pStyle w:val="NormalHanging12a"/>
      </w:pPr>
      <w:r w:rsidRPr="002027F2">
        <w:t>22.</w:t>
      </w:r>
      <w:r w:rsidRPr="002027F2">
        <w:tab/>
        <w:t xml:space="preserve">Jenfasizza li l-inizjattivi leġiżlattivi u ta’ politika ewlenin kollha għandhom ikunu akkumpanjati minn analiżi tal-kostijiet-benefiċċji bħala parti mill-valutazzjoni tal-impatt, inkluż fir-rigward tal-impatti soċjali, ekonomiċi u ambjentali tagħhom; iqis li tali analiżijiet huma indispensabbli għat-tfassil tal-politika </w:t>
      </w:r>
      <w:proofErr w:type="spellStart"/>
      <w:r w:rsidRPr="002027F2">
        <w:t>bbażat</w:t>
      </w:r>
      <w:proofErr w:type="spellEnd"/>
      <w:r w:rsidRPr="002027F2">
        <w:t xml:space="preserve"> fuq l-evidenza u biex tinżamm il-fiduċja taċ-ċittadini u tan-negozji fil-leġiżlazzjoni tal-UE;</w:t>
      </w:r>
    </w:p>
    <w:p w14:paraId="06E8D47E" w14:textId="77777777" w:rsidR="00D11C70" w:rsidRPr="002027F2" w:rsidRDefault="00D11C70" w:rsidP="00D11C70">
      <w:pPr>
        <w:pStyle w:val="NormalHanging12a"/>
      </w:pPr>
      <w:r w:rsidRPr="002027F2">
        <w:t>23.</w:t>
      </w:r>
      <w:r w:rsidRPr="002027F2">
        <w:tab/>
        <w:t>Itenni t-talba tiegħu biex id-drittijiet tat-tfal jiġu integrati fil-leġiżlazzjoni kollha tal-UE permezz tal-introduzzjoni ta’ test tad-drittijiet tat-tfal fil-qafas tas-sett ta’ għodod tal-valutazzjoni tal-impatt, li jiżgura li l-proposti leġiżlattivi kollha tal-UE jiġu evalwati għall-impatt possibbli tagħhom fuq id-drittijiet tat-tfal, jiġu identifikati l-oqsma affettwati u tiġi prevista l-valutazzjoni ta’ miżuri alternattivi fejn meħtieġ; jissottolinja li dan il-proċess għandu jinvolvi l-Pjattaforma tal-UE għall-Parteċipazzjoni tat-Tfal biex jissaħħu l-ilħna tat-tfal fil-proċess tat-teħid tad-deċiżjonijiet;</w:t>
      </w:r>
    </w:p>
    <w:p w14:paraId="2D2CA1DE" w14:textId="77777777" w:rsidR="00D11C70" w:rsidRPr="002027F2" w:rsidRDefault="00D11C70" w:rsidP="00D11C70">
      <w:pPr>
        <w:pStyle w:val="NormalHanging12a"/>
      </w:pPr>
      <w:r w:rsidRPr="002027F2">
        <w:lastRenderedPageBreak/>
        <w:t>24.</w:t>
      </w:r>
      <w:r w:rsidRPr="002027F2">
        <w:tab/>
        <w:t>Ifakkar li l-ħtieġa ta’ leġiżlazzjoni ġdida m’għandhiex timplika awtomatikament li l-leġiżlazzjoni attwali m’għadhiex meħtieġa; huwa tal-fehma, f’dan ir-rigward, li għandha titwettaq ukoll valutazzjoni tal-impatt bir-reqqa għal kwalunkwe revoka potenzjali biex jiġu evitati konsegwenzi mhux mistennija u effetti mhux mixtieqa; jitlob li dan l-approċċ ikun ibbażat fuq metodoloġija trasparenti u bbażata fuq l-evidenza;</w:t>
      </w:r>
    </w:p>
    <w:p w14:paraId="244A8F0D" w14:textId="77777777" w:rsidR="00D11C70" w:rsidRPr="002027F2" w:rsidRDefault="00D11C70" w:rsidP="00D11C70">
      <w:pPr>
        <w:pStyle w:val="NormalHanging12a"/>
      </w:pPr>
      <w:r w:rsidRPr="002027F2">
        <w:t>25.</w:t>
      </w:r>
      <w:r w:rsidRPr="002027F2">
        <w:tab/>
        <w:t>Jisħaq li l-Kummissjoni jeħtiġilha tinforma u tikkonsulta b’mod sistematiku lill-Parlament u lill-Kunsill, u, fejn xieraq, lill-parlamenti nazzjonali matul iċ-ċiklu kollu tat-tfassil tal-liġijiet, sabiex tiggarantixxi r-responsabbiltà demokratika, il-bilanċ istituzzjonali u t-trasparenza fit-tfassil tal-politika tal-UE;</w:t>
      </w:r>
    </w:p>
    <w:p w14:paraId="5B5EB18C" w14:textId="77777777" w:rsidR="00D11C70" w:rsidRPr="002027F2" w:rsidRDefault="00D11C70" w:rsidP="00D11C70">
      <w:pPr>
        <w:pStyle w:val="NormalHanging12a"/>
      </w:pPr>
      <w:r w:rsidRPr="002027F2">
        <w:t>26.</w:t>
      </w:r>
      <w:r w:rsidRPr="002027F2">
        <w:tab/>
        <w:t>Jirrikonoxxi li l-mekkaniżmi attwali li huma maħsuba biex jikkontrollaw il-piż leġiżlattiv, bħall-approċċ “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in</w:t>
      </w:r>
      <w:proofErr w:type="spellEnd"/>
      <w:r w:rsidRPr="002027F2">
        <w:t xml:space="preserve">, 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out</w:t>
      </w:r>
      <w:proofErr w:type="spellEnd"/>
      <w:r w:rsidRPr="002027F2">
        <w:t xml:space="preserve">”, </w:t>
      </w:r>
      <w:proofErr w:type="spellStart"/>
      <w:r w:rsidRPr="002027F2">
        <w:t>isibuha</w:t>
      </w:r>
      <w:proofErr w:type="spellEnd"/>
      <w:r w:rsidRPr="002027F2">
        <w:t xml:space="preserve"> diffiċli biex jiffunzjonaw b’mod effettiv bħala riżultat tan-nuqqas ta’ evalwazzjonijiet ex post xierqa tal-kost reali tal-leġiżlazzjoni; jinnota – fir-rigward tal-approċċ “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in</w:t>
      </w:r>
      <w:proofErr w:type="spellEnd"/>
      <w:r w:rsidRPr="002027F2">
        <w:t xml:space="preserve">, 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out</w:t>
      </w:r>
      <w:proofErr w:type="spellEnd"/>
      <w:r w:rsidRPr="002027F2">
        <w:t>” b’mod speċifiku – li dan huwa limitat għall-atti leġiżlattivi bażiċi; jissottolinja li l-implimentazzjoni ta’ dan l-approċċ ma għandhiex taffettwa l-</w:t>
      </w:r>
      <w:proofErr w:type="spellStart"/>
      <w:r w:rsidRPr="002027F2">
        <w:t>imperattivi</w:t>
      </w:r>
      <w:proofErr w:type="spellEnd"/>
      <w:r w:rsidRPr="002027F2">
        <w:t xml:space="preserve"> politiċi jew l-objettivi ta’ regolamentazzjoni aħjar u jenfasizza li din ma għandhiex twassal għal deċiżjonijiet mekkaniċi jew matematiċi biex tiġi revokata l-leġiżlazzjoni; iqis ukoll li n-nuqqas ta’ mekkaniżmi effiċjenti għat-tneħħija ta’ miżuri skaduti jew żejda jikkostitwixxi nuqqas serju; jenfasizza l-ħtieġa li ssir enfasi fuq it-titjib tal-leġiżlazzjoni tal-UE sabiex jiġi żgurat li tibqa’ adattata għall-iskop tagħha;</w:t>
      </w:r>
    </w:p>
    <w:p w14:paraId="5ACE412B" w14:textId="77777777" w:rsidR="00D11C70" w:rsidRPr="002027F2" w:rsidRDefault="00D11C70" w:rsidP="00D11C70">
      <w:pPr>
        <w:pStyle w:val="NormalHanging12a"/>
      </w:pPr>
      <w:r w:rsidRPr="002027F2">
        <w:t>27.</w:t>
      </w:r>
      <w:r w:rsidRPr="002027F2">
        <w:tab/>
        <w:t>Jinnota l-objettivi tal-Kummissjoni ta’ tnaqqis tal-piżijiet bħala pass lejn regolamentazzjoni aktar intelliġenti; ifakkar li l-evalwazzjoni sistematika u bbażata fuq l-evidenza tal-leġiżlazzjoni, kif prevista fis-sett ta’ għodod għal regolamentazzjoni aħjar, trid tibqa’ l-pedament ta’ dan il-proċess;</w:t>
      </w:r>
    </w:p>
    <w:p w14:paraId="35A6EB62" w14:textId="77777777" w:rsidR="00D11C70" w:rsidRPr="002027F2" w:rsidRDefault="00D11C70" w:rsidP="00D11C70">
      <w:pPr>
        <w:pStyle w:val="NormalHanging12a"/>
      </w:pPr>
      <w:r w:rsidRPr="002027F2">
        <w:t>28.</w:t>
      </w:r>
      <w:r w:rsidRPr="002027F2">
        <w:tab/>
        <w:t xml:space="preserve">Ifakkar li l-atti delegati </w:t>
      </w:r>
      <w:proofErr w:type="spellStart"/>
      <w:r w:rsidRPr="002027F2">
        <w:t>jissupplimentaw</w:t>
      </w:r>
      <w:proofErr w:type="spellEnd"/>
      <w:r w:rsidRPr="002027F2">
        <w:t xml:space="preserve"> jew jemendaw biss ċerti elementi mhux essenzjali ta’ att bażiku, filwaqt li l-atti ta’ implimentazzjoni jiżguraw kundizzjonijiet uniformi għall-implimentazzjoni, u għalhekk it-tnejn li huma għandhom jintużaw kif xieraq u b’mod proporzjonat, u jkunu limitati għall-aspetti tekniċi meħtieġa għall-applikazzjoni tal-atti bażiċi filwaqt li jiġu evitati d-</w:t>
      </w:r>
      <w:proofErr w:type="spellStart"/>
      <w:r w:rsidRPr="002027F2">
        <w:t>duplikazzjonijiet</w:t>
      </w:r>
      <w:proofErr w:type="spellEnd"/>
      <w:r w:rsidRPr="002027F2">
        <w:t xml:space="preserve">, </w:t>
      </w:r>
      <w:proofErr w:type="spellStart"/>
      <w:r w:rsidRPr="002027F2">
        <w:t>it-trikkib</w:t>
      </w:r>
      <w:proofErr w:type="spellEnd"/>
      <w:r w:rsidRPr="002027F2">
        <w:t xml:space="preserve"> jew il-</w:t>
      </w:r>
      <w:proofErr w:type="spellStart"/>
      <w:r w:rsidRPr="002027F2">
        <w:t>kontradizzjonijiet</w:t>
      </w:r>
      <w:proofErr w:type="spellEnd"/>
      <w:r w:rsidRPr="002027F2">
        <w:t xml:space="preserve"> li joħolqu kumplessità bla bżonn; jenfasizza l-importanza li l-atti delegati u ta’ implimentazzjoni jiġu soġġetti għal proċeduri trasparenti, bi skedi ta’ żmien ċari li jippermettu biżżejjed żmien għal skrutinju sinifikattiv u effettiv mill-koleġiżlaturi; jitlob li l-atti delegati u ta’ implimentazzjoni jiġu ppubblikati minn qabel sew biex il-partijiet ikkonċernati jkunu jistgħu jħejju għall-konformità; </w:t>
      </w:r>
      <w:proofErr w:type="spellStart"/>
      <w:r w:rsidRPr="002027F2">
        <w:t>jinsisti</w:t>
      </w:r>
      <w:proofErr w:type="spellEnd"/>
      <w:r w:rsidRPr="002027F2">
        <w:t xml:space="preserve"> li, kull fejn ikun possibbli, l-atti delegati u ta’ implimentazzjoni jsiru disponibbli </w:t>
      </w:r>
      <w:proofErr w:type="spellStart"/>
      <w:r w:rsidRPr="002027F2">
        <w:t>simultanjament</w:t>
      </w:r>
      <w:proofErr w:type="spellEnd"/>
      <w:r w:rsidRPr="002027F2">
        <w:t xml:space="preserve"> mad-dħul fis-seħħ tal-att bażiku sabiex jiġu ggarantiti ċ-ċertezza legali u l-</w:t>
      </w:r>
      <w:proofErr w:type="spellStart"/>
      <w:r w:rsidRPr="002027F2">
        <w:t>infurzabbiltà</w:t>
      </w:r>
      <w:proofErr w:type="spellEnd"/>
      <w:r w:rsidRPr="002027F2">
        <w:t>; jistieden lill-Kummissjoni tikkunsidra wkoll l-kostijiet u l-benefiċċji kif ukoll l-implimentazzjoni u l-applikazzjoni xierqa tal-atti delegati u ta’ implimentazzjoni fil-valutazzjoni ġenerali tal-piż regolatorju;</w:t>
      </w:r>
    </w:p>
    <w:p w14:paraId="5FA0E37E" w14:textId="77777777" w:rsidR="00D11C70" w:rsidRPr="002027F2" w:rsidRDefault="00D11C70" w:rsidP="00D11C70">
      <w:pPr>
        <w:pStyle w:val="NormalHanging12a"/>
      </w:pPr>
      <w:r w:rsidRPr="002027F2">
        <w:t>29.</w:t>
      </w:r>
      <w:r w:rsidRPr="002027F2">
        <w:tab/>
        <w:t>Jistieden lill-Kummissjoni tkompli żżid l-isforzi biex tnaqqas l-obbligi regolatorji għaċ-ċittadini u n-negozji u ttejjeb il-kwalità u l-effettività tal-leġiżlazzjoni tal-UE billi tiżgura li l-miżuri regolatorji jkunu proporzjonati u bbażati fuq l-evidenza u jagħtu valur miżjud ċar liċ-ċittadini u n-negozji tal-UE; iqis li l-approċċ attwali ta’ “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in</w:t>
      </w:r>
      <w:proofErr w:type="spellEnd"/>
      <w:r w:rsidRPr="002027F2">
        <w:t xml:space="preserve">, </w:t>
      </w:r>
      <w:proofErr w:type="spellStart"/>
      <w:r w:rsidRPr="002027F2">
        <w:t>one</w:t>
      </w:r>
      <w:proofErr w:type="spellEnd"/>
      <w:r w:rsidRPr="002027F2">
        <w:t xml:space="preserve"> </w:t>
      </w:r>
      <w:proofErr w:type="spellStart"/>
      <w:r w:rsidRPr="002027F2">
        <w:t>out</w:t>
      </w:r>
      <w:proofErr w:type="spellEnd"/>
      <w:r w:rsidRPr="002027F2">
        <w:t xml:space="preserve">” huwa </w:t>
      </w:r>
      <w:proofErr w:type="spellStart"/>
      <w:r w:rsidRPr="002027F2">
        <w:t>inadegwat</w:t>
      </w:r>
      <w:proofErr w:type="spellEnd"/>
      <w:r w:rsidRPr="002027F2">
        <w:t xml:space="preserve"> f’dan ir-rigward; jitlob, għalhekk, li jiġi stabbilit approċċ ġenerali aktar ambizzjuż, inkluż f’każijiet fejn diversi strumenti leġiżlattivi jistgħu jiġu sostitwiti, imħassra jew irtirati fl-istess ħin, eż. biex jiġu evitati l-frammentazzjoni, id-</w:t>
      </w:r>
      <w:proofErr w:type="spellStart"/>
      <w:r w:rsidRPr="002027F2">
        <w:lastRenderedPageBreak/>
        <w:t>duplikazzjonijiet</w:t>
      </w:r>
      <w:proofErr w:type="spellEnd"/>
      <w:r w:rsidRPr="002027F2">
        <w:t xml:space="preserve">, </w:t>
      </w:r>
      <w:proofErr w:type="spellStart"/>
      <w:r w:rsidRPr="002027F2">
        <w:t>it-trikkib</w:t>
      </w:r>
      <w:proofErr w:type="spellEnd"/>
      <w:r w:rsidRPr="002027F2">
        <w:t xml:space="preserve"> jew ir-</w:t>
      </w:r>
      <w:proofErr w:type="spellStart"/>
      <w:r w:rsidRPr="002027F2">
        <w:t>ridondanzi</w:t>
      </w:r>
      <w:proofErr w:type="spellEnd"/>
      <w:r w:rsidRPr="002027F2">
        <w:t>, u biex jitnaqqsu l-kostijiet; jinnota li dan l-approċċ għandu jinkludi metodoloġija ċara u mekkaniżmu ta’ monitoraġġ indipendenti u trasparenti biex jinkiseb tnaqqis nett fil-kostijiet regolatorji, filwaqt li jitqies ukoll il-kost tan-nuqqas ta’ leġiżlazzjoni fejn huwa mistenni valur miżjud tal-UE; jisħaq li l-enfasi għandha tkun fuq it-tnaqqis tal-piżijiet amministrattivi bla bżonn filwaqt li jintlaħqu l-objettivi ta’ politika tal-UE, inkluż għall-protezzjoni soċjali, ambjentali u tal-konsumatur; jitlob, barra minn hekk, li l-Parlament ikollu rwol aktar b’saħħtu fl-evalwazzjoni ex post tal-leġiżlazzjoni tal-UE u fil-monitoraġġ tal-implimentazzjoni tal-approċċ ta’ simplifikazzjoni msemmi hawn fuq;</w:t>
      </w:r>
    </w:p>
    <w:p w14:paraId="3A445142" w14:textId="77777777" w:rsidR="00D11C70" w:rsidRPr="002027F2" w:rsidRDefault="00D11C70" w:rsidP="00D11C70">
      <w:pPr>
        <w:pStyle w:val="NormalHanging12a"/>
      </w:pPr>
      <w:r w:rsidRPr="002027F2">
        <w:t>30.</w:t>
      </w:r>
      <w:r w:rsidRPr="002027F2">
        <w:tab/>
        <w:t xml:space="preserve">Jieħu nota tal-involviment tal-Bord tal-Iskrutinju Regolatorju fil-valutazzjonijiet tal-impatt, il-kontrolli tal-idoneità u l-evalwazzjonijiet ewlenin tal-leġiżlazzjoni attwali; jistieden lill-Kummissjoni </w:t>
      </w:r>
      <w:proofErr w:type="spellStart"/>
      <w:r w:rsidRPr="002027F2">
        <w:t>tesplora</w:t>
      </w:r>
      <w:proofErr w:type="spellEnd"/>
      <w:r w:rsidRPr="002027F2">
        <w:t xml:space="preserve"> modi kif ittejjeb l-indipendenza, il-kapaċità, il-mandat u l-proċeduri tal-Bord tal-Iskrutinju Regolatorju, inkluż billi tiżgura li jingħata riżorsi adegwati biex </w:t>
      </w:r>
      <w:proofErr w:type="spellStart"/>
      <w:r w:rsidRPr="002027F2">
        <w:t>jirrieżamina</w:t>
      </w:r>
      <w:proofErr w:type="spellEnd"/>
      <w:r w:rsidRPr="002027F2">
        <w:t xml:space="preserve"> proporzjon akbar tal-inizjattivi leġiżlattivi tal-Kummissjoni; jitlob li tittejjeb it-trasparenza tal-Bord tal-Iskrutinju Regolatorju, inkluż permezz tal-pubblikazzjoni aktar rapida tal-opinjonijiet tiegħu u aktar ċarezza dwar is-segwitu għar-rakkomandazzjonijiet tiegħu; jissottolinja li l-ħidma tal-Bord tal-Iskrutinju Regolatorju ma għandhiex </w:t>
      </w:r>
      <w:proofErr w:type="spellStart"/>
      <w:r w:rsidRPr="002027F2">
        <w:t>iddewwem</w:t>
      </w:r>
      <w:proofErr w:type="spellEnd"/>
      <w:r w:rsidRPr="002027F2">
        <w:t xml:space="preserve"> bla bżonn l-adozzjoni tal-proposti leġiżlattivi;</w:t>
      </w:r>
    </w:p>
    <w:p w14:paraId="69EE2DCF" w14:textId="77777777" w:rsidR="00D11C70" w:rsidRPr="002027F2" w:rsidRDefault="00D11C70" w:rsidP="00D11C70">
      <w:pPr>
        <w:pStyle w:val="NormalHanging12a"/>
      </w:pPr>
      <w:r w:rsidRPr="002027F2">
        <w:t>31.</w:t>
      </w:r>
      <w:r w:rsidRPr="002027F2">
        <w:tab/>
        <w:t xml:space="preserve">Huwa tal-fehma li, f’każijiet fejn il-Bord tal-Iskrutinju Regolatorju joħroġ opinjoni negattiva dwar valutazzjoni tal-impatt, il-Parlament għandu jkun infurmat kif xieraq u kmieni biżżejjed biex </w:t>
      </w:r>
      <w:proofErr w:type="spellStart"/>
      <w:r w:rsidRPr="002027F2">
        <w:t>jirrieżamina</w:t>
      </w:r>
      <w:proofErr w:type="spellEnd"/>
      <w:r w:rsidRPr="002027F2">
        <w:t xml:space="preserve"> jekk għandux jipproċedi bil-proposta jew </w:t>
      </w:r>
      <w:proofErr w:type="spellStart"/>
      <w:r w:rsidRPr="002027F2">
        <w:t>jirrifjutaha</w:t>
      </w:r>
      <w:proofErr w:type="spellEnd"/>
      <w:r w:rsidRPr="002027F2">
        <w:t>;</w:t>
      </w:r>
    </w:p>
    <w:p w14:paraId="7160606C" w14:textId="77777777" w:rsidR="00D11C70" w:rsidRPr="002027F2" w:rsidRDefault="00D11C70" w:rsidP="00D11C70">
      <w:pPr>
        <w:pStyle w:val="NormalHanging12a"/>
      </w:pPr>
      <w:r w:rsidRPr="002027F2">
        <w:t>32.</w:t>
      </w:r>
      <w:r w:rsidRPr="002027F2">
        <w:tab/>
        <w:t xml:space="preserve">Jinnota li l-istħarriġ tal-piż annwali tal-Kummissjoni għandu rwol ċentrali </w:t>
      </w:r>
      <w:proofErr w:type="spellStart"/>
      <w:r w:rsidRPr="002027F2">
        <w:t>fit</w:t>
      </w:r>
      <w:proofErr w:type="spellEnd"/>
      <w:r w:rsidRPr="002027F2">
        <w:t xml:space="preserve">-traċċar tal-progress dwar it-tnaqqis tal-piżijiet; jisħaq, madankollu, li hija meħtieġa trasparenza akbar fir-rigward tal-kalkoli u l-metodoloġija użati biex jitkejlu l-kostijiet u l-effetti </w:t>
      </w:r>
      <w:proofErr w:type="spellStart"/>
      <w:r w:rsidRPr="002027F2">
        <w:t>kumulattivi</w:t>
      </w:r>
      <w:proofErr w:type="spellEnd"/>
      <w:r w:rsidRPr="002027F2">
        <w:t>, sabiex jiġu żgurati l-obbligu ta’ rendikont u l-</w:t>
      </w:r>
      <w:proofErr w:type="spellStart"/>
      <w:r w:rsidRPr="002027F2">
        <w:t>komparabbiltà</w:t>
      </w:r>
      <w:proofErr w:type="spellEnd"/>
      <w:r w:rsidRPr="002027F2">
        <w:t xml:space="preserve"> fl-oqsma ta’ politika kollha;</w:t>
      </w:r>
    </w:p>
    <w:p w14:paraId="1960039A" w14:textId="77777777" w:rsidR="00D11C70" w:rsidRPr="002027F2" w:rsidRDefault="00D11C70" w:rsidP="00D11C70">
      <w:pPr>
        <w:pStyle w:val="NormalHanging12a"/>
      </w:pPr>
      <w:r w:rsidRPr="002027F2">
        <w:t>33.</w:t>
      </w:r>
      <w:r w:rsidRPr="002027F2">
        <w:tab/>
        <w:t xml:space="preserve">Jilqa’ l-idea proposta mir-rapport </w:t>
      </w:r>
      <w:proofErr w:type="spellStart"/>
      <w:r w:rsidRPr="002027F2">
        <w:t>Draghi</w:t>
      </w:r>
      <w:proofErr w:type="spellEnd"/>
      <w:r w:rsidRPr="002027F2">
        <w:t xml:space="preserve"> li tiġi żviluppata metodoloġija waħda u ċara biex jiġi </w:t>
      </w:r>
      <w:proofErr w:type="spellStart"/>
      <w:r w:rsidRPr="002027F2">
        <w:t>kkwantifikat</w:t>
      </w:r>
      <w:proofErr w:type="spellEnd"/>
      <w:r w:rsidRPr="002027F2">
        <w:t xml:space="preserve"> il-kost ta’ leġiżlazzjoni ġdida u huwa tal-fehma li l-Kummissjoni għandha tiżviluppa tali metodoloġija;</w:t>
      </w:r>
    </w:p>
    <w:p w14:paraId="1376E1DF" w14:textId="77777777" w:rsidR="00D11C70" w:rsidRPr="002027F2" w:rsidRDefault="00D11C70" w:rsidP="00D11C70">
      <w:pPr>
        <w:pStyle w:val="NormalHanging12a"/>
      </w:pPr>
      <w:r w:rsidRPr="002027F2">
        <w:t>34.</w:t>
      </w:r>
      <w:r w:rsidRPr="002027F2">
        <w:tab/>
        <w:t xml:space="preserve">Jinnota li l-obbligi ta’ rappurtar spiss jiġġeneraw kostijiet amministrattivi konsiderevoli għall-kumpaniji, b’mod partikolari l-SMEs; huwa tal-fehma li tali obbligi għandhom jiġu </w:t>
      </w:r>
      <w:proofErr w:type="spellStart"/>
      <w:r w:rsidRPr="002027F2">
        <w:t>simplifikati</w:t>
      </w:r>
      <w:proofErr w:type="spellEnd"/>
      <w:r w:rsidRPr="002027F2">
        <w:t xml:space="preserve"> u li għandu jingħata aktar appoġġ sabiex ir-rappurtar jiġi </w:t>
      </w:r>
      <w:proofErr w:type="spellStart"/>
      <w:r w:rsidRPr="002027F2">
        <w:t>diġitalizzat</w:t>
      </w:r>
      <w:proofErr w:type="spellEnd"/>
      <w:r w:rsidRPr="002027F2">
        <w:t>; jirrikonoxxi, madankollu, l-importanza ta’ rappurtar effettiv għat-traċċar tal-objettivi leġittimi tal-ordni pubbliku u l-infurzar tal-leġiżlazzjoni u, b’hekk, għas-servizz tal-interess ġenerali; jistieden, għalhekk, lill-Kummissjoni u lill-Istati Membri jivvalutaw il-miżuri ta’ appoġġ potenzjali biex il-kumpaniji jimminimizzaw il-kostijiet relatati mar-rappurtar meta jkunu qed jimplimentaw il-leġiżlazzjoni tal-UE u jivvalutaw ukoll il-fattibbiltà li jiġu stabbiliti mekkaniżmi li jikkumpensaw lill-kumpaniji għall-kompiti ta’ rappurtar imwettqa kif xieraq f’rapport;</w:t>
      </w:r>
    </w:p>
    <w:p w14:paraId="52C3E0F5" w14:textId="77777777" w:rsidR="00D11C70" w:rsidRPr="002027F2" w:rsidRDefault="00D11C70" w:rsidP="00D11C70">
      <w:pPr>
        <w:pStyle w:val="NormalHanging12a"/>
      </w:pPr>
      <w:r w:rsidRPr="002027F2">
        <w:t>35.</w:t>
      </w:r>
      <w:r w:rsidRPr="002027F2">
        <w:tab/>
        <w:t xml:space="preserve">Jistieden lill-Kummissjoni </w:t>
      </w:r>
      <w:proofErr w:type="spellStart"/>
      <w:r w:rsidRPr="002027F2">
        <w:t>tintegra</w:t>
      </w:r>
      <w:proofErr w:type="spellEnd"/>
      <w:r w:rsidRPr="002027F2">
        <w:t xml:space="preserve"> b’mod sistematiku data minn isfel għal fuq dwar kif iċ-ċittadini </w:t>
      </w:r>
      <w:proofErr w:type="spellStart"/>
      <w:r w:rsidRPr="002027F2">
        <w:t>jipperċepixxu</w:t>
      </w:r>
      <w:proofErr w:type="spellEnd"/>
      <w:r w:rsidRPr="002027F2">
        <w:t>, jifhmu u jeżerċitaw id-drittijiet tagħhom fil-prattika, inkluża l-esperjenza tagħhom bil-mekkaniżmi ta’ infurzar u ta’ rimedju; jitlob li din id-data tiġi riflessa aħjar fil-linji gwida u s-sett ta’ għodod għal regolamentazzjoni aħjar; jistieden lill-Kummissjoni u lill-koleġiżlaturi jżidu l-</w:t>
      </w:r>
      <w:proofErr w:type="spellStart"/>
      <w:r w:rsidRPr="002027F2">
        <w:t>applikabbiltà</w:t>
      </w:r>
      <w:proofErr w:type="spellEnd"/>
      <w:r w:rsidRPr="002027F2">
        <w:t xml:space="preserve"> prattika tal-leġiżlazzjoni tal-UE f’kull stadju taċ-ċiklu tal-politika, inkluż permezz ta’ involviment ġenwin taċ-</w:t>
      </w:r>
      <w:r w:rsidRPr="002027F2">
        <w:lastRenderedPageBreak/>
        <w:t xml:space="preserve">ċittadini u tan-negozji matul il-konċepiment tal-politika, l-abbozzar </w:t>
      </w:r>
      <w:proofErr w:type="spellStart"/>
      <w:r w:rsidRPr="002027F2">
        <w:t>iffukat</w:t>
      </w:r>
      <w:proofErr w:type="spellEnd"/>
      <w:r w:rsidRPr="002027F2">
        <w:t xml:space="preserve"> fuq l-utent, l-ittestjar mill-utenti tal-abbozzi ta’ atti u l-konsultazzjoni </w:t>
      </w:r>
      <w:proofErr w:type="spellStart"/>
      <w:r w:rsidRPr="002027F2">
        <w:t>postleġiżlattiva</w:t>
      </w:r>
      <w:proofErr w:type="spellEnd"/>
      <w:r w:rsidRPr="002027F2">
        <w:t>;</w:t>
      </w:r>
    </w:p>
    <w:p w14:paraId="3F99F2A4" w14:textId="77777777" w:rsidR="00D11C70" w:rsidRPr="002027F2" w:rsidRDefault="00D11C70" w:rsidP="00D11C70">
      <w:pPr>
        <w:pStyle w:val="Normal12a"/>
      </w:pPr>
      <w:r w:rsidRPr="002027F2">
        <w:rPr>
          <w:b/>
        </w:rPr>
        <w:t>L-idoneità regolatorja u t-tfassil aħjar tal-liġijiet għall-kompetittività</w:t>
      </w:r>
    </w:p>
    <w:p w14:paraId="0FFE5D0A" w14:textId="77777777" w:rsidR="00D11C70" w:rsidRPr="002027F2" w:rsidRDefault="00D11C70" w:rsidP="00D11C70">
      <w:pPr>
        <w:pStyle w:val="NormalHanging12a"/>
      </w:pPr>
      <w:r w:rsidRPr="002027F2">
        <w:t>36.</w:t>
      </w:r>
      <w:r w:rsidRPr="002027F2">
        <w:tab/>
        <w:t xml:space="preserve">Jitlob li proċessi bħall-evalwazzjonijiet u l-programm dwar l-idoneità u l-prestazzjoni tar-regolamentazzjoni (REFIT), li għandhom l-għan li jissimplifikaw il-leġiżlazzjoni, jintużaw aktar ta’ spiss; iqis ukoll li </w:t>
      </w:r>
      <w:proofErr w:type="spellStart"/>
      <w:r w:rsidRPr="002027F2">
        <w:t>tekniki</w:t>
      </w:r>
      <w:proofErr w:type="spellEnd"/>
      <w:r w:rsidRPr="002027F2">
        <w:t xml:space="preserve"> leġiżlattivi differenti li jistgħu jgħinu f’miżuri skaduti jew żejda, ma jintużawx biżżejjed jew, meta jintużaw, jintużaw ħażin;</w:t>
      </w:r>
    </w:p>
    <w:p w14:paraId="2C440BD8" w14:textId="77777777" w:rsidR="00D11C70" w:rsidRPr="002027F2" w:rsidRDefault="00D11C70" w:rsidP="00D11C70">
      <w:pPr>
        <w:pStyle w:val="NormalHanging12a"/>
      </w:pPr>
      <w:r w:rsidRPr="002027F2">
        <w:t>37.</w:t>
      </w:r>
      <w:r w:rsidRPr="002027F2">
        <w:tab/>
        <w:t xml:space="preserve">Ifakkar li r-rapport </w:t>
      </w:r>
      <w:proofErr w:type="spellStart"/>
      <w:r w:rsidRPr="002027F2">
        <w:t>Draghi</w:t>
      </w:r>
      <w:proofErr w:type="spellEnd"/>
      <w:r w:rsidRPr="002027F2">
        <w:t xml:space="preserve"> </w:t>
      </w:r>
      <w:proofErr w:type="spellStart"/>
      <w:r w:rsidRPr="002027F2">
        <w:t>ssottolinja</w:t>
      </w:r>
      <w:proofErr w:type="spellEnd"/>
      <w:r w:rsidRPr="002027F2">
        <w:t xml:space="preserve"> s-simplifikazzjoni tar-regoli bħala wieħed mit-tliet għanijiet ġenerali għal sħubija Ewropea mġedda</w:t>
      </w:r>
      <w:r w:rsidRPr="002027F2">
        <w:rPr>
          <w:rStyle w:val="FootnoteReference"/>
        </w:rPr>
        <w:footnoteReference w:customMarkFollows="1" w:id="8"/>
        <w:t>8</w:t>
      </w:r>
      <w:r w:rsidRPr="002027F2">
        <w:t xml:space="preserve">; jirrimarka li s-simplifikazzjoni tirrikjedi li ssir enfasi wkoll fuq strateġiji ta’ implimentazzjoni intelliġenti, filwaqt li jittieħed approċċ prammatiku, legalment sod u effiċjenti biex </w:t>
      </w:r>
      <w:proofErr w:type="spellStart"/>
      <w:r w:rsidRPr="002027F2">
        <w:t>jittaffew</w:t>
      </w:r>
      <w:proofErr w:type="spellEnd"/>
      <w:r w:rsidRPr="002027F2">
        <w:t xml:space="preserve"> il-piżijiet amministrattivi għall-kumpaniji u l-SMEs b’mod partikolari, u tiġi </w:t>
      </w:r>
      <w:proofErr w:type="spellStart"/>
      <w:r w:rsidRPr="002027F2">
        <w:t>ssimplifikata</w:t>
      </w:r>
      <w:proofErr w:type="spellEnd"/>
      <w:r w:rsidRPr="002027F2">
        <w:t xml:space="preserve"> kemm jista’ jkun l-implimentazzjoni tar-regoli miftiehma; ifakkar, barra minn hekk, li, ir-rapport </w:t>
      </w:r>
      <w:proofErr w:type="spellStart"/>
      <w:r w:rsidRPr="002027F2">
        <w:t>Letta</w:t>
      </w:r>
      <w:proofErr w:type="spellEnd"/>
      <w:r w:rsidRPr="002027F2">
        <w:t xml:space="preserve"> jisħaq li r-regolamenti għandhom jiffaċilitaw, u mhux ifixklu, l-attività ekonomika u l-innovazzjoni fis-suq uniku</w:t>
      </w:r>
      <w:r w:rsidRPr="002027F2">
        <w:rPr>
          <w:rStyle w:val="FootnoteReference"/>
        </w:rPr>
        <w:footnoteReference w:customMarkFollows="1" w:id="9"/>
        <w:t>9</w:t>
      </w:r>
      <w:r w:rsidRPr="002027F2">
        <w:t>;</w:t>
      </w:r>
    </w:p>
    <w:p w14:paraId="498734AF" w14:textId="77777777" w:rsidR="00D11C70" w:rsidRPr="002027F2" w:rsidRDefault="00D11C70" w:rsidP="00D11C70">
      <w:pPr>
        <w:pStyle w:val="NormalHanging12a"/>
      </w:pPr>
      <w:r w:rsidRPr="002027F2">
        <w:t>38.</w:t>
      </w:r>
      <w:r w:rsidRPr="002027F2">
        <w:tab/>
        <w:t xml:space="preserve">Jilqa’ l-introduzzjoni, fl-2023, tal-kontroll il-ġdid fir-rigward tal-SMEs u tal-kompetittività, li sar anness obbligatorju għall-valutazzjonijiet tal-impatt; jilqa’ l-wegħda tal-President tal-Kummissjoni Ursula von </w:t>
      </w:r>
      <w:proofErr w:type="spellStart"/>
      <w:r w:rsidRPr="002027F2">
        <w:t>der</w:t>
      </w:r>
      <w:proofErr w:type="spellEnd"/>
      <w:r w:rsidRPr="002027F2">
        <w:t xml:space="preserve"> </w:t>
      </w:r>
      <w:proofErr w:type="spellStart"/>
      <w:r w:rsidRPr="002027F2">
        <w:t>Leyen</w:t>
      </w:r>
      <w:proofErr w:type="spellEnd"/>
      <w:r w:rsidRPr="002027F2">
        <w:t xml:space="preserve"> li dan il-kontroll il-ġdid fir-rigward tal-SMEs u tal-kompetittività se jgħin biex jiġu </w:t>
      </w:r>
      <w:proofErr w:type="spellStart"/>
      <w:r w:rsidRPr="002027F2">
        <w:t>pprevenuti</w:t>
      </w:r>
      <w:proofErr w:type="spellEnd"/>
      <w:r w:rsidRPr="002027F2">
        <w:t xml:space="preserve"> piżijiet regolatorji filwaqt li jinżammu standards għoljin; jinnota li l-kliem issa jrid jiġi </w:t>
      </w:r>
      <w:proofErr w:type="spellStart"/>
      <w:r w:rsidRPr="002027F2">
        <w:t>appoġġjat</w:t>
      </w:r>
      <w:proofErr w:type="spellEnd"/>
      <w:r w:rsidRPr="002027F2">
        <w:t xml:space="preserve"> minn azzjonijiet, li jiffukaw fuq l-appoġġ għall-SMEs u li jipprovdulhom l-għodod biex jilħqu l-objettivi tal-UE u jimplimentaw il-leġiżlazzjoni tal-UE;</w:t>
      </w:r>
    </w:p>
    <w:p w14:paraId="62FD07E5" w14:textId="77777777" w:rsidR="00D11C70" w:rsidRPr="002027F2" w:rsidRDefault="00D11C70" w:rsidP="00D11C70">
      <w:pPr>
        <w:pStyle w:val="NormalHanging12a"/>
      </w:pPr>
      <w:r w:rsidRPr="002027F2">
        <w:t>39.</w:t>
      </w:r>
      <w:r w:rsidRPr="002027F2">
        <w:tab/>
        <w:t xml:space="preserve">Jitlob li kontroll sħiħ tal-kompetittività jsir prattika standard, inkluża l-valutazzjoni tal-impatt kumulattiv ta’ pakketti leġiżlattivi ewlenin aktar milli l-evalwazzjoni ta’ atti individwali b’mod iżolat; jafferma li sabiex jissaħħu l-kompetittività u s-sovranità Ewropej, trid tiġi </w:t>
      </w:r>
      <w:proofErr w:type="spellStart"/>
      <w:r w:rsidRPr="002027F2">
        <w:t>reżistita</w:t>
      </w:r>
      <w:proofErr w:type="spellEnd"/>
      <w:r w:rsidRPr="002027F2">
        <w:t xml:space="preserve"> l-pressjoni esterna biex </w:t>
      </w:r>
      <w:proofErr w:type="spellStart"/>
      <w:r w:rsidRPr="002027F2">
        <w:t>jiddgħajjef</w:t>
      </w:r>
      <w:proofErr w:type="spellEnd"/>
      <w:r w:rsidRPr="002027F2">
        <w:t xml:space="preserve"> il-qafas legali tal-UE;</w:t>
      </w:r>
    </w:p>
    <w:p w14:paraId="2024D2BB" w14:textId="77777777" w:rsidR="00D11C70" w:rsidRPr="002027F2" w:rsidRDefault="00D11C70" w:rsidP="00D11C70">
      <w:pPr>
        <w:pStyle w:val="NormalHanging12a"/>
      </w:pPr>
      <w:r w:rsidRPr="002027F2">
        <w:t>40.</w:t>
      </w:r>
      <w:r w:rsidRPr="002027F2">
        <w:tab/>
        <w:t xml:space="preserve">Itenni l-importanza tal-prinċipju “Aħseb l-Ewwel fiż-Żgħir” bħala pedament ta’ regolamentazzjoni aħjar, li jiżgura li l-ħtiġijiet u l-kapaċitajiet tal-SMEs jiġu </w:t>
      </w:r>
      <w:proofErr w:type="spellStart"/>
      <w:r w:rsidRPr="002027F2">
        <w:t>kkunsidrati</w:t>
      </w:r>
      <w:proofErr w:type="spellEnd"/>
      <w:r w:rsidRPr="002027F2">
        <w:t xml:space="preserve"> sistematikament f’kull stadju taċ-ċiklu tal-politika, mit-tfassil sal-implimentazzjoni u l-evalwazzjoni; jisħaq fuq l-importanza li jiġu identifikati r-rabtiet </w:t>
      </w:r>
      <w:proofErr w:type="spellStart"/>
      <w:r w:rsidRPr="002027F2">
        <w:t>kawżali</w:t>
      </w:r>
      <w:proofErr w:type="spellEnd"/>
      <w:r w:rsidRPr="002027F2">
        <w:t xml:space="preserve"> bejn id-dispożizzjonijiet regolatorji, l-imġiba tad-ditti u l-benefiċċji għall-utent, u li jiġu vvalutati l-konsegwenzi potenzjali mhux intenzjonati u l-piżijiet tal-konformità sproporzjonati fuq l-SMEs;</w:t>
      </w:r>
    </w:p>
    <w:p w14:paraId="3FB5110C" w14:textId="77777777" w:rsidR="00D11C70" w:rsidRPr="002027F2" w:rsidRDefault="00D11C70" w:rsidP="00D11C70">
      <w:pPr>
        <w:pStyle w:val="NormalHanging12a"/>
      </w:pPr>
      <w:r w:rsidRPr="002027F2">
        <w:t>41.</w:t>
      </w:r>
      <w:r w:rsidRPr="002027F2">
        <w:tab/>
        <w:t xml:space="preserve">Jilqa’ u jħeġġeġ l-użu usa’ ta’ ambjenti ta’ esperimentazzjoni regolatorja f’setturi orjentati lejn il-futur biex tiġi </w:t>
      </w:r>
      <w:proofErr w:type="spellStart"/>
      <w:r w:rsidRPr="002027F2">
        <w:t>appoġġjata</w:t>
      </w:r>
      <w:proofErr w:type="spellEnd"/>
      <w:r w:rsidRPr="002027F2">
        <w:t xml:space="preserve"> l-innovazzjoni, jitnaqqsu l-kostijiet tal-konformità u tiġi offruta ċertezza legali għall-SMEs;</w:t>
      </w:r>
    </w:p>
    <w:p w14:paraId="205BCD48" w14:textId="77777777" w:rsidR="00D11C70" w:rsidRPr="002027F2" w:rsidRDefault="00D11C70" w:rsidP="00D11C70">
      <w:pPr>
        <w:pStyle w:val="NormalHanging12a"/>
      </w:pPr>
      <w:r w:rsidRPr="002027F2">
        <w:t>42.</w:t>
      </w:r>
      <w:r w:rsidRPr="002027F2">
        <w:tab/>
        <w:t xml:space="preserve">Jirrikonoxxi l-wegħda tal-Kummissjoni li tnaqqas l-obbligi ta’ rappurtar b’25 %, iżda jisħaq li din il-mira ma tridx </w:t>
      </w:r>
      <w:proofErr w:type="spellStart"/>
      <w:r w:rsidRPr="002027F2">
        <w:t>iddgħajjef</w:t>
      </w:r>
      <w:proofErr w:type="spellEnd"/>
      <w:r w:rsidRPr="002027F2">
        <w:t xml:space="preserve"> it-trasparenza u l-iskrutinju filwaqt li tikseb l-</w:t>
      </w:r>
      <w:r w:rsidRPr="002027F2">
        <w:lastRenderedPageBreak/>
        <w:t xml:space="preserve">objettivi tal-politika tal-UE; jinnota, barra minn hekk, l-inklużjoni ta’ tnaqqis ta’ 35 % fil-kostijiet amministrattivi u r-rappurtar għall-SMEs; ifakkar, barra minn hekk, li l-obbligi ta’ rappurtar jikkostitwixxu biss frazzjoni żgħira tal-piż regolatorju totali, li jinkludi wkoll kostijiet amministrattivi, tal-implimentazzjoni u tal-konformità li jirriżultaw kemm minn leġiżlazzjoni tal-UE kif ukoll nazzjonali; jinnota li l-mira ta’ tnaqqis ta’ 25 % tal-Kummissjoni għandha għalhekk titqies fi ħdan l-objettiv usa’ li jitnaqqsu l-kostijiet u l-kumplessitajiet globali, inkluż, fejn rilevanti, permezz ta’ aktar </w:t>
      </w:r>
      <w:proofErr w:type="spellStart"/>
      <w:r w:rsidRPr="002027F2">
        <w:t>approssimazzjoni</w:t>
      </w:r>
      <w:proofErr w:type="spellEnd"/>
      <w:r w:rsidRPr="002027F2">
        <w:t xml:space="preserve"> tar-regoli nazzjonali; jitlob, għaldaqstant, approċċ aktar ambizzjuż u ta’ kwalità aħjar, li jimmira għal tnaqqis saħansitra ogħla fil-kostijiet regolatorji kollha, inkluż proġett pilota biex jiġu vvalutati l-impatti tar-regolamentazzjoni fuq l-innovazzjoni, pereżempju billi jiġu identifikati l-ostakli għan-negozji ġodda u t-teknoloġiji l-ġodda fil-fażijiet leġiżlattivi bikrija;</w:t>
      </w:r>
    </w:p>
    <w:p w14:paraId="7CDF076A" w14:textId="77777777" w:rsidR="00D11C70" w:rsidRPr="002027F2" w:rsidRDefault="00D11C70" w:rsidP="00D11C70">
      <w:pPr>
        <w:pStyle w:val="NormalHanging12a"/>
      </w:pPr>
      <w:r w:rsidRPr="002027F2">
        <w:t>43.</w:t>
      </w:r>
      <w:r w:rsidRPr="002027F2">
        <w:tab/>
      </w:r>
      <w:proofErr w:type="spellStart"/>
      <w:r w:rsidRPr="002027F2">
        <w:t>Jilqa</w:t>
      </w:r>
      <w:proofErr w:type="spellEnd"/>
      <w:r w:rsidRPr="002027F2">
        <w:t xml:space="preserve">’, barra minn hekk, in-nomina ta’ Viċi President tal-Kummissjoni li jkun inkarigat b’mod espliċitu mill-implimentazzjoni u s-simplifikazzjoni; jilqa’ l-użu tad-djalogi ta’ implimentazzjoni u jinkoraġġixxi kontrolli regolari tar-realtà u testijiet regolari tal-istress tal-acquis tal-Unjoni biex jiġu vvalutati l-impatti </w:t>
      </w:r>
      <w:proofErr w:type="spellStart"/>
      <w:r w:rsidRPr="002027F2">
        <w:t>kumulattivi</w:t>
      </w:r>
      <w:proofErr w:type="spellEnd"/>
      <w:r w:rsidRPr="002027F2">
        <w:t xml:space="preserve"> fuq il-kompetittività, l-innovazzjoni u l-SMEs, u fuq l-ilħuq tal-objettivi tal-politika tal-UE, u biex jiġu identifikati opportunitajiet għal simplifikazzjoni effettiva; jissottolinja, f’dan ir-rigward, l-importanza ta’ valutazzjonijiet tal-impatt komprensivi, li </w:t>
      </w:r>
      <w:proofErr w:type="spellStart"/>
      <w:r w:rsidRPr="002027F2">
        <w:t>jintegraw</w:t>
      </w:r>
      <w:proofErr w:type="spellEnd"/>
      <w:r w:rsidRPr="002027F2">
        <w:t xml:space="preserve"> b’mod sistematiku l-kontrolli tal-idoneità, il-kontrolli tal-kompetittività u t-testijiet tal-SMEs;</w:t>
      </w:r>
    </w:p>
    <w:p w14:paraId="132C598F" w14:textId="77777777" w:rsidR="00D11C70" w:rsidRPr="002027F2" w:rsidRDefault="00D11C70" w:rsidP="00D11C70">
      <w:pPr>
        <w:pStyle w:val="NormalHanging12a"/>
      </w:pPr>
      <w:r w:rsidRPr="002027F2">
        <w:t>44.</w:t>
      </w:r>
      <w:r w:rsidRPr="002027F2">
        <w:tab/>
        <w:t xml:space="preserve">Jistieden lill-Kummissjoni u lill-Istati Membri </w:t>
      </w:r>
      <w:proofErr w:type="spellStart"/>
      <w:r w:rsidRPr="002027F2">
        <w:t>jintegraw</w:t>
      </w:r>
      <w:proofErr w:type="spellEnd"/>
      <w:r w:rsidRPr="002027F2">
        <w:t xml:space="preserve"> b’mod sistematiku l-kunsiderazzjonijiet tal-kompetittività fl-inizjattivi ta’ simplifikazzjoni, filwaqt li jiżguraw li l-proċeduri amministrattivi li jaffettwaw liċ-ċittadini u lin-negozji jiġu ssimplifikati mingħajr ma jikkompromettu s-salvagwardji essenzjali; jisħaq li t-tnaqqis tal-</w:t>
      </w:r>
      <w:proofErr w:type="spellStart"/>
      <w:r w:rsidRPr="002027F2">
        <w:t>burokrazija</w:t>
      </w:r>
      <w:proofErr w:type="spellEnd"/>
      <w:r w:rsidRPr="002027F2">
        <w:t xml:space="preserve"> bla bżonn, l-espansjoni tas-soluzzjonijiet diġitali u t-titjib tar-rikonoxximent reċiproku jistgħu jnaqqsu l-kostijiet tal-konformità, jiffaċilitaw il-mobbiltà u jsaħħu l-kompetittività u l-</w:t>
      </w:r>
      <w:proofErr w:type="spellStart"/>
      <w:r w:rsidRPr="002027F2">
        <w:t>attraenza</w:t>
      </w:r>
      <w:proofErr w:type="spellEnd"/>
      <w:r w:rsidRPr="002027F2">
        <w:t xml:space="preserve"> tas-suq uniku;</w:t>
      </w:r>
    </w:p>
    <w:p w14:paraId="277473BB" w14:textId="77777777" w:rsidR="00D11C70" w:rsidRPr="002027F2" w:rsidRDefault="00D11C70" w:rsidP="00D11C70">
      <w:pPr>
        <w:pStyle w:val="NormalHanging12a"/>
      </w:pPr>
      <w:r w:rsidRPr="002027F2">
        <w:t>45.</w:t>
      </w:r>
      <w:r w:rsidRPr="002027F2">
        <w:tab/>
        <w:t xml:space="preserve">Iqis li s-simplifikazzjoni fid-dawl tal-kompetittività u l-integrazzjoni ulterjuri tas-suq uniku tirrikjedi approċċ ġenerali għal-leġiżlazzjoni rilevanti tal-UE u dik nazzjonali; jirrimarka li d-diverġenzi bejn ir-regoli nazzjonali fi Stati Membri differenti jistgħu jirriżultaw ukoll f’inċertezza legali u kostijiet amministrattivi addizzjonali; jistieden, f’dak ir-rigward, lill-Kummissjoni tipprovdi mmappjar tal-leġiżlazzjoni finanzjarja u mhux finanzjarja eżistenti kollha u tal-obbligi amministrattivi kollha għall-kumpaniji skont id-dritt tal-UE, kif ukoll tal-obbligi skont ir-regoli nazzjonali tad-dritt tal-kumpaniji; jitlob li dan l-immappjar jifforma l-bażi ta’ valutazzjoni komprensiva, inkluż fir-rigward tal-kostijiet u l-benefiċċji, id-diversi interessi pubbliċi li l-leġiżlazzjoni taqdi, </w:t>
      </w:r>
      <w:proofErr w:type="spellStart"/>
      <w:r w:rsidRPr="002027F2">
        <w:t>it-trikkib</w:t>
      </w:r>
      <w:proofErr w:type="spellEnd"/>
      <w:r w:rsidRPr="002027F2">
        <w:t xml:space="preserve"> bejn il-</w:t>
      </w:r>
      <w:proofErr w:type="spellStart"/>
      <w:r w:rsidRPr="002027F2">
        <w:t>leġiżlazzjonijiet</w:t>
      </w:r>
      <w:proofErr w:type="spellEnd"/>
      <w:r w:rsidRPr="002027F2">
        <w:t>, kif ukoll l-opportunitajiet għall-armonizzazzjoni u l-</w:t>
      </w:r>
      <w:proofErr w:type="spellStart"/>
      <w:r w:rsidRPr="002027F2">
        <w:t>approssimazzjoni</w:t>
      </w:r>
      <w:proofErr w:type="spellEnd"/>
      <w:r w:rsidRPr="002027F2">
        <w:t>; jistieden lill-Kummissjoni tuża dik il-valutazzjoni biex tressaq – jekk ikun meħtieġ u bil-parteċipazzjoni effettiva tal-atturi u l-partijiet ikkonċernati rilevanti kollha, u abbażi ta’ valutazzjoni tal-impatt xierqa – proposti biex jiġu aġġornati d-dispożizzjonijiet skaduti u l-ostakli mhux ġustifikati jiġu indirizzati permezz ta’ miżuri proporzjonati bil-ħsieb li tinkiseb konverġenza ’l fuq;</w:t>
      </w:r>
    </w:p>
    <w:p w14:paraId="398889ED" w14:textId="77777777" w:rsidR="00D11C70" w:rsidRPr="002027F2" w:rsidRDefault="00D11C70" w:rsidP="00D11C70">
      <w:pPr>
        <w:pStyle w:val="NormalHanging12a"/>
      </w:pPr>
      <w:r w:rsidRPr="002027F2">
        <w:t>46.</w:t>
      </w:r>
      <w:r w:rsidRPr="002027F2">
        <w:tab/>
        <w:t xml:space="preserve">Jisħaq li hemm potenzjal kbir fl-użu ta’ għodod diġitali u soluzzjonijiet ibbażati fuq l-IA biex jgħinu fis-simplifikazzjoni tal-konformità, inaqqsu l-kostijiet regolatorji u jżidu l-aċċessibbiltà tal-informazzjoni; iqis li l-kapaċità potenzjali tal-għodod diġitali li joffru soluzzjonijiet aħjar u aktar rapidi f’dan ir-rigward jeħtieġ li tiġi </w:t>
      </w:r>
      <w:proofErr w:type="spellStart"/>
      <w:r w:rsidRPr="002027F2">
        <w:t>esplorata</w:t>
      </w:r>
      <w:proofErr w:type="spellEnd"/>
      <w:r w:rsidRPr="002027F2">
        <w:t xml:space="preserve"> aktar u li l-leġiżlazzjoni adottata reċentement jeħtieġ li tiġi implimentata; jissottolinja li dan </w:t>
      </w:r>
      <w:r w:rsidRPr="002027F2">
        <w:lastRenderedPageBreak/>
        <w:t>jirrikjedi t-tisħiħ tal-kapaċitajiet u miżuri ta’ appoġġ biex il-kumpaniji ta’ kull daqs, l-amministrazzjonijiet u ċ-ċittadini jiġu mgħammra bl-infrastruttura u l-ħiliet diġitali meħtieġa;</w:t>
      </w:r>
    </w:p>
    <w:p w14:paraId="46201D64" w14:textId="77777777" w:rsidR="00D11C70" w:rsidRPr="002027F2" w:rsidRDefault="00D11C70" w:rsidP="00D11C70">
      <w:pPr>
        <w:pStyle w:val="NormalHanging12a"/>
      </w:pPr>
      <w:r w:rsidRPr="002027F2">
        <w:t>47.</w:t>
      </w:r>
      <w:r w:rsidRPr="002027F2">
        <w:tab/>
        <w:t xml:space="preserve">Jistieden lill-Kummissjoni tittestja u tikkunsidra l-użu ta’ għodod ġodda tal-IA – inklużi mudelli lingwistiċi kbar </w:t>
      </w:r>
      <w:proofErr w:type="spellStart"/>
      <w:r w:rsidRPr="002027F2">
        <w:t>ikkomplementati</w:t>
      </w:r>
      <w:proofErr w:type="spellEnd"/>
      <w:r w:rsidRPr="002027F2">
        <w:t xml:space="preserve"> b’ġenerazzjoni </w:t>
      </w:r>
      <w:proofErr w:type="spellStart"/>
      <w:r w:rsidRPr="002027F2">
        <w:t>awmentata</w:t>
      </w:r>
      <w:proofErr w:type="spellEnd"/>
      <w:r w:rsidRPr="002027F2">
        <w:t xml:space="preserve"> mill-irkupru – sabiex ittejjeb l-effiċjenza u l-preċiżjoni tal-monitoraġġ tal-implimentazzjoni tad-dritt tal-UE, u b’hekk tippermetti detezzjoni aktar rapida tan-nuqqas ta’ konformità, </w:t>
      </w:r>
      <w:proofErr w:type="spellStart"/>
      <w:r w:rsidRPr="002027F2">
        <w:t>risponsi</w:t>
      </w:r>
      <w:proofErr w:type="spellEnd"/>
      <w:r w:rsidRPr="002027F2">
        <w:t xml:space="preserve"> aktar f’waqthom għall-ilmenti u soluzzjonijiet proattivi għall-kwistjonijiet emerġenti;</w:t>
      </w:r>
    </w:p>
    <w:p w14:paraId="59146C6E" w14:textId="77777777" w:rsidR="00D11C70" w:rsidRPr="002027F2" w:rsidRDefault="00D11C70" w:rsidP="00D11C70">
      <w:pPr>
        <w:pStyle w:val="NormalHanging12a"/>
      </w:pPr>
      <w:r w:rsidRPr="002027F2">
        <w:t>48.</w:t>
      </w:r>
      <w:r w:rsidRPr="002027F2">
        <w:tab/>
        <w:t xml:space="preserve">Iħeġġeġ lill-Istati Membri jżommu lura milli jżidu piżijiet addizzjonali amministrattivi jew ta’ konformità bla bżonn meta jkunu qed </w:t>
      </w:r>
      <w:proofErr w:type="spellStart"/>
      <w:r w:rsidRPr="002027F2">
        <w:t>jittrasponu</w:t>
      </w:r>
      <w:proofErr w:type="spellEnd"/>
      <w:r w:rsidRPr="002027F2">
        <w:t xml:space="preserve"> l-leġiżlazzjoni tal-UE ( regolamentazzjoni żejda) u jistieden lill-Kummissjoni tidentifika u tippubblika każijiet ta’ tali prattiki fir-rapporti annwali ta’ implimentazzjoni tagħha; jisħaq fuq il-ħtieġa ta’ traspożizzjoni konsistenti u effettiva tad-direttivi mill-Istati Membri biex jiġu żgurati ċ-ċertezza legali u kundizzjonijiet ekwi; iħeġġeġ lill-Istati Membri jżommu lura minn traspożizzjoni </w:t>
      </w:r>
      <w:proofErr w:type="spellStart"/>
      <w:r w:rsidRPr="002027F2">
        <w:t>tardiva</w:t>
      </w:r>
      <w:proofErr w:type="spellEnd"/>
      <w:r w:rsidRPr="002027F2">
        <w:t>, mhux kompluta jew mhux preċiża tad-direttivi u jħeġġiġhom jikkooperaw u jipparteċipaw fl-iskambju ta’ prattiki tajba sabiex l-implimentazzjoni tad-direttivi tkun proporzjonata u effettiva;</w:t>
      </w:r>
    </w:p>
    <w:p w14:paraId="7F908F66" w14:textId="77777777" w:rsidR="00D11C70" w:rsidRPr="002027F2" w:rsidRDefault="00D11C70" w:rsidP="00D11C70">
      <w:pPr>
        <w:pStyle w:val="NormalHanging12a"/>
      </w:pPr>
      <w:r w:rsidRPr="002027F2">
        <w:t>49.</w:t>
      </w:r>
      <w:r w:rsidRPr="002027F2">
        <w:tab/>
        <w:t>Jistieden lill-Kummissjoni u lill-Istati Membri jindirizzaw il-frammentazzjoni regolatorja li taffettwa lill-SMEs fis-suq uniku, inklużi l-formalitajiet nazzjonali bla bżonn, u jagħtu prijorità lill-oqfsa ta’ rikonoxximent reċiproku u interoperabbiltà;</w:t>
      </w:r>
    </w:p>
    <w:p w14:paraId="67DA3B48" w14:textId="77777777" w:rsidR="00D11C70" w:rsidRPr="002027F2" w:rsidRDefault="00D11C70" w:rsidP="00D11C70">
      <w:pPr>
        <w:pStyle w:val="NormalCenter12a"/>
      </w:pPr>
      <w:r w:rsidRPr="002027F2">
        <w:t>°</w:t>
      </w:r>
    </w:p>
    <w:p w14:paraId="3A21237B" w14:textId="77777777" w:rsidR="00D11C70" w:rsidRPr="002027F2" w:rsidRDefault="00D11C70" w:rsidP="00D11C70">
      <w:pPr>
        <w:pStyle w:val="NormalCenter12a"/>
      </w:pPr>
      <w:r w:rsidRPr="002027F2">
        <w:t>°</w:t>
      </w:r>
      <w:r w:rsidRPr="002027F2">
        <w:tab/>
        <w:t>°</w:t>
      </w:r>
    </w:p>
    <w:p w14:paraId="6C3EA728" w14:textId="4789A5E0" w:rsidR="00E365E1" w:rsidRPr="002027F2" w:rsidRDefault="00D11C70" w:rsidP="00794649">
      <w:pPr>
        <w:ind w:left="720" w:hanging="720"/>
      </w:pPr>
      <w:r w:rsidRPr="002027F2">
        <w:t>50.</w:t>
      </w:r>
      <w:r w:rsidRPr="002027F2">
        <w:tab/>
        <w:t>Jagħti istruzzjonijiet lill-President tiegħu biex tgħaddi din ir-riżoluzzjoni lill-Kunsill u lill-Kummissjoni.</w:t>
      </w:r>
    </w:p>
    <w:sectPr w:rsidR="00E365E1" w:rsidRPr="002027F2" w:rsidSect="002027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E3611" w14:textId="77777777" w:rsidR="00026BE7" w:rsidRPr="002027F2" w:rsidRDefault="00026BE7">
      <w:r w:rsidRPr="002027F2">
        <w:separator/>
      </w:r>
    </w:p>
  </w:endnote>
  <w:endnote w:type="continuationSeparator" w:id="0">
    <w:p w14:paraId="3F3ACBAD" w14:textId="77777777" w:rsidR="00026BE7" w:rsidRPr="002027F2" w:rsidRDefault="00026BE7">
      <w:r w:rsidRPr="002027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6D970" w14:textId="77777777" w:rsidR="00064002" w:rsidRPr="002027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C99B4" w14:textId="77777777" w:rsidR="00064002" w:rsidRPr="002027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60366" w14:textId="77777777" w:rsidR="00064002" w:rsidRPr="002027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DAEB8" w14:textId="77777777" w:rsidR="00026BE7" w:rsidRPr="002027F2" w:rsidRDefault="00026BE7">
      <w:r w:rsidRPr="002027F2">
        <w:separator/>
      </w:r>
    </w:p>
  </w:footnote>
  <w:footnote w:type="continuationSeparator" w:id="0">
    <w:p w14:paraId="736A5518" w14:textId="77777777" w:rsidR="00026BE7" w:rsidRPr="002027F2" w:rsidRDefault="00026BE7">
      <w:r w:rsidRPr="002027F2">
        <w:continuationSeparator/>
      </w:r>
    </w:p>
  </w:footnote>
  <w:footnote w:id="1">
    <w:p w14:paraId="5096BA09" w14:textId="0399AA1A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1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r w:rsidRPr="002027F2">
        <w:rPr>
          <w:sz w:val="24"/>
          <w:lang w:val="mt-MT"/>
        </w:rPr>
        <w:t xml:space="preserve">ĠU C 202, 7.6.2016, p. 203, ELI: </w:t>
      </w:r>
      <w:hyperlink r:id="rId1" w:tgtFrame="http://data.europa.eu/eli/treaty/tfeu_2016/pro_1/oj" w:history="1">
        <w:r w:rsidRPr="002027F2">
          <w:rPr>
            <w:rStyle w:val="Hyperlink"/>
            <w:sz w:val="24"/>
            <w:lang w:val="mt-MT"/>
          </w:rPr>
          <w:t>http://data.europa.eu/eli/treaty/tfeu_2016/pro_1/oj</w:t>
        </w:r>
      </w:hyperlink>
      <w:r w:rsidRPr="002027F2">
        <w:rPr>
          <w:sz w:val="24"/>
          <w:lang w:val="mt-MT"/>
        </w:rPr>
        <w:t>.</w:t>
      </w:r>
    </w:p>
  </w:footnote>
  <w:footnote w:id="2">
    <w:p w14:paraId="416BBF31" w14:textId="03F85583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2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r w:rsidRPr="002027F2">
        <w:rPr>
          <w:sz w:val="24"/>
          <w:lang w:val="mt-MT"/>
        </w:rPr>
        <w:t xml:space="preserve">ĠU C 326, 26.10.2012, p. 206, ELI: </w:t>
      </w:r>
      <w:hyperlink r:id="rId2" w:tgtFrame="http://data.europa.eu/eli/treaty/tfeu_2012/pro_2/oj" w:history="1">
        <w:r w:rsidRPr="002027F2">
          <w:rPr>
            <w:rStyle w:val="Hyperlink"/>
            <w:sz w:val="24"/>
            <w:lang w:val="mt-MT"/>
          </w:rPr>
          <w:t>http://data.europa.eu/eli/treaty/tfeu_2012/pro_2/oj</w:t>
        </w:r>
      </w:hyperlink>
      <w:r w:rsidRPr="002027F2">
        <w:rPr>
          <w:sz w:val="24"/>
          <w:lang w:val="mt-MT"/>
        </w:rPr>
        <w:t>.</w:t>
      </w:r>
    </w:p>
  </w:footnote>
  <w:footnote w:id="3">
    <w:p w14:paraId="5D927F0F" w14:textId="22C334DE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3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r w:rsidRPr="002027F2">
        <w:rPr>
          <w:sz w:val="24"/>
          <w:lang w:val="mt-MT"/>
        </w:rPr>
        <w:t xml:space="preserve">ĠU L 123, 12.5.2016, p. 1, ELI: </w:t>
      </w:r>
      <w:hyperlink r:id="rId3" w:tgtFrame="http://data.europa.eu/eli/agree_interinstit/2016/512/oj" w:history="1">
        <w:r w:rsidRPr="002027F2">
          <w:rPr>
            <w:rStyle w:val="Hyperlink"/>
            <w:sz w:val="24"/>
            <w:lang w:val="mt-MT"/>
          </w:rPr>
          <w:t>http://data.europa.eu/eli/agree_interinstit/2016/512/oj</w:t>
        </w:r>
      </w:hyperlink>
      <w:r w:rsidRPr="002027F2">
        <w:rPr>
          <w:sz w:val="24"/>
          <w:lang w:val="mt-MT"/>
        </w:rPr>
        <w:t>.</w:t>
      </w:r>
    </w:p>
  </w:footnote>
  <w:footnote w:id="4">
    <w:p w14:paraId="58214E7F" w14:textId="03507CE3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4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r w:rsidRPr="002027F2">
        <w:rPr>
          <w:sz w:val="24"/>
          <w:lang w:val="mt-MT"/>
        </w:rPr>
        <w:t>ĠU C 81, 18.2.2022, p. 74.</w:t>
      </w:r>
    </w:p>
  </w:footnote>
  <w:footnote w:id="5">
    <w:p w14:paraId="10CD3522" w14:textId="72339BB1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5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r w:rsidRPr="002027F2">
        <w:rPr>
          <w:sz w:val="24"/>
          <w:lang w:val="mt-MT"/>
        </w:rPr>
        <w:t xml:space="preserve">ĠU C, C/2024/4228, 24.7.2024, ELI: </w:t>
      </w:r>
      <w:hyperlink r:id="rId4" w:tgtFrame="http://data.europa.eu/eli/C/2024/4228/oj" w:history="1">
        <w:r w:rsidRPr="002027F2">
          <w:rPr>
            <w:rStyle w:val="Hyperlink"/>
            <w:sz w:val="24"/>
            <w:lang w:val="mt-MT"/>
          </w:rPr>
          <w:t>http://data.europa.eu/eli/C/2024/4228/oj</w:t>
        </w:r>
      </w:hyperlink>
      <w:r w:rsidRPr="002027F2">
        <w:rPr>
          <w:sz w:val="24"/>
          <w:lang w:val="mt-MT"/>
        </w:rPr>
        <w:t>.</w:t>
      </w:r>
    </w:p>
  </w:footnote>
  <w:footnote w:id="6">
    <w:p w14:paraId="2B7C0868" w14:textId="3BFDCE18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6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r w:rsidRPr="002027F2">
        <w:rPr>
          <w:sz w:val="24"/>
          <w:lang w:val="mt-MT"/>
        </w:rPr>
        <w:t xml:space="preserve">ĠU C, C/2024/5714, 17.10.2024, ELI: </w:t>
      </w:r>
      <w:hyperlink r:id="rId5" w:tgtFrame="http://data.europa.eu/eli/C/2024/5714/oj" w:history="1">
        <w:r w:rsidRPr="002027F2">
          <w:rPr>
            <w:rStyle w:val="Hyperlink"/>
            <w:sz w:val="24"/>
            <w:lang w:val="mt-MT"/>
          </w:rPr>
          <w:t>http://data.europa.eu/eli/C/2024/5714/oj</w:t>
        </w:r>
      </w:hyperlink>
      <w:r w:rsidRPr="002027F2">
        <w:rPr>
          <w:sz w:val="24"/>
          <w:lang w:val="mt-MT"/>
        </w:rPr>
        <w:t>.</w:t>
      </w:r>
    </w:p>
  </w:footnote>
  <w:footnote w:id="7">
    <w:p w14:paraId="505B5A51" w14:textId="0FDCF6AF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7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r w:rsidRPr="002027F2">
        <w:rPr>
          <w:sz w:val="24"/>
          <w:lang w:val="mt-MT"/>
        </w:rPr>
        <w:t>ĠU C 47, 7.2.2023, p. 250.</w:t>
      </w:r>
    </w:p>
  </w:footnote>
  <w:footnote w:id="8">
    <w:p w14:paraId="5BA4BBC7" w14:textId="5F0068F4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8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proofErr w:type="spellStart"/>
      <w:r w:rsidRPr="002027F2">
        <w:rPr>
          <w:sz w:val="24"/>
          <w:lang w:val="mt-MT"/>
        </w:rPr>
        <w:t>Draghi</w:t>
      </w:r>
      <w:proofErr w:type="spellEnd"/>
      <w:r w:rsidRPr="002027F2">
        <w:rPr>
          <w:sz w:val="24"/>
          <w:lang w:val="mt-MT"/>
        </w:rPr>
        <w:t xml:space="preserve"> M., “</w:t>
      </w:r>
      <w:proofErr w:type="spellStart"/>
      <w:r w:rsidRPr="002027F2">
        <w:rPr>
          <w:sz w:val="24"/>
          <w:lang w:val="mt-MT"/>
        </w:rPr>
        <w:t>The</w:t>
      </w:r>
      <w:proofErr w:type="spellEnd"/>
      <w:r w:rsidRPr="002027F2">
        <w:rPr>
          <w:sz w:val="24"/>
          <w:lang w:val="mt-MT"/>
        </w:rPr>
        <w:t xml:space="preserve"> </w:t>
      </w:r>
      <w:proofErr w:type="spellStart"/>
      <w:r w:rsidRPr="002027F2">
        <w:rPr>
          <w:sz w:val="24"/>
          <w:lang w:val="mt-MT"/>
        </w:rPr>
        <w:t>future</w:t>
      </w:r>
      <w:proofErr w:type="spellEnd"/>
      <w:r w:rsidRPr="002027F2">
        <w:rPr>
          <w:sz w:val="24"/>
          <w:lang w:val="mt-MT"/>
        </w:rPr>
        <w:t xml:space="preserve"> of </w:t>
      </w:r>
      <w:proofErr w:type="spellStart"/>
      <w:r w:rsidRPr="002027F2">
        <w:rPr>
          <w:sz w:val="24"/>
          <w:lang w:val="mt-MT"/>
        </w:rPr>
        <w:t>European</w:t>
      </w:r>
      <w:proofErr w:type="spellEnd"/>
      <w:r w:rsidRPr="002027F2">
        <w:rPr>
          <w:sz w:val="24"/>
          <w:lang w:val="mt-MT"/>
        </w:rPr>
        <w:t xml:space="preserve"> </w:t>
      </w:r>
      <w:proofErr w:type="spellStart"/>
      <w:r w:rsidRPr="002027F2">
        <w:rPr>
          <w:sz w:val="24"/>
          <w:lang w:val="mt-MT"/>
        </w:rPr>
        <w:t>competitiveness</w:t>
      </w:r>
      <w:proofErr w:type="spellEnd"/>
      <w:r w:rsidRPr="002027F2">
        <w:rPr>
          <w:sz w:val="24"/>
          <w:lang w:val="mt-MT"/>
        </w:rPr>
        <w:t xml:space="preserve"> – a </w:t>
      </w:r>
      <w:proofErr w:type="spellStart"/>
      <w:r w:rsidRPr="002027F2">
        <w:rPr>
          <w:sz w:val="24"/>
          <w:lang w:val="mt-MT"/>
        </w:rPr>
        <w:t>competitiveness</w:t>
      </w:r>
      <w:proofErr w:type="spellEnd"/>
      <w:r w:rsidRPr="002027F2">
        <w:rPr>
          <w:sz w:val="24"/>
          <w:lang w:val="mt-MT"/>
        </w:rPr>
        <w:t xml:space="preserve"> </w:t>
      </w:r>
      <w:proofErr w:type="spellStart"/>
      <w:r w:rsidRPr="002027F2">
        <w:rPr>
          <w:sz w:val="24"/>
          <w:lang w:val="mt-MT"/>
        </w:rPr>
        <w:t>strategy</w:t>
      </w:r>
      <w:proofErr w:type="spellEnd"/>
      <w:r w:rsidRPr="002027F2">
        <w:rPr>
          <w:sz w:val="24"/>
          <w:lang w:val="mt-MT"/>
        </w:rPr>
        <w:t xml:space="preserve"> </w:t>
      </w:r>
      <w:proofErr w:type="spellStart"/>
      <w:r w:rsidRPr="002027F2">
        <w:rPr>
          <w:sz w:val="24"/>
          <w:lang w:val="mt-MT"/>
        </w:rPr>
        <w:t>for</w:t>
      </w:r>
      <w:proofErr w:type="spellEnd"/>
      <w:r w:rsidRPr="002027F2">
        <w:rPr>
          <w:sz w:val="24"/>
          <w:lang w:val="mt-MT"/>
        </w:rPr>
        <w:t xml:space="preserve"> </w:t>
      </w:r>
      <w:proofErr w:type="spellStart"/>
      <w:r w:rsidRPr="002027F2">
        <w:rPr>
          <w:sz w:val="24"/>
          <w:lang w:val="mt-MT"/>
        </w:rPr>
        <w:t>Europe</w:t>
      </w:r>
      <w:proofErr w:type="spellEnd"/>
      <w:r w:rsidRPr="002027F2">
        <w:rPr>
          <w:sz w:val="24"/>
          <w:lang w:val="mt-MT"/>
        </w:rPr>
        <w:t>” (Il-futur tal-kompetittività Ewropea – Strateġija għall-kompetittività għall-Ewropa), 9 ta’ Settembru 2024, Parti A, p. 67–68.</w:t>
      </w:r>
    </w:p>
  </w:footnote>
  <w:footnote w:id="9">
    <w:p w14:paraId="59C49FC7" w14:textId="51666222" w:rsidR="00D11C70" w:rsidRPr="002027F2" w:rsidRDefault="00D11C70" w:rsidP="002027F2">
      <w:pPr>
        <w:pStyle w:val="FootnoteText"/>
        <w:ind w:left="567" w:hanging="567"/>
        <w:rPr>
          <w:sz w:val="24"/>
          <w:lang w:val="mt-MT"/>
        </w:rPr>
      </w:pPr>
      <w:r w:rsidRPr="002027F2">
        <w:rPr>
          <w:sz w:val="24"/>
          <w:vertAlign w:val="superscript"/>
          <w:lang w:val="mt-MT"/>
        </w:rPr>
        <w:t>9</w:t>
      </w:r>
      <w:r w:rsidR="002027F2" w:rsidRPr="002027F2">
        <w:rPr>
          <w:sz w:val="24"/>
          <w:vertAlign w:val="superscript"/>
          <w:lang w:val="mt-MT"/>
        </w:rPr>
        <w:t xml:space="preserve"> </w:t>
      </w:r>
      <w:r w:rsidR="002027F2" w:rsidRPr="002027F2">
        <w:rPr>
          <w:sz w:val="24"/>
          <w:vertAlign w:val="superscript"/>
          <w:lang w:val="mt-MT"/>
        </w:rPr>
        <w:tab/>
      </w:r>
      <w:proofErr w:type="spellStart"/>
      <w:r w:rsidRPr="002027F2">
        <w:rPr>
          <w:sz w:val="24"/>
          <w:lang w:val="mt-MT"/>
        </w:rPr>
        <w:t>Letta</w:t>
      </w:r>
      <w:proofErr w:type="spellEnd"/>
      <w:r w:rsidRPr="002027F2">
        <w:rPr>
          <w:sz w:val="24"/>
          <w:lang w:val="mt-MT"/>
        </w:rPr>
        <w:t xml:space="preserve"> E., “</w:t>
      </w:r>
      <w:proofErr w:type="spellStart"/>
      <w:r w:rsidRPr="002027F2">
        <w:rPr>
          <w:sz w:val="24"/>
          <w:lang w:val="mt-MT"/>
        </w:rPr>
        <w:t>Much</w:t>
      </w:r>
      <w:proofErr w:type="spellEnd"/>
      <w:r w:rsidRPr="002027F2">
        <w:rPr>
          <w:sz w:val="24"/>
          <w:lang w:val="mt-MT"/>
        </w:rPr>
        <w:t xml:space="preserve"> </w:t>
      </w:r>
      <w:proofErr w:type="spellStart"/>
      <w:r w:rsidRPr="002027F2">
        <w:rPr>
          <w:sz w:val="24"/>
          <w:lang w:val="mt-MT"/>
        </w:rPr>
        <w:t>more</w:t>
      </w:r>
      <w:proofErr w:type="spellEnd"/>
      <w:r w:rsidRPr="002027F2">
        <w:rPr>
          <w:sz w:val="24"/>
          <w:lang w:val="mt-MT"/>
        </w:rPr>
        <w:t xml:space="preserve"> </w:t>
      </w:r>
      <w:proofErr w:type="spellStart"/>
      <w:r w:rsidRPr="002027F2">
        <w:rPr>
          <w:sz w:val="24"/>
          <w:lang w:val="mt-MT"/>
        </w:rPr>
        <w:t>than</w:t>
      </w:r>
      <w:proofErr w:type="spellEnd"/>
      <w:r w:rsidRPr="002027F2">
        <w:rPr>
          <w:sz w:val="24"/>
          <w:lang w:val="mt-MT"/>
        </w:rPr>
        <w:t xml:space="preserve"> a </w:t>
      </w:r>
      <w:proofErr w:type="spellStart"/>
      <w:r w:rsidRPr="002027F2">
        <w:rPr>
          <w:sz w:val="24"/>
          <w:lang w:val="mt-MT"/>
        </w:rPr>
        <w:t>market</w:t>
      </w:r>
      <w:proofErr w:type="spellEnd"/>
      <w:r w:rsidRPr="002027F2">
        <w:rPr>
          <w:sz w:val="24"/>
          <w:lang w:val="mt-MT"/>
        </w:rPr>
        <w:t>” (Ħafna aktar minn suq), il-Kunsill Ewropew, April 2024, p. 130.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B445D" w14:textId="77777777" w:rsidR="00064002" w:rsidRPr="002027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931D" w14:textId="77777777" w:rsidR="00064002" w:rsidRPr="002027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0A74" w14:textId="77777777" w:rsidR="00064002" w:rsidRPr="002027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3769780">
    <w:abstractNumId w:val="9"/>
  </w:num>
  <w:num w:numId="2" w16cid:durableId="762074153">
    <w:abstractNumId w:val="9"/>
  </w:num>
  <w:num w:numId="3" w16cid:durableId="934750330">
    <w:abstractNumId w:val="7"/>
  </w:num>
  <w:num w:numId="4" w16cid:durableId="2001304776">
    <w:abstractNumId w:val="7"/>
  </w:num>
  <w:num w:numId="5" w16cid:durableId="243413962">
    <w:abstractNumId w:val="6"/>
  </w:num>
  <w:num w:numId="6" w16cid:durableId="1408456311">
    <w:abstractNumId w:val="6"/>
  </w:num>
  <w:num w:numId="7" w16cid:durableId="189341315">
    <w:abstractNumId w:val="5"/>
  </w:num>
  <w:num w:numId="8" w16cid:durableId="938559177">
    <w:abstractNumId w:val="5"/>
  </w:num>
  <w:num w:numId="9" w16cid:durableId="1844659067">
    <w:abstractNumId w:val="4"/>
  </w:num>
  <w:num w:numId="10" w16cid:durableId="178197713">
    <w:abstractNumId w:val="4"/>
  </w:num>
  <w:num w:numId="11" w16cid:durableId="688916217">
    <w:abstractNumId w:val="8"/>
  </w:num>
  <w:num w:numId="12" w16cid:durableId="1748574225">
    <w:abstractNumId w:val="8"/>
  </w:num>
  <w:num w:numId="13" w16cid:durableId="681008619">
    <w:abstractNumId w:val="3"/>
  </w:num>
  <w:num w:numId="14" w16cid:durableId="883828980">
    <w:abstractNumId w:val="3"/>
  </w:num>
  <w:num w:numId="15" w16cid:durableId="1562905214">
    <w:abstractNumId w:val="2"/>
  </w:num>
  <w:num w:numId="16" w16cid:durableId="1875774739">
    <w:abstractNumId w:val="2"/>
  </w:num>
  <w:num w:numId="17" w16cid:durableId="298386164">
    <w:abstractNumId w:val="1"/>
  </w:num>
  <w:num w:numId="18" w16cid:durableId="350879896">
    <w:abstractNumId w:val="1"/>
  </w:num>
  <w:num w:numId="19" w16cid:durableId="500631569">
    <w:abstractNumId w:val="0"/>
  </w:num>
  <w:num w:numId="20" w16cid:durableId="515577914">
    <w:abstractNumId w:val="0"/>
  </w:num>
  <w:num w:numId="21" w16cid:durableId="1796293057">
    <w:abstractNumId w:val="9"/>
  </w:num>
  <w:num w:numId="22" w16cid:durableId="1455707295">
    <w:abstractNumId w:val="7"/>
  </w:num>
  <w:num w:numId="23" w16cid:durableId="1618488461">
    <w:abstractNumId w:val="6"/>
  </w:num>
  <w:num w:numId="24" w16cid:durableId="480849717">
    <w:abstractNumId w:val="5"/>
  </w:num>
  <w:num w:numId="25" w16cid:durableId="1073166190">
    <w:abstractNumId w:val="4"/>
  </w:num>
  <w:num w:numId="26" w16cid:durableId="1103571229">
    <w:abstractNumId w:val="8"/>
  </w:num>
  <w:num w:numId="27" w16cid:durableId="775174614">
    <w:abstractNumId w:val="3"/>
  </w:num>
  <w:num w:numId="28" w16cid:durableId="446122367">
    <w:abstractNumId w:val="2"/>
  </w:num>
  <w:num w:numId="29" w16cid:durableId="1834489574">
    <w:abstractNumId w:val="1"/>
  </w:num>
  <w:num w:numId="30" w16cid:durableId="2012487554">
    <w:abstractNumId w:val="0"/>
  </w:num>
  <w:num w:numId="31" w16cid:durableId="1626933000">
    <w:abstractNumId w:val="9"/>
  </w:num>
  <w:num w:numId="32" w16cid:durableId="1460492298">
    <w:abstractNumId w:val="7"/>
  </w:num>
  <w:num w:numId="33" w16cid:durableId="1651179733">
    <w:abstractNumId w:val="6"/>
  </w:num>
  <w:num w:numId="34" w16cid:durableId="1001929702">
    <w:abstractNumId w:val="5"/>
  </w:num>
  <w:num w:numId="35" w16cid:durableId="1745028050">
    <w:abstractNumId w:val="4"/>
  </w:num>
  <w:num w:numId="36" w16cid:durableId="926423019">
    <w:abstractNumId w:val="8"/>
  </w:num>
  <w:num w:numId="37" w16cid:durableId="1057898112">
    <w:abstractNumId w:val="3"/>
  </w:num>
  <w:num w:numId="38" w16cid:durableId="603225043">
    <w:abstractNumId w:val="2"/>
  </w:num>
  <w:num w:numId="39" w16cid:durableId="535199081">
    <w:abstractNumId w:val="1"/>
  </w:num>
  <w:num w:numId="40" w16cid:durableId="918908129">
    <w:abstractNumId w:val="0"/>
  </w:num>
  <w:num w:numId="41" w16cid:durableId="664357274">
    <w:abstractNumId w:val="10"/>
  </w:num>
  <w:num w:numId="42" w16cid:durableId="1401366795">
    <w:abstractNumId w:val="10"/>
  </w:num>
  <w:num w:numId="43" w16cid:durableId="912012192">
    <w:abstractNumId w:val="10"/>
  </w:num>
  <w:num w:numId="44" w16cid:durableId="2500450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6"/>
    <w:docVar w:name="dvlangue" w:val="MT"/>
    <w:docVar w:name="dvnumam" w:val="0"/>
    <w:docVar w:name="dvpe" w:val="776.862"/>
    <w:docVar w:name="dvrapporteur" w:val="Rapporteur: "/>
    <w:docVar w:name="dvtitre" w:val="Riżoluzzjoni tal-Parlament Ewropew xx xx xxxx 2026 dwar l-idoneità regolatorja u s-sussidjarjetà u l-proporzjonalità tal-Unjoni Ewropea – rapport dwar it-Tfassil Aħjar tal-Liġijiet li jkopri l-2023 u l-2024(2025/2015(INI))"/>
  </w:docVars>
  <w:rsids>
    <w:rsidRoot w:val="00026BE7"/>
    <w:rsid w:val="00002272"/>
    <w:rsid w:val="00026BE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7F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649"/>
    <w:rsid w:val="007D1690"/>
    <w:rsid w:val="007E22AD"/>
    <w:rsid w:val="00817416"/>
    <w:rsid w:val="00842779"/>
    <w:rsid w:val="008648E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C70"/>
    <w:rsid w:val="00D56C11"/>
    <w:rsid w:val="00D834A0"/>
    <w:rsid w:val="00D872DF"/>
    <w:rsid w:val="00D91E21"/>
    <w:rsid w:val="00DA7FCD"/>
    <w:rsid w:val="00E365E1"/>
    <w:rsid w:val="00E71C97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  <w:rsid w:val="00FE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45731"/>
  <w15:chartTrackingRefBased/>
  <w15:docId w15:val="{E4554C1B-FE6B-4F1E-8172-3DDB502D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11C70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11C70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11C70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11C70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11C70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11C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16/512/oj" TargetMode="External"/><Relationship Id="rId2" Type="http://schemas.openxmlformats.org/officeDocument/2006/relationships/hyperlink" Target="http://data.europa.eu/eli/treaty/tfeu_2012/pro_2/oj" TargetMode="External"/><Relationship Id="rId1" Type="http://schemas.openxmlformats.org/officeDocument/2006/relationships/hyperlink" Target="http://data.europa.eu/eli/treaty/tfeu_2016/pro_1/oj" TargetMode="External"/><Relationship Id="rId5" Type="http://schemas.openxmlformats.org/officeDocument/2006/relationships/hyperlink" Target="http://data.europa.eu/eli/C/2024/5714/oj" TargetMode="External"/><Relationship Id="rId4" Type="http://schemas.openxmlformats.org/officeDocument/2006/relationships/hyperlink" Target="http://data.europa.eu/eli/C/2024/422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4778</Words>
  <Characters>34263</Characters>
  <Application>Microsoft Office Word</Application>
  <DocSecurity>0</DocSecurity>
  <Lines>1269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2026-03-10T12:24:00Z</dcterms:created>
  <dcterms:modified xsi:type="dcterms:W3CDTF">2026-03-10T12:24:00Z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A10-0020/2026</vt:lpwstr>
  </property>
  <property fmtid="{D5CDD505-2E9C-101B-9397-08002B2CF9AE}" pid="4" name="&lt;Type&gt;">
    <vt:lpwstr>RR</vt:lpwstr>
  </property>
</Properties>
</file>