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7BEB" w14:paraId="11D1B2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808690" w14:textId="1AA83767" w:rsidR="00751A4A" w:rsidRPr="00F17BEB" w:rsidRDefault="00911220" w:rsidP="0010095E">
            <w:pPr>
              <w:pStyle w:val="EPName"/>
            </w:pPr>
            <w:r w:rsidRPr="00F17BEB">
              <w:t>Parlament Europejski</w:t>
            </w:r>
          </w:p>
          <w:p w14:paraId="7FB6E693" w14:textId="77777777" w:rsidR="00751A4A" w:rsidRPr="00F17B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7BEB">
              <w:t>2024</w:t>
            </w:r>
            <w:r w:rsidR="00817416" w:rsidRPr="00F17BEB">
              <w:t>-202</w:t>
            </w:r>
            <w:r w:rsidRPr="00F17BEB">
              <w:t>9</w:t>
            </w:r>
          </w:p>
        </w:tc>
        <w:tc>
          <w:tcPr>
            <w:tcW w:w="2268" w:type="dxa"/>
            <w:shd w:val="clear" w:color="auto" w:fill="auto"/>
          </w:tcPr>
          <w:p w14:paraId="26B8924F" w14:textId="77777777" w:rsidR="00751A4A" w:rsidRPr="00F17BEB" w:rsidRDefault="00187494" w:rsidP="0010095E">
            <w:pPr>
              <w:pStyle w:val="EPLogo"/>
            </w:pPr>
            <w:r w:rsidRPr="00F17BEB">
              <w:rPr>
                <w:noProof/>
                <w:lang w:eastAsia="ja-JP"/>
              </w:rPr>
              <w:drawing>
                <wp:inline distT="0" distB="0" distL="0" distR="0" wp14:anchorId="00BF2B02" wp14:editId="40E18B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C31F41" w14:textId="77777777" w:rsidR="00D058B8" w:rsidRPr="00F17BEB" w:rsidRDefault="00D058B8" w:rsidP="004C5D52">
      <w:pPr>
        <w:pStyle w:val="LineTop"/>
      </w:pPr>
    </w:p>
    <w:p w14:paraId="3C92E099" w14:textId="49AFF576" w:rsidR="00680577" w:rsidRPr="00F17BEB" w:rsidRDefault="00911220" w:rsidP="00680577">
      <w:pPr>
        <w:pStyle w:val="EPBodyTA1"/>
      </w:pPr>
      <w:r w:rsidRPr="00F17BEB">
        <w:t>TEKSTY PRZYJĘTE</w:t>
      </w:r>
    </w:p>
    <w:p w14:paraId="69BF1B35" w14:textId="77777777" w:rsidR="00D058B8" w:rsidRPr="00F17BEB" w:rsidRDefault="00D058B8" w:rsidP="00D058B8">
      <w:pPr>
        <w:pStyle w:val="LineBottom"/>
      </w:pPr>
    </w:p>
    <w:p w14:paraId="048C498E" w14:textId="75E00E88" w:rsidR="00911220" w:rsidRPr="00F17BEB" w:rsidRDefault="00911220" w:rsidP="00911220">
      <w:pPr>
        <w:pStyle w:val="ATHeading1"/>
      </w:pPr>
      <w:bookmarkStart w:id="0" w:name="TANumber"/>
      <w:r w:rsidRPr="00F17BEB">
        <w:t>P10_TA(2026)00</w:t>
      </w:r>
      <w:bookmarkEnd w:id="0"/>
      <w:r w:rsidR="00F008D3" w:rsidRPr="00F17BEB">
        <w:t>63</w:t>
      </w:r>
    </w:p>
    <w:p w14:paraId="55576AA2" w14:textId="77777777" w:rsidR="00911220" w:rsidRPr="00F17BEB" w:rsidRDefault="00911220" w:rsidP="00911220">
      <w:pPr>
        <w:pStyle w:val="ATHeading2"/>
      </w:pPr>
      <w:bookmarkStart w:id="1" w:name="title"/>
      <w:r w:rsidRPr="00F17BEB">
        <w:t>Sprawność regulacyjna Unii Europejskiej oraz pomocniczość i proporcjonalność – sprawozdanie w sprawie lepszego stanowienia prawa obejmujące lata 2023 i 2024</w:t>
      </w:r>
      <w:bookmarkEnd w:id="1"/>
    </w:p>
    <w:p w14:paraId="0F3608AB" w14:textId="77777777" w:rsidR="00911220" w:rsidRPr="00F17BEB" w:rsidRDefault="00911220" w:rsidP="00911220">
      <w:pPr>
        <w:rPr>
          <w:i/>
          <w:vanish/>
        </w:rPr>
      </w:pPr>
      <w:r w:rsidRPr="00F17BEB">
        <w:rPr>
          <w:i/>
        </w:rPr>
        <w:fldChar w:fldCharType="begin"/>
      </w:r>
      <w:r w:rsidRPr="00F17BEB">
        <w:rPr>
          <w:i/>
        </w:rPr>
        <w:instrText xml:space="preserve"> TC"(</w:instrText>
      </w:r>
      <w:bookmarkStart w:id="2" w:name="DocNumber"/>
      <w:r w:rsidRPr="00F17BEB">
        <w:rPr>
          <w:i/>
        </w:rPr>
        <w:instrText>A10-0020/2026</w:instrText>
      </w:r>
      <w:bookmarkEnd w:id="2"/>
      <w:r w:rsidRPr="00F17BEB">
        <w:rPr>
          <w:i/>
        </w:rPr>
        <w:instrText xml:space="preserve"> - Sprawozdawca: Jörgen Warborn)"\l3 \n&gt; \* MERGEFORMAT </w:instrText>
      </w:r>
      <w:r w:rsidRPr="00F17BEB">
        <w:rPr>
          <w:i/>
        </w:rPr>
        <w:fldChar w:fldCharType="end"/>
      </w:r>
    </w:p>
    <w:p w14:paraId="554B2AEA" w14:textId="77777777" w:rsidR="00911220" w:rsidRPr="00F17BEB" w:rsidRDefault="00911220" w:rsidP="00911220">
      <w:pPr>
        <w:rPr>
          <w:vanish/>
        </w:rPr>
      </w:pPr>
      <w:bookmarkStart w:id="3" w:name="Commission"/>
      <w:r w:rsidRPr="00F17BEB">
        <w:rPr>
          <w:vanish/>
        </w:rPr>
        <w:t>Komisja Prawna</w:t>
      </w:r>
      <w:bookmarkEnd w:id="3"/>
    </w:p>
    <w:p w14:paraId="77384760" w14:textId="77777777" w:rsidR="00911220" w:rsidRPr="00F17BEB" w:rsidRDefault="00911220" w:rsidP="00911220">
      <w:pPr>
        <w:rPr>
          <w:vanish/>
        </w:rPr>
      </w:pPr>
      <w:bookmarkStart w:id="4" w:name="PE"/>
      <w:r w:rsidRPr="00F17BEB">
        <w:rPr>
          <w:vanish/>
        </w:rPr>
        <w:t>PE776.862</w:t>
      </w:r>
      <w:bookmarkEnd w:id="4"/>
    </w:p>
    <w:p w14:paraId="0E0A39AB" w14:textId="134C07CB" w:rsidR="00911220" w:rsidRPr="00F17BEB" w:rsidRDefault="00911220" w:rsidP="00911220">
      <w:pPr>
        <w:pStyle w:val="ATHeading3"/>
      </w:pPr>
      <w:bookmarkStart w:id="5" w:name="Sujet"/>
      <w:r w:rsidRPr="00F17BEB">
        <w:t xml:space="preserve">Rezolucja Parlamentu Europejskiego z dnia </w:t>
      </w:r>
      <w:r w:rsidR="00776ABD" w:rsidRPr="00F17BEB">
        <w:t>10 marca</w:t>
      </w:r>
      <w:r w:rsidRPr="00F17BEB">
        <w:t xml:space="preserve"> 2026 r. w sprawie sprawności regulacyjnej Unii Europejskiej oraz pomocniczości i proporcjonalności – sprawozdanie w sprawie lepszego stanowienia prawa obejmujące lata 2023 i 2024</w:t>
      </w:r>
      <w:bookmarkEnd w:id="5"/>
      <w:r w:rsidRPr="00F17BEB">
        <w:t xml:space="preserve"> </w:t>
      </w:r>
      <w:bookmarkStart w:id="6" w:name="References"/>
      <w:r w:rsidRPr="00F17BEB">
        <w:t>(2025/2015(INI))</w:t>
      </w:r>
      <w:bookmarkEnd w:id="6"/>
    </w:p>
    <w:p w14:paraId="44DEE054" w14:textId="77777777" w:rsidR="00911220" w:rsidRPr="00F17BEB" w:rsidRDefault="00911220" w:rsidP="00911220"/>
    <w:p w14:paraId="5FDF01FD" w14:textId="77777777" w:rsidR="00EF0486" w:rsidRPr="00F17BEB" w:rsidRDefault="00EF0486" w:rsidP="00EF0486">
      <w:pPr>
        <w:pStyle w:val="Normal12"/>
      </w:pPr>
      <w:bookmarkStart w:id="7" w:name="TextBodyBegin"/>
      <w:bookmarkEnd w:id="7"/>
      <w:r w:rsidRPr="00F17BEB">
        <w:t>Parlament Europejski,</w:t>
      </w:r>
    </w:p>
    <w:p w14:paraId="095C42C5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art. 5 Traktatu o Unii Europejskiej (TUE), w szczególności zapisane w nim zasady pomocniczości i proporcjonalności,</w:t>
      </w:r>
    </w:p>
    <w:p w14:paraId="337A3CB6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Protokół nr 1 do TUE i Traktatu o funkcjonowaniu Unii Europejskiej (TFUE) w sprawie roli parlamentów narodowych w Unii Europejskiej</w:t>
      </w:r>
      <w:r w:rsidRPr="00F17BEB">
        <w:rPr>
          <w:rStyle w:val="FootnoteReference"/>
        </w:rPr>
        <w:footnoteReference w:customMarkFollows="1" w:id="1"/>
        <w:t>1</w:t>
      </w:r>
      <w:r w:rsidRPr="00F17BEB">
        <w:t>,</w:t>
      </w:r>
    </w:p>
    <w:p w14:paraId="7377CDFB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Protokół nr 2 do TUE i TFUE w sprawie stosowania zasad pomocniczości i proporcjonalności</w:t>
      </w:r>
      <w:r w:rsidRPr="00F17BEB">
        <w:rPr>
          <w:rStyle w:val="FootnoteReference"/>
        </w:rPr>
        <w:footnoteReference w:customMarkFollows="1" w:id="2"/>
        <w:t>2</w:t>
      </w:r>
      <w:r w:rsidRPr="00F17BEB">
        <w:t>,</w:t>
      </w:r>
    </w:p>
    <w:p w14:paraId="56261B68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porozumienie międzyinstytucjonalne z dnia 13 kwietnia 2016 r. między Parlamentem Europejskim, Radą Unii Europejskiej i Komisją Europejską w sprawie lepszego stanowienia prawa</w:t>
      </w:r>
      <w:r w:rsidRPr="00F17BEB">
        <w:rPr>
          <w:rStyle w:val="FootnoteReference"/>
        </w:rPr>
        <w:footnoteReference w:customMarkFollows="1" w:id="3"/>
        <w:t>3</w:t>
      </w:r>
      <w:r w:rsidRPr="00F17BEB">
        <w:t>,</w:t>
      </w:r>
    </w:p>
    <w:p w14:paraId="0EF63D20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sprawozdanie roczne Komisji za 2023 r. z dnia 25 października 2024 r. w sprawie stosowania zasad pomocniczości i proporcjonalności oraz w sprawie stosunków z parlamentami narodowymi (</w:t>
      </w:r>
      <w:hyperlink r:id="rId9" w:tgtFrame="https://eur-lex.europa.eu/legal-content/EN/ALL/?uri=CELEX:52024DC0493" w:history="1">
        <w:r w:rsidRPr="00F17BEB">
          <w:rPr>
            <w:rStyle w:val="Hyperlink"/>
          </w:rPr>
          <w:t>COM(2024)0493</w:t>
        </w:r>
      </w:hyperlink>
      <w:r w:rsidRPr="00F17BEB">
        <w:t>),</w:t>
      </w:r>
    </w:p>
    <w:p w14:paraId="1793AE06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sprawozdanie roczne Komisji za 2024 r. z dnia 8 września 2025 r. w sprawie stosowania zasad pomocniczości i proporcjonalności oraz w sprawie stosunków z parlamentami narodowymi (</w:t>
      </w:r>
      <w:hyperlink r:id="rId10" w:tgtFrame="https://eur-lex.europa.eu/legal-content/EN/ALL/?uri=CELEX:52025DC0473" w:history="1">
        <w:r w:rsidRPr="00F17BEB">
          <w:rPr>
            <w:rStyle w:val="Hyperlink"/>
          </w:rPr>
          <w:t>COM(2025)0473</w:t>
        </w:r>
      </w:hyperlink>
      <w:r w:rsidRPr="00F17BEB">
        <w:t>),</w:t>
      </w:r>
    </w:p>
    <w:p w14:paraId="1787D4E7" w14:textId="77777777" w:rsidR="00EF0486" w:rsidRPr="00F17BEB" w:rsidRDefault="00EF0486" w:rsidP="00EF0486">
      <w:pPr>
        <w:pStyle w:val="NormalHanging"/>
      </w:pPr>
      <w:r w:rsidRPr="00F17BEB">
        <w:lastRenderedPageBreak/>
        <w:t>–</w:t>
      </w:r>
      <w:r w:rsidRPr="00F17BEB">
        <w:tab/>
        <w:t>uwzględniając swoją rezolucję z 24 czerwca 2021 r. w sprawie sprawności regulacyjnej Unii Europejskiej oraz pomocniczości i proporcjonalności – sprawozdanie w sprawie lepszego stanowienia prawa obejmujące lata 2017, 2018 i 2019</w:t>
      </w:r>
      <w:r w:rsidRPr="00F17BEB">
        <w:rPr>
          <w:rStyle w:val="FootnoteReference"/>
        </w:rPr>
        <w:footnoteReference w:customMarkFollows="1" w:id="4"/>
        <w:t>4</w:t>
      </w:r>
      <w:r w:rsidRPr="00F17BEB">
        <w:t>,</w:t>
      </w:r>
    </w:p>
    <w:p w14:paraId="50FF68A6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swoją rezolucję z 23 listopada 2023 r. w sprawie sprawności regulacyjnej Unii Europejskiej oraz pomocniczości i proporcjonalności – sprawozdanie w sprawie lepszego stanowienia prawa obejmujące lata 2020, 2021 i 2022</w:t>
      </w:r>
      <w:r w:rsidRPr="00F17BEB">
        <w:rPr>
          <w:rStyle w:val="FootnoteReference"/>
        </w:rPr>
        <w:footnoteReference w:customMarkFollows="1" w:id="5"/>
        <w:t>5</w:t>
      </w:r>
      <w:r w:rsidRPr="00F17BEB">
        <w:t>,</w:t>
      </w:r>
    </w:p>
    <w:p w14:paraId="715E9420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swoją rezolucję z dnia 17 stycznia 2024 r. w sprawie stosowania postanowień Traktatu dotyczących parlamentów narodowych</w:t>
      </w:r>
      <w:r w:rsidRPr="00F17BEB">
        <w:rPr>
          <w:rStyle w:val="FootnoteReference"/>
        </w:rPr>
        <w:footnoteReference w:customMarkFollows="1" w:id="6"/>
        <w:t>6</w:t>
      </w:r>
      <w:r w:rsidRPr="00F17BEB">
        <w:t>,</w:t>
      </w:r>
    </w:p>
    <w:p w14:paraId="54657813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komunikat Komisji z dnia 29 kwietnia 2021 r. pt. „Lepsze stanowienie prawa: połączenie sił na rzecz stanowienia lepszego prawa” (COM(2021)0219),</w:t>
      </w:r>
    </w:p>
    <w:p w14:paraId="53BC52D5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swoją rezolucję z dnia 7 lipca 2022 r. w sprawie lepszego stanowienia prawa: połączenie sił na rzecz stanowienia lepszego prawa</w:t>
      </w:r>
      <w:r w:rsidRPr="00F17BEB">
        <w:rPr>
          <w:rStyle w:val="FootnoteReference"/>
        </w:rPr>
        <w:footnoteReference w:customMarkFollows="1" w:id="7"/>
        <w:t>7</w:t>
      </w:r>
      <w:r w:rsidRPr="00F17BEB">
        <w:t>,</w:t>
      </w:r>
    </w:p>
    <w:p w14:paraId="7AC29EBA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 xml:space="preserve">uwzględniając badanie pt. „The »one in, one out« </w:t>
      </w:r>
      <w:proofErr w:type="spellStart"/>
      <w:r w:rsidRPr="00F17BEB">
        <w:t>principle</w:t>
      </w:r>
      <w:proofErr w:type="spellEnd"/>
      <w:r w:rsidRPr="00F17BEB">
        <w:t>” [Zasada „jedno więcej – jedno mniej”], opublikowane przez Departament Tematyczny ds. Praw Obywatelskich i Spraw Konstytucyjnych w październiku 2023 r.,</w:t>
      </w:r>
    </w:p>
    <w:p w14:paraId="17502E3F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wszystkie wcześniejsze komunikaty Komisji na temat potrzeby lepszego stanowienia prawa w celu uzyskania lepszych wyników na rzecz obywateli UE,</w:t>
      </w:r>
    </w:p>
    <w:p w14:paraId="7A0AF748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 xml:space="preserve">uwzględniając raport Maria </w:t>
      </w:r>
      <w:proofErr w:type="spellStart"/>
      <w:r w:rsidRPr="00F17BEB">
        <w:t>Draghiego</w:t>
      </w:r>
      <w:proofErr w:type="spellEnd"/>
      <w:r w:rsidRPr="00F17BEB">
        <w:t xml:space="preserve"> z 9 września 2024 r. pt. „The </w:t>
      </w:r>
      <w:proofErr w:type="spellStart"/>
      <w:r w:rsidRPr="00F17BEB">
        <w:t>future</w:t>
      </w:r>
      <w:proofErr w:type="spellEnd"/>
      <w:r w:rsidRPr="00F17BEB">
        <w:t xml:space="preserve"> of </w:t>
      </w:r>
      <w:proofErr w:type="spellStart"/>
      <w:r w:rsidRPr="00F17BEB">
        <w:t>European</w:t>
      </w:r>
      <w:proofErr w:type="spellEnd"/>
      <w:r w:rsidRPr="00F17BEB">
        <w:t xml:space="preserve"> </w:t>
      </w:r>
      <w:proofErr w:type="spellStart"/>
      <w:r w:rsidRPr="00F17BEB">
        <w:t>competitiveness</w:t>
      </w:r>
      <w:proofErr w:type="spellEnd"/>
      <w:r w:rsidRPr="00F17BEB">
        <w:t xml:space="preserve"> – a </w:t>
      </w:r>
      <w:proofErr w:type="spellStart"/>
      <w:r w:rsidRPr="00F17BEB">
        <w:t>competitiveness</w:t>
      </w:r>
      <w:proofErr w:type="spellEnd"/>
      <w:r w:rsidRPr="00F17BEB">
        <w:t xml:space="preserve"> </w:t>
      </w:r>
      <w:proofErr w:type="spellStart"/>
      <w:r w:rsidRPr="00F17BEB">
        <w:t>strategy</w:t>
      </w:r>
      <w:proofErr w:type="spellEnd"/>
      <w:r w:rsidRPr="00F17BEB">
        <w:t xml:space="preserve"> for Europe” [Przyszłość europejskiej konkurencyjności: strategia konkurencyjności dla Europy] (raport </w:t>
      </w:r>
      <w:proofErr w:type="spellStart"/>
      <w:r w:rsidRPr="00F17BEB">
        <w:t>Draghiego</w:t>
      </w:r>
      <w:proofErr w:type="spellEnd"/>
      <w:r w:rsidRPr="00F17BEB">
        <w:t>),</w:t>
      </w:r>
    </w:p>
    <w:p w14:paraId="11BD818A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 xml:space="preserve">uwzględniając sprawozdanie Enrica </w:t>
      </w:r>
      <w:proofErr w:type="spellStart"/>
      <w:r w:rsidRPr="00F17BEB">
        <w:t>Letty</w:t>
      </w:r>
      <w:proofErr w:type="spellEnd"/>
      <w:r w:rsidRPr="00F17BEB">
        <w:t xml:space="preserve"> z 17 kwietnia 2024 r. pt. „Much </w:t>
      </w:r>
      <w:proofErr w:type="spellStart"/>
      <w:r w:rsidRPr="00F17BEB">
        <w:t>more</w:t>
      </w:r>
      <w:proofErr w:type="spellEnd"/>
      <w:r w:rsidRPr="00F17BEB">
        <w:t xml:space="preserve"> </w:t>
      </w:r>
      <w:proofErr w:type="spellStart"/>
      <w:r w:rsidRPr="00F17BEB">
        <w:t>than</w:t>
      </w:r>
      <w:proofErr w:type="spellEnd"/>
      <w:r w:rsidRPr="00F17BEB">
        <w:t xml:space="preserve"> a market” [Znacznie więcej niż rynek] („raport </w:t>
      </w:r>
      <w:proofErr w:type="spellStart"/>
      <w:r w:rsidRPr="00F17BEB">
        <w:t>Letty</w:t>
      </w:r>
      <w:proofErr w:type="spellEnd"/>
      <w:r w:rsidRPr="00F17BEB">
        <w:t>”),</w:t>
      </w:r>
    </w:p>
    <w:p w14:paraId="2E1F52B1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art. 55 Regulaminu,</w:t>
      </w:r>
    </w:p>
    <w:p w14:paraId="02B415B0" w14:textId="77777777" w:rsidR="00EF0486" w:rsidRPr="00F17BEB" w:rsidRDefault="00EF0486" w:rsidP="00EF0486">
      <w:pPr>
        <w:pStyle w:val="NormalHanging"/>
      </w:pPr>
      <w:r w:rsidRPr="00F17BEB">
        <w:t>–</w:t>
      </w:r>
      <w:r w:rsidRPr="00F17BEB">
        <w:tab/>
        <w:t>uwzględniając sprawozdanie Komisji Prawnej (A10-0020/2026),</w:t>
      </w:r>
    </w:p>
    <w:p w14:paraId="51B0BC0E" w14:textId="77777777" w:rsidR="00EF0486" w:rsidRPr="00F17BEB" w:rsidRDefault="00EF0486" w:rsidP="00EF0486">
      <w:pPr>
        <w:pStyle w:val="NormalHanging"/>
      </w:pPr>
      <w:r w:rsidRPr="00F17BEB">
        <w:t>A.</w:t>
      </w:r>
      <w:r w:rsidRPr="00F17BEB">
        <w:tab/>
        <w:t>mając na uwadze, że zgodnie z art. 5 TUE granice kompetencji Unii wyznacza zasada przyznania; mając na uwadze, że wykonywanie kompetencji UE podlega zasadom pomocniczości i proporcjonalności; mając na uwadze, że zgodnie z zasadą przyznania UE ma działać wyłącznie w granicach kompetencji przyznanych jej przez państwa członkowskie w Traktatach do osiągnięcia określonych w nich celów; mając na uwadze, że kompetencje nieprzyznane UE w Traktatach należą do państw członkowskich;</w:t>
      </w:r>
    </w:p>
    <w:p w14:paraId="042B4AFF" w14:textId="77777777" w:rsidR="00EF0486" w:rsidRPr="00F17BEB" w:rsidRDefault="00EF0486" w:rsidP="00EF0486">
      <w:pPr>
        <w:pStyle w:val="NormalHanging"/>
      </w:pPr>
      <w:r w:rsidRPr="00F17BEB">
        <w:t>B.</w:t>
      </w:r>
      <w:r w:rsidRPr="00F17BEB">
        <w:tab/>
        <w:t xml:space="preserve">mając na uwadze, że aby skutecznie przynosić korzyści obywatelom i zainteresowanym stronom, prawodawstwo UE powinno być przydatne, proporcjonalne, jasne i kompleksowe; mając na uwadze, że lepsze stanowienie prawa pomaga zapewnić ukierunkowanie polityki i prawodawstwa UE na przyszłość, z uwzględnieniem szybszego tempa rozwoju technologicznego, społecznego i środowiskowego; mając na </w:t>
      </w:r>
      <w:r w:rsidRPr="00F17BEB">
        <w:lastRenderedPageBreak/>
        <w:t>uwadze, że w związku z tym coraz ważniejsze będzie uzasadnianie wniosków regulacyjnych ocenami opartymi na dowodach; mając na uwadze, że wysokiej jakości stanowienie prawa powinno przynosić korzyści wszystkim i stanowić długoterminową inwestycję we wspólny dobrobyt naszych społeczeństw i naszą przyszłość;</w:t>
      </w:r>
    </w:p>
    <w:p w14:paraId="0BE8BDF4" w14:textId="77777777" w:rsidR="00EF0486" w:rsidRPr="00F17BEB" w:rsidRDefault="00EF0486" w:rsidP="00EF0486">
      <w:pPr>
        <w:pStyle w:val="NormalHanging"/>
      </w:pPr>
      <w:r w:rsidRPr="00F17BEB">
        <w:t>C.</w:t>
      </w:r>
      <w:r w:rsidRPr="00F17BEB">
        <w:tab/>
        <w:t>mając na uwadze, że zgodnie z art. 2 TUE proces kształtowania prawa UE opiera się na wartościach i wymogach poszanowania godności osoby ludzkiej, wolności, demokracji, równości, państwa prawnego, jak również poszanowania praw człowieka; mając na uwadze, że praworządność gwarantuje, iż wszelkie działania Unii, w tym procesy legislacyjne i regulacyjne, opierają się na legalności, przejrzystości i skutecznej kontroli sądowej;</w:t>
      </w:r>
    </w:p>
    <w:p w14:paraId="7ACBFEA5" w14:textId="77777777" w:rsidR="00EF0486" w:rsidRPr="00F17BEB" w:rsidRDefault="00EF0486" w:rsidP="00EF0486">
      <w:pPr>
        <w:pStyle w:val="NormalHanging"/>
      </w:pPr>
      <w:r w:rsidRPr="00F17BEB">
        <w:t>D.</w:t>
      </w:r>
      <w:r w:rsidRPr="00F17BEB">
        <w:tab/>
        <w:t>mając na uwadze, że lepsze stanowienie prawa, które jest wspólnym celem wszystkich instytucji UE i stanowi wspólny obowiązek tych instytucji UE i państw członkowskich, powinno opierać się na przejrzystości, proporcjonalności,  odpowiedzialności i współpracy między instytucjami, państwami członkowskimi, obywatelami oraz zainteresowanymi stronami, przy jednoczesnym zapewnieniu pełnego poszanowania wszystkich podstawowych wartości europejskich, w tym demokracji, praworządności i praw człowieka;</w:t>
      </w:r>
    </w:p>
    <w:p w14:paraId="7EF50B4E" w14:textId="77777777" w:rsidR="00EF0486" w:rsidRPr="00F17BEB" w:rsidRDefault="00EF0486" w:rsidP="00EF0486">
      <w:pPr>
        <w:pStyle w:val="NormalHanging"/>
      </w:pPr>
      <w:r w:rsidRPr="00F17BEB">
        <w:t>E.</w:t>
      </w:r>
      <w:r w:rsidRPr="00F17BEB">
        <w:tab/>
        <w:t>mając na uwadze, że w swoich Wytycznych politycznych na następną kadencję Komisji Europejskiej 2024–2029 z dnia 18 lipca 2024 r. prezydent elekt stwierdziła, że „[p]</w:t>
      </w:r>
      <w:proofErr w:type="spellStart"/>
      <w:r w:rsidRPr="00F17BEB">
        <w:t>rzyszłe</w:t>
      </w:r>
      <w:proofErr w:type="spellEnd"/>
      <w:r w:rsidRPr="00F17BEB">
        <w:t xml:space="preserve"> prawodawstwo należy również uprościć i dopasować z myślą o małych przedsiębiorstwach i w duchu zasady pomocniczości”; mając na uwadze, że stwierdziła ona również, że „[l]</w:t>
      </w:r>
      <w:proofErr w:type="spellStart"/>
      <w:r w:rsidRPr="00F17BEB">
        <w:t>epsze</w:t>
      </w:r>
      <w:proofErr w:type="spellEnd"/>
      <w:r w:rsidRPr="00F17BEB">
        <w:t xml:space="preserve"> stanowienie prawa musi być jednak wspólnym zadaniem – realizowanym z udziałem wszystkich zaangażowanych instytucji i z uwzględnieniem całego procesu legislacyjnego”;</w:t>
      </w:r>
    </w:p>
    <w:p w14:paraId="19BFA9D9" w14:textId="77777777" w:rsidR="00EF0486" w:rsidRPr="00F17BEB" w:rsidRDefault="00EF0486" w:rsidP="00EF0486">
      <w:pPr>
        <w:pStyle w:val="NormalHanging"/>
      </w:pPr>
      <w:r w:rsidRPr="00F17BEB">
        <w:t>F.</w:t>
      </w:r>
      <w:r w:rsidRPr="00F17BEB">
        <w:tab/>
        <w:t>mając na uwadze, że Komisja wyraźnie stwierdziła w swoich różnych komunikatach, iż lepsze stanowienie prawa wymaga zapewnienia, aby prawo UE i kształtowanie polityki opierały się na rzetelnych dowodach, angażowały zainteresowane strony, w tym obywateli i przedsiębiorstwa, unikały nakładania niepotrzebnych obciążeń oraz przynosiły namacalne i trwałe korzyści dla obywateli UE;</w:t>
      </w:r>
    </w:p>
    <w:p w14:paraId="68E39CB5" w14:textId="77777777" w:rsidR="00EF0486" w:rsidRPr="00F17BEB" w:rsidRDefault="00EF0486" w:rsidP="00EF0486">
      <w:pPr>
        <w:pStyle w:val="NormalHanging"/>
      </w:pPr>
      <w:r w:rsidRPr="00F17BEB">
        <w:t>G.</w:t>
      </w:r>
      <w:r w:rsidRPr="00F17BEB">
        <w:tab/>
        <w:t>mając na uwadze, że parlamenty narodowe są naturalnymi strażnikami zasady pomocniczości i odgrywają kluczową rolę w zapewnianiu zgodności z zasadami pomocniczości i proporcjonalności poprzez dialog międzyparlamentarny i system wczesnego ostrzegania, który umożliwia parlamentom narodowym lub izbom krajowym przedstawienie uzasadnionych opinii, jeżeli uważają, że wniosek ustawodawczy nie jest zgodny z zasadą pomocniczości;</w:t>
      </w:r>
    </w:p>
    <w:p w14:paraId="7EFFB267" w14:textId="77777777" w:rsidR="00EF0486" w:rsidRPr="00F17BEB" w:rsidRDefault="00EF0486" w:rsidP="00EF0486">
      <w:pPr>
        <w:pStyle w:val="NormalHanging"/>
      </w:pPr>
      <w:r w:rsidRPr="00F17BEB">
        <w:t>H.</w:t>
      </w:r>
      <w:r w:rsidRPr="00F17BEB">
        <w:tab/>
        <w:t>mając na uwadze, że zgodnie z art. 4 TUE UE i państwa członkowskie są związane zasadą lojalnej współpracy, zgodnie z którą udzielają sobie wzajemnego wsparcia w wykonywaniu zadań na podstawie Traktatów; mając na uwadze, że współpraca ta obejmuje spoczywający na państwach członkowskich obowiązek stosowania wszelkich właściwych środków w celu zapewnienia wypełnienia zobowiązań wynikających z Traktatów lub z aktów Unii;</w:t>
      </w:r>
    </w:p>
    <w:p w14:paraId="326C13C7" w14:textId="77777777" w:rsidR="00EF0486" w:rsidRPr="00F17BEB" w:rsidRDefault="00EF0486" w:rsidP="00EF0486">
      <w:pPr>
        <w:pStyle w:val="NormalHanging"/>
      </w:pPr>
      <w:r w:rsidRPr="00F17BEB">
        <w:t>I.</w:t>
      </w:r>
      <w:r w:rsidRPr="00F17BEB">
        <w:tab/>
        <w:t xml:space="preserve">mając na uwadze, że nadmierne obciążenia regulacyjne nie powinny niepotrzebnie utrudniać konkurencyjności, innowacyjności i rozwoju unijnych przedsiębiorstw, ponieważ doprowadziłoby to do odpływu inwestycji i miejsc pracy poza UE, który </w:t>
      </w:r>
      <w:r w:rsidRPr="00F17BEB">
        <w:lastRenderedPageBreak/>
        <w:t>miałby szczególnie szkodliwy wpływ na małe i średnie przedsiębiorstwa (MŚP); mając na uwadze, że zasadnicze znaczenie dla funkcjonowania jednolitego rynku mają przewidywalność i pewność prawa; mając na uwadze, że jednolity rynek nadal boryka się z barierami i fragmentacją;</w:t>
      </w:r>
    </w:p>
    <w:p w14:paraId="773F8498" w14:textId="77777777" w:rsidR="00EF0486" w:rsidRPr="00F17BEB" w:rsidRDefault="00EF0486" w:rsidP="00EF0486">
      <w:pPr>
        <w:pStyle w:val="NormalHanging"/>
      </w:pPr>
      <w:r w:rsidRPr="00F17BEB">
        <w:t>J.</w:t>
      </w:r>
      <w:r w:rsidRPr="00F17BEB">
        <w:tab/>
        <w:t>mając na uwadze, że do zapewnienia zaufania obywateli do UE kluczowe jest przejrzyste, odpowiednie i jednolite stosowanie przepisów UE, przy jednoczesnym unikaniu tworzenia niepotrzebnych obciążeń i dodatkowych kosztów dla wszystkich, w tym przedsiębiorstw i konsumentów; mając na uwadze, że zgodnie z art. 197 TFUE skuteczne wdrażanie należy uważać za sprawę leżącą we wspólnym interesie państw członkowskich; mając na wadze, że przy transpozycji prawodawstwa UE państwa członkowskie powinny unikać nakładania zbędnych dodatkowych obciążeń administracyjnych lub regulacyjnych;</w:t>
      </w:r>
    </w:p>
    <w:p w14:paraId="5ACEAA1C" w14:textId="77777777" w:rsidR="00EF0486" w:rsidRPr="00F17BEB" w:rsidRDefault="00EF0486" w:rsidP="00EF0486">
      <w:pPr>
        <w:pStyle w:val="NormalHanging"/>
      </w:pPr>
      <w:r w:rsidRPr="00F17BEB">
        <w:t>K.</w:t>
      </w:r>
      <w:r w:rsidRPr="00F17BEB">
        <w:tab/>
        <w:t>mając na uwadze, że Komisja wprowadziła w 2021 r. zasadę „jedno więcej – jedno mniej”, która ma na celu rekompensowanie nowych obciążeń wynikających z wniosków ustawodawczych Komisji poprzez proporcjonalne zmniejszanie obciążeń już istniejących w tym samym obszarze polityki; mając na uwadze, że koncepcja ta w obecnej postaci nie stanowi narzędzia lepszego stanowienia prawa, w szczególności dlatego, że nie odnosi się do jakości prawodawstwa, którego nie można ograniczyć wyłącznie do celów ilościowych jako sposobu zmniejszenia obciążeń i kosztów, i nie obejmuje oceny jej ewentualnego wpływu na obecne cele regulacyjne UE;</w:t>
      </w:r>
    </w:p>
    <w:p w14:paraId="4560EDC8" w14:textId="77777777" w:rsidR="00EF0486" w:rsidRPr="00F17BEB" w:rsidRDefault="00EF0486" w:rsidP="00EF0486">
      <w:pPr>
        <w:pStyle w:val="NormalHanging"/>
      </w:pPr>
      <w:r w:rsidRPr="00F17BEB">
        <w:t>L.</w:t>
      </w:r>
      <w:r w:rsidRPr="00F17BEB">
        <w:tab/>
        <w:t>mając na uwadze, że podejścia „jedno więcej – jedno mniej” nie należy rozumieć jako celu liczbowego dla aktów ustawodawczych, lecz raczej jako mechanizm oparty na kosztach mający na celu osiągnięcie wymiernej redukcji netto kosztów regulacyjnych i poprawy funkcjonowania rynku i społeczeństwa UE; mając na uwadze, że należy nadal koncentrować się na kwestii nakładanych na przedsiębiorstwa łącznych kosztów związanych z administracją oraz przestrzeganiem i wdrażaniem przepisów oraz dbać o to, aby wprowadzanie nowych obowiązków były kompensowane; mając na uwadze, że obecne podejście „jedno więcej – jedno mniej” jest w tym względzie niewystarczające; mając na uwadze, że należy przyjąć bardziej ambitne podejście nadrzędne;</w:t>
      </w:r>
    </w:p>
    <w:p w14:paraId="328EE3EE" w14:textId="77777777" w:rsidR="00EF0486" w:rsidRPr="00F17BEB" w:rsidRDefault="00EF0486" w:rsidP="00EF0486">
      <w:pPr>
        <w:pStyle w:val="NormalHanging"/>
      </w:pPr>
      <w:r w:rsidRPr="00F17BEB">
        <w:t>M.</w:t>
      </w:r>
      <w:r w:rsidRPr="00F17BEB">
        <w:tab/>
        <w:t>mając na uwadze, że najnowsze osiągnięcia w dziedzinie sztucznej inteligencji (AI) przekształcają sposób, w jaki można analizować i stosować prawo UE, przechodząc od ograniczonych, opartych na wiedzy systemów eksperckich do predykcyjnych i generatywnych modeli uczenia maszynowego; mając na uwadze, że technologie te otwierają nowe możliwości i wprowadzają nowe wyzwania na wszystkich etapach cyklu legislacyjnego – w tym podczas analiz przed przyjęciem aktu i prognozowania skutków, redagowania aktów prawnych, konsultacji publicznych, a w szczególności podczas monitorowania po wejściu w życie – oferując tym samym istotne szanse na poprawę terminowości, precyzji i pogłębienia procesu stanowienia prawa UE, jeżeli odbywa się on z należytą starannością i z poszanowaniem praw podstawowych;</w:t>
      </w:r>
    </w:p>
    <w:p w14:paraId="2ECAE5DF" w14:textId="77777777" w:rsidR="00EF0486" w:rsidRPr="00F17BEB" w:rsidRDefault="00EF0486" w:rsidP="00EF0486">
      <w:pPr>
        <w:pStyle w:val="NormalHanging"/>
      </w:pPr>
      <w:r w:rsidRPr="00F17BEB">
        <w:t>N.</w:t>
      </w:r>
      <w:r w:rsidRPr="00F17BEB">
        <w:tab/>
        <w:t xml:space="preserve">mając na uwadze, że lepsze stanowienie prawa musi służyć ambicjom politycznym UE, zwłaszcza jej celom długoterminowym; mając na uwadze, że dobrze przeprowadzone oceny skutków ex </w:t>
      </w:r>
      <w:proofErr w:type="spellStart"/>
      <w:r w:rsidRPr="00F17BEB">
        <w:t>ante</w:t>
      </w:r>
      <w:proofErr w:type="spellEnd"/>
      <w:r w:rsidRPr="00F17BEB">
        <w:t xml:space="preserve"> i ex post, w tym w odniesieniu do skutków społecznych, gospodarczych i środowiskowych, oraz konsultacje publiczne są podstawowymi narzędziami rzetelnego, lepszego, skutecznego, odpowiedzialnego i przejrzystego stanowienia prawa; mając na uwadze, że zadaniem Rady ds. Kontroli Regulacyjnej jest wyrażanie opinii na temat jakości ocen skutków, kontrole adekwatności oraz szeroko </w:t>
      </w:r>
      <w:r w:rsidRPr="00F17BEB">
        <w:lastRenderedPageBreak/>
        <w:t>zakrojone oceny i w ten sposób wspieranie procesu podejmowania decyzji politycznych;</w:t>
      </w:r>
    </w:p>
    <w:p w14:paraId="38E16FA2" w14:textId="77777777" w:rsidR="00EF0486" w:rsidRPr="00F17BEB" w:rsidRDefault="00EF0486" w:rsidP="00EF0486">
      <w:pPr>
        <w:pStyle w:val="Normal12a"/>
      </w:pPr>
      <w:r w:rsidRPr="00F17BEB">
        <w:rPr>
          <w:b/>
        </w:rPr>
        <w:t>Pomocniczość i proporcjonalność</w:t>
      </w:r>
    </w:p>
    <w:p w14:paraId="3B84689A" w14:textId="77777777" w:rsidR="00EF0486" w:rsidRPr="00F17BEB" w:rsidRDefault="00EF0486" w:rsidP="00EF0486">
      <w:pPr>
        <w:pStyle w:val="NormalHanging12a"/>
      </w:pPr>
      <w:r w:rsidRPr="00F17BEB">
        <w:t>1.</w:t>
      </w:r>
      <w:r w:rsidRPr="00F17BEB">
        <w:tab/>
        <w:t>przypomina, że zgodnie z zasadami pomocniczości i proporcjonalności zapisanymi w art. 5 TUE UE ma obowiązek stanowienia prawa tylko wówczas i tylko w takim zakresie, w jakim jest to konieczne; przypomina, że celem tego obowiązku jest stanowienie prawa jak najbliżej obywateli UE;</w:t>
      </w:r>
    </w:p>
    <w:p w14:paraId="61ADB21C" w14:textId="77777777" w:rsidR="00EF0486" w:rsidRPr="00F17BEB" w:rsidRDefault="00EF0486" w:rsidP="00EF0486">
      <w:pPr>
        <w:pStyle w:val="NormalHanging12a"/>
      </w:pPr>
      <w:r w:rsidRPr="00F17BEB">
        <w:t>2.</w:t>
      </w:r>
      <w:r w:rsidRPr="00F17BEB">
        <w:tab/>
        <w:t xml:space="preserve">przypomina, że lepsze stanowienie prawa opiera się na zachowaniu równowagi instytucjonalnej między </w:t>
      </w:r>
      <w:proofErr w:type="spellStart"/>
      <w:r w:rsidRPr="00F17BEB">
        <w:t>współprawodawcami</w:t>
      </w:r>
      <w:proofErr w:type="spellEnd"/>
      <w:r w:rsidRPr="00F17BEB">
        <w:t xml:space="preserve"> oraz wspólnym zobowiązaniu do rzetelnej i przejrzystej współpracy przez cały cykl legislacyjny; zwraca uwagę, że powinno to znaleźć odzwierciedlenie w ustalaniu lub przeglądzie priorytetów wieloletnich oraz we wspólnej rocznej deklaracji dotyczącej corocznych priorytetów międzyinstytucjonalnych; przypomina, że każda decyzja Komisji o wycofaniu oczekujących aktów ustawodawczych, ogłaszana w rocznych programach prac, powinna być należycie uzasadniona, co umożliwia właściwą konsultację z unijnymi </w:t>
      </w:r>
      <w:proofErr w:type="spellStart"/>
      <w:r w:rsidRPr="00F17BEB">
        <w:t>współprawodawcami</w:t>
      </w:r>
      <w:proofErr w:type="spellEnd"/>
      <w:r w:rsidRPr="00F17BEB">
        <w:t>;</w:t>
      </w:r>
    </w:p>
    <w:p w14:paraId="5F96D807" w14:textId="77777777" w:rsidR="00EF0486" w:rsidRPr="00F17BEB" w:rsidRDefault="00EF0486" w:rsidP="00EF0486">
      <w:pPr>
        <w:pStyle w:val="NormalHanging12a"/>
      </w:pPr>
      <w:r w:rsidRPr="00F17BEB">
        <w:t>3.</w:t>
      </w:r>
      <w:r w:rsidRPr="00F17BEB">
        <w:tab/>
        <w:t>przypomina, że stosowanie innych podstaw prawnych niż zwykła procedura ustawodawcza jest ściśle określone w Traktatach; ostrzega przed wykorzystywaniem procedur legislacyjnych przewidzianych wyłącznie na sytuacje nadzwyczajne, na podstawie art. 122 TFUE, poza konkretnymi przypadkami wymagającymi szybkiej reakcji na pojawiające się kryzysy;</w:t>
      </w:r>
    </w:p>
    <w:p w14:paraId="38EA680C" w14:textId="77777777" w:rsidR="00EF0486" w:rsidRPr="00F17BEB" w:rsidRDefault="00EF0486" w:rsidP="00EF0486">
      <w:pPr>
        <w:pStyle w:val="NormalHanging12a"/>
      </w:pPr>
      <w:r w:rsidRPr="00F17BEB">
        <w:t>4.</w:t>
      </w:r>
      <w:r w:rsidRPr="00F17BEB">
        <w:tab/>
        <w:t xml:space="preserve">przypomina, że ewaluacje, oceny skutków oraz konsultacje z zainteresowanymi stronami stanowią kluczowe filary efektywnego, odpowiedzialnego i demokratycznego procesu </w:t>
      </w:r>
      <w:proofErr w:type="spellStart"/>
      <w:r w:rsidRPr="00F17BEB">
        <w:t>normodawczego</w:t>
      </w:r>
      <w:proofErr w:type="spellEnd"/>
      <w:r w:rsidRPr="00F17BEB">
        <w:t>;</w:t>
      </w:r>
    </w:p>
    <w:p w14:paraId="13A67698" w14:textId="77777777" w:rsidR="00EF0486" w:rsidRPr="00F17BEB" w:rsidRDefault="00EF0486" w:rsidP="00EF0486">
      <w:pPr>
        <w:pStyle w:val="NormalHanging12a"/>
      </w:pPr>
      <w:r w:rsidRPr="00F17BEB">
        <w:t>5.</w:t>
      </w:r>
      <w:r w:rsidRPr="00F17BEB">
        <w:tab/>
        <w:t>zauważa, że w 2023 r. parlamenty narodowe złożyły 22 uzasadnione opinie, o jedną trzecią mniej niż w 2022 r., zgodnie z długoterminową tendencją spadkową; zauważa, że odnotowano również wzrost udziału parlamentów narodowych w szerszym dialogu politycznym z Komisją o ponad 10 % w porównaniu z 2022 r.;</w:t>
      </w:r>
    </w:p>
    <w:p w14:paraId="74205DB6" w14:textId="77777777" w:rsidR="00EF0486" w:rsidRPr="00F17BEB" w:rsidRDefault="00EF0486" w:rsidP="00EF0486">
      <w:pPr>
        <w:pStyle w:val="NormalHanging12a"/>
      </w:pPr>
      <w:r w:rsidRPr="00F17BEB">
        <w:t>6.</w:t>
      </w:r>
      <w:r w:rsidRPr="00F17BEB">
        <w:tab/>
        <w:t>zauważa, że od momentu wejścia w życie traktatu lizbońskiego w 2009 r. parlamenty narodowe przedłożyły jedynie 577 analiz zgodności z zasadą pomocniczości i uzasadnionych opinii, 3 803 uwagi, trzy „żółte kartki” i żadnej „pomarańczowej kartki”;</w:t>
      </w:r>
    </w:p>
    <w:p w14:paraId="18B80DAC" w14:textId="77777777" w:rsidR="00EF0486" w:rsidRPr="00F17BEB" w:rsidRDefault="00EF0486" w:rsidP="00EF0486">
      <w:pPr>
        <w:pStyle w:val="NormalHanging12a"/>
      </w:pPr>
      <w:r w:rsidRPr="00F17BEB">
        <w:t>7.</w:t>
      </w:r>
      <w:r w:rsidRPr="00F17BEB">
        <w:tab/>
        <w:t>zauważa, że oprócz mechanizmu kontroli zasady pomocniczości ustanowionego protokołem nr 2 Komisja rozpoczęła w 2006 r. dialog polityczny, w ramach którego w 2023 r. złożono 402 opinie; zauważa ponadto, że w opiniach tych parlamenty narodowe skoncentrowały się na programie prac Komisji na 2023 r.;</w:t>
      </w:r>
    </w:p>
    <w:p w14:paraId="67F15161" w14:textId="77777777" w:rsidR="00EF0486" w:rsidRPr="00F17BEB" w:rsidRDefault="00EF0486" w:rsidP="00EF0486">
      <w:pPr>
        <w:pStyle w:val="NormalHanging12a"/>
      </w:pPr>
      <w:r w:rsidRPr="00F17BEB">
        <w:t>8.</w:t>
      </w:r>
      <w:r w:rsidRPr="00F17BEB">
        <w:tab/>
        <w:t>zauważa, że w 2024 r. minęło 15 lat od wejścia w życie i rozpoczęcia stosowania Traktatu z Lizbony, który wprowadził wyższy poziom kontroli parlamentarnej i demokratycznej rozliczalności w UE, w szczególności dzięki zasadom pomocniczości i proporcjonalności;</w:t>
      </w:r>
    </w:p>
    <w:p w14:paraId="2FCBE489" w14:textId="77777777" w:rsidR="00EF0486" w:rsidRPr="00F17BEB" w:rsidRDefault="00EF0486" w:rsidP="00EF0486">
      <w:pPr>
        <w:pStyle w:val="NormalHanging12a"/>
      </w:pPr>
      <w:r w:rsidRPr="00F17BEB">
        <w:t>9.</w:t>
      </w:r>
      <w:r w:rsidRPr="00F17BEB">
        <w:tab/>
        <w:t xml:space="preserve">zauważa, że 2024 r. był również rokiem przejściowym między dwiema kadencjami Komisji, kiedy to intensywność krajowej kontroli parlamentarnej zazwyczaj spada; zauważa, że tak było również w 2024 r., w którym parlamenty narodowe złożyły 252 </w:t>
      </w:r>
      <w:r w:rsidRPr="00F17BEB">
        <w:lastRenderedPageBreak/>
        <w:t>opinie, spośród których 14 było uzasadnionymi opiniami; zauważa, że chociaż jest to znaczny spadek w porównaniu z 2023 r., nie jest on niezwykły w roku przejściowym, a w porównaniu z poprzednim rokiem przejściowym, tj. 2019 r., był bardziej umiarkowany;</w:t>
      </w:r>
    </w:p>
    <w:p w14:paraId="3C0B1DA2" w14:textId="77777777" w:rsidR="00EF0486" w:rsidRPr="00F17BEB" w:rsidRDefault="00EF0486" w:rsidP="00EF0486">
      <w:pPr>
        <w:pStyle w:val="NormalHanging12a"/>
      </w:pPr>
      <w:r w:rsidRPr="00F17BEB">
        <w:t>10.</w:t>
      </w:r>
      <w:r w:rsidRPr="00F17BEB">
        <w:tab/>
        <w:t>z zadowoleniem przyjmuje fakt, że w 2024 r. Komisja znacząco poprawiła sposób udostępniania opinii parlamentów narodowych oraz swoich odpowiedzi na te opinie, uruchamiając nową bazę danych online z możliwością filtrowania; dodatkowo z zadowoleniem przyjmuje fakt, że to udoskonalenie obejmuje również opinie i odpowiedzi gromadzone od 2014 r.;</w:t>
      </w:r>
    </w:p>
    <w:p w14:paraId="117C9CBB" w14:textId="77777777" w:rsidR="00EF0486" w:rsidRPr="00F17BEB" w:rsidRDefault="00EF0486" w:rsidP="00EF0486">
      <w:pPr>
        <w:pStyle w:val="NormalHanging12a"/>
      </w:pPr>
      <w:r w:rsidRPr="00F17BEB">
        <w:t>11.</w:t>
      </w:r>
      <w:r w:rsidRPr="00F17BEB">
        <w:tab/>
        <w:t>wzywa do wcześniejszego, uporządkowanego i rzeczywistego włączenia parlamentów narodowych w cykl kształtowania polityki UE, również na etapie konsultacji i ustalania agendy, a nie dopiero po przyjęciu przez Komisję wniosku; podkreśla, że zapewnienie parlamentom narodowym terminowego dostępu do projektów inicjatyw, analiz wstępnych oraz materiałów dotyczących oceny skutków umożliwiłoby skuteczniejszą kontrolę pod kątem zasad pomocniczości i proporcjonalności oraz pozwoliłoby na uwzględnienie krajowej ekspertyzy już na wczesnym etapie procesu legislacyjnego UE;</w:t>
      </w:r>
    </w:p>
    <w:p w14:paraId="74957358" w14:textId="77777777" w:rsidR="00EF0486" w:rsidRPr="00F17BEB" w:rsidRDefault="00EF0486" w:rsidP="00EF0486">
      <w:pPr>
        <w:pStyle w:val="NormalHanging12a"/>
      </w:pPr>
      <w:r w:rsidRPr="00F17BEB">
        <w:t>12.</w:t>
      </w:r>
      <w:r w:rsidRPr="00F17BEB">
        <w:tab/>
        <w:t>odnotowuje apele szeregu parlamentów narodowych o większe zaangażowanie w kontrolę aktów delegowanych i wykonawczych; podkreśla znaczenie uprzedniej kontroli takich aktów przez parlamenty narodowe w celu zapewnienia poszanowania i zgodności z zasadami pomocniczości i proporcjonalności;</w:t>
      </w:r>
    </w:p>
    <w:p w14:paraId="2476E6C4" w14:textId="77777777" w:rsidR="00EF0486" w:rsidRPr="00F17BEB" w:rsidRDefault="00EF0486" w:rsidP="00EF0486">
      <w:pPr>
        <w:pStyle w:val="NormalHanging12a"/>
      </w:pPr>
      <w:r w:rsidRPr="00F17BEB">
        <w:t>13.</w:t>
      </w:r>
      <w:r w:rsidRPr="00F17BEB">
        <w:tab/>
        <w:t>Wzywa do zacieśnienia współpracy z parlamentami narodowymi przez uporządkowane platformy dialogu cyfrowego, tak aby zapewnić terminowe przekazywanie informacji o nowych inicjatywach UE; zachęca do rozważenia możliwości, które wzmocniłyby rolę parlamentów narodowych w kształtowaniu polityki UE, w tym przez uporządkowany mechanizm „zielonej karty” pozwalający na zbiorowe zgłaszanie propozycji inicjatyw Komisji przy określonych, rozsądnych i osiągalnych progach; podkreśla, że wymiana międzyparlamentarna powinna obejmować także przedstawicieli lokalnych i regionalnych, co przyczyni się do większej przejrzystości stanowienia prawa UE i odpowiedzialności publicznej za stanowienie prawa UE; zwraca uwagę, że wzmocnienie roli parlamentów narodowych poza funkcję reaktywną zwiększyłoby poczucie odpowiedzialności za działania UE i legitymację demokratyczną działań UE;</w:t>
      </w:r>
    </w:p>
    <w:p w14:paraId="007FA0FC" w14:textId="77777777" w:rsidR="00EF0486" w:rsidRPr="00F17BEB" w:rsidRDefault="00EF0486" w:rsidP="00EF0486">
      <w:pPr>
        <w:pStyle w:val="NormalHanging12a"/>
      </w:pPr>
      <w:r w:rsidRPr="00F17BEB">
        <w:t>14.</w:t>
      </w:r>
      <w:r w:rsidRPr="00F17BEB">
        <w:tab/>
        <w:t>zauważa, że w 2024 r. Trybunał Sprawiedliwości Unii Europejskiej stwierdził nieważność przepisu rozporządzenia, dodanego podczas negocjacji ustawodawczych, ze względu na to, że informacje o nim były niewystarczające, aby ocenić i jednoznacznie stwierdzić jego proporcjonalność; potwierdza, że zasady pomocniczości i proporcjonalności nadal mają zasadnicze znaczenie dla legitymizacji UE, i wzywa do ściślejszej współpracy i wzmocnionego dialogu zorganizowanego z parlamentami narodowymi;</w:t>
      </w:r>
    </w:p>
    <w:p w14:paraId="3B4F845E" w14:textId="77777777" w:rsidR="00EF0486" w:rsidRPr="00F17BEB" w:rsidRDefault="00EF0486" w:rsidP="00EF0486">
      <w:pPr>
        <w:pStyle w:val="NormalHanging12a"/>
      </w:pPr>
      <w:r w:rsidRPr="00F17BEB">
        <w:t>15.</w:t>
      </w:r>
      <w:r w:rsidRPr="00F17BEB">
        <w:tab/>
        <w:t xml:space="preserve">podkreśla, że mimo wspólnego celu, jakim jest rzetelna współpraca przy kształtowaniu polityki i stanowieniu prawa UE – w tym roli państw członkowskich polegającej na podejmowaniu wszelkich odpowiednich działań w celu zapewnienia realizacji zobowiązań wynikających z Traktatów lub aktów instytucji UE – sytuacja dotycząca terminowej transpozycji dyrektyw i wdrażania prawa UE nadal bardzo się różni w poszczególnych państwach; zachęca do dalszego wspierania rozwoju administracyjnych </w:t>
      </w:r>
      <w:r w:rsidRPr="00F17BEB">
        <w:lastRenderedPageBreak/>
        <w:t>i technicznych zdolności państw członkowskich w tym zakresie oraz wzywa Komisję do stanowczego egzekwowania prawa, gdy współpraca zawodzi;</w:t>
      </w:r>
    </w:p>
    <w:p w14:paraId="7495D30D" w14:textId="77777777" w:rsidR="00EF0486" w:rsidRPr="00F17BEB" w:rsidRDefault="00EF0486" w:rsidP="00EF0486">
      <w:pPr>
        <w:pStyle w:val="NormalHanging12a"/>
      </w:pPr>
      <w:r w:rsidRPr="00F17BEB">
        <w:t>16.</w:t>
      </w:r>
      <w:r w:rsidRPr="00F17BEB">
        <w:tab/>
        <w:t>odnotowuje uruchomienie przez Komisję „dialogów wdrożeniowych” jako elementu działań na rzecz przejrzystości i partycypacji demokratycznej w celu lepszego stanowienia prawa; w szerszym kontekście zachęca do podejmowania inicjatyw sprzyjających znaczącemu zaangażowaniu społeczeństwa obywatelskiego i przedsiębiorstw w kształtowanie polityki; zauważa w związku z tym, że można wprowadzić ulepszenia, aby zapewnić większą przejrzystość procesu legislacyjnego UE, uwzględnienie opinii wszystkich zainteresowanych stron oraz łatwiejsze śledzenie tego procesu;</w:t>
      </w:r>
    </w:p>
    <w:p w14:paraId="32CE9B46" w14:textId="77777777" w:rsidR="00EF0486" w:rsidRPr="00F17BEB" w:rsidRDefault="00EF0486" w:rsidP="00EF0486">
      <w:pPr>
        <w:pStyle w:val="Normal12a"/>
      </w:pPr>
      <w:r w:rsidRPr="00F17BEB">
        <w:t>Lepsze stanowienie prawa</w:t>
      </w:r>
    </w:p>
    <w:p w14:paraId="3B27A884" w14:textId="77777777" w:rsidR="00EF0486" w:rsidRPr="00F17BEB" w:rsidRDefault="00EF0486" w:rsidP="00EF0486">
      <w:pPr>
        <w:pStyle w:val="NormalHanging12a"/>
      </w:pPr>
      <w:r w:rsidRPr="00F17BEB">
        <w:t>17.</w:t>
      </w:r>
      <w:r w:rsidRPr="00F17BEB">
        <w:tab/>
        <w:t>podkreśla, że pomimo postępów poczynionych w ramach programu lepszego stanowienia prawa prawodawstwo UE nadal generuje wiele obciążeń regulacyjnych i w związku z tym można wprowadzić ulepszenia, aby zapewnić większą przejrzystość procesu legislacyjnego UE, uwzględnienie opinii wszystkich odpowiednich zainteresowanych stron oraz łatwiejsze śledzenie tego procesu;</w:t>
      </w:r>
    </w:p>
    <w:p w14:paraId="7B78B2DB" w14:textId="77777777" w:rsidR="00EF0486" w:rsidRPr="00F17BEB" w:rsidRDefault="00EF0486" w:rsidP="00EF0486">
      <w:pPr>
        <w:pStyle w:val="NormalHanging12a"/>
      </w:pPr>
      <w:r w:rsidRPr="00F17BEB">
        <w:t>18.</w:t>
      </w:r>
      <w:r w:rsidRPr="00F17BEB">
        <w:tab/>
        <w:t xml:space="preserve">wzywa Komisję oraz </w:t>
      </w:r>
      <w:proofErr w:type="spellStart"/>
      <w:r w:rsidRPr="00F17BEB">
        <w:t>współprawodawców</w:t>
      </w:r>
      <w:proofErr w:type="spellEnd"/>
      <w:r w:rsidRPr="00F17BEB">
        <w:t xml:space="preserve"> do systematycznego stosowania dobrych technik redakcji legislacyjnej i posługiwania się jasnym oraz zrozumiałym językiem prawnym, z dbałością o spójność całego dorobku prawnego UE, powielania lub sprzeczności, które to elementy prowadzą do zbędnej złożoności i utrudniają wdrażanie; podkreśla, że przejrzysta i spójna redakcja zwiększa pewność prawa i ogranicza obciążenia administracyjne dla obywateli, przedsiębiorstw i administracji publicznych;</w:t>
      </w:r>
    </w:p>
    <w:p w14:paraId="607272C5" w14:textId="77777777" w:rsidR="00EF0486" w:rsidRPr="00F17BEB" w:rsidRDefault="00EF0486" w:rsidP="00EF0486">
      <w:pPr>
        <w:pStyle w:val="NormalHanging12a"/>
      </w:pPr>
      <w:r w:rsidRPr="00F17BEB">
        <w:t>19.</w:t>
      </w:r>
      <w:r w:rsidRPr="00F17BEB">
        <w:tab/>
        <w:t xml:space="preserve">uznaje zasadniczą rolę organów ścigania w utrzymaniu praworządności i ochronie praw podstawowych; przypomina, że pewność prawa, dostępność i przewidywalność przepisów stanowią kluczowe wymogi zasady praworządności; wzywa Komisję oraz </w:t>
      </w:r>
      <w:proofErr w:type="spellStart"/>
      <w:r w:rsidRPr="00F17BEB">
        <w:t>współprawodawców</w:t>
      </w:r>
      <w:proofErr w:type="spellEnd"/>
      <w:r w:rsidRPr="00F17BEB">
        <w:t xml:space="preserve"> do zapewnienia, by narzędzia lepszego stanowienia prawa – w tym oceny skutków, konsultacje i ewaluacje – przyczyniały się do tworzenia bardziej przejrzystych, spójnych i przewidywalnych przepisów UE; wzywa państwa członkowskie do zapewnienia, by wszelkie zmiany konstytucyjne lub legislacyjne mające wpływ na podział władz były w pełni zgodne z podstawowymi wartościami i zasadami prawnymi UE oraz do pełnego wykorzystywania unijnego „</w:t>
      </w:r>
      <w:proofErr w:type="spellStart"/>
      <w:r w:rsidRPr="00F17BEB">
        <w:t>praworządnościowego</w:t>
      </w:r>
      <w:proofErr w:type="spellEnd"/>
      <w:r w:rsidRPr="00F17BEB">
        <w:t xml:space="preserve"> zestawu narzędzi”, gdyż takie zmiany mają ogromne konsekwencje dla spójności UE i życia obywateli;</w:t>
      </w:r>
    </w:p>
    <w:p w14:paraId="21A9C91C" w14:textId="77777777" w:rsidR="00EF0486" w:rsidRPr="00F17BEB" w:rsidRDefault="00EF0486" w:rsidP="00EF0486">
      <w:pPr>
        <w:pStyle w:val="NormalHanging12a"/>
      </w:pPr>
      <w:r w:rsidRPr="00F17BEB">
        <w:t>20.</w:t>
      </w:r>
      <w:r w:rsidRPr="00F17BEB">
        <w:tab/>
        <w:t>wyraża głębokie ubolewanie, że Komisja coraz częściej nie przeprowadza ocen skutków, które stanowią element jej własnych mechanizmów lepszego stanowienia prawa; uważa, że aby osiągnąć cele programu lepszego stanowienia prawa, należy znacząco poprawić jakość i wykorzystanie ocen skutków;</w:t>
      </w:r>
    </w:p>
    <w:p w14:paraId="0994ECF9" w14:textId="77777777" w:rsidR="00EF0486" w:rsidRPr="00F17BEB" w:rsidRDefault="00EF0486" w:rsidP="00EF0486">
      <w:pPr>
        <w:pStyle w:val="NormalHanging12a"/>
      </w:pPr>
      <w:r w:rsidRPr="00F17BEB">
        <w:t>21.</w:t>
      </w:r>
      <w:r w:rsidRPr="00F17BEB">
        <w:tab/>
        <w:t xml:space="preserve">podkreśla potrzebę odpowiednich, niezależnych i przejrzystych ocen skutków wszystkich wniosków ustawodawczych, a także odpowiednich ocen ex post w odniesieniu do inicjatyw Unii; przypomina, że zamiast Komisji to Parlament wielokrotnie przeprowadzał własne oceny skutków; przypomina ponadto, że Parlament powołał specjalną Dyrekcję ds. Oceny Skutków Regulacji i Europejskiej Wartości Dodanej, aby móc przeprowadzać oceny skutków ex </w:t>
      </w:r>
      <w:proofErr w:type="spellStart"/>
      <w:r w:rsidRPr="00F17BEB">
        <w:t>ante</w:t>
      </w:r>
      <w:proofErr w:type="spellEnd"/>
      <w:r w:rsidRPr="00F17BEB">
        <w:t xml:space="preserve"> i oceny ex post jako narzędzie kształtowania polityki opartej na dowodach; przypomina jednak, że chociaż oceny </w:t>
      </w:r>
      <w:r w:rsidRPr="00F17BEB">
        <w:lastRenderedPageBreak/>
        <w:t>skutków stanowią źródło informacji, to nie zastępują procesu podejmowania decyzji politycznych;</w:t>
      </w:r>
    </w:p>
    <w:p w14:paraId="3153CFF8" w14:textId="77777777" w:rsidR="00EF0486" w:rsidRPr="00F17BEB" w:rsidRDefault="00EF0486" w:rsidP="00EF0486">
      <w:pPr>
        <w:pStyle w:val="NormalHanging12a"/>
      </w:pPr>
      <w:r w:rsidRPr="00F17BEB">
        <w:t>22.</w:t>
      </w:r>
      <w:r w:rsidRPr="00F17BEB">
        <w:tab/>
        <w:t>podkreśla, że wszystkim ważniejszym inicjatywom ustawodawczym i politycznym powinna towarzyszyć analiza kosztów i korzyści w ramach oceny skutków, w tym analizy ich skutków społecznych, gospodarczych i środowiskowych; uważa, że takie analizy są niezbędne do kształtowania polityki opartej na dowodach oraz do utrzymania zaufania obywateli i przedsiębiorstw do prawodawstwa UE;</w:t>
      </w:r>
    </w:p>
    <w:p w14:paraId="775E29D1" w14:textId="77777777" w:rsidR="00EF0486" w:rsidRPr="00F17BEB" w:rsidRDefault="00EF0486" w:rsidP="00EF0486">
      <w:pPr>
        <w:pStyle w:val="NormalHanging12a"/>
      </w:pPr>
      <w:r w:rsidRPr="00F17BEB">
        <w:t>23.</w:t>
      </w:r>
      <w:r w:rsidRPr="00F17BEB">
        <w:tab/>
        <w:t>ponownie apeluje o wprowadzenie systemowego uwzględniania praw dziecka w unijnym prawodawstwie poprzez wprowadzenie testu praw dziecka w ramach narzędzi oceny skutków, który zapewni, aby wszystkie projekty aktów prawnych UE były oceniane pod kątem ich potencjalnego wpływu na prawa dziecka, pozwoli zidentyfikować obszary objęte regulacją oraz w razie potrzeby przewidzieć ocenę alternatywnych rozwiązań; podkreśla, że w ten proces powinna być włączona unijna platforma uczestnictwa dzieci, aby wzmocnić głos dzieci w procesie decyzyjnym;</w:t>
      </w:r>
    </w:p>
    <w:p w14:paraId="72773720" w14:textId="77777777" w:rsidR="00EF0486" w:rsidRPr="00F17BEB" w:rsidRDefault="00EF0486" w:rsidP="00EF0486">
      <w:pPr>
        <w:pStyle w:val="NormalHanging12a"/>
      </w:pPr>
      <w:r w:rsidRPr="00F17BEB">
        <w:t>24.</w:t>
      </w:r>
      <w:r w:rsidRPr="00F17BEB">
        <w:tab/>
        <w:t>przypomina, że potrzeba nowych uregulowań nie powinna automatycznie oznaczać, że obecne przepisy nie są już potrzebne; jest w tym względzie zdania, że w przypadku każdego potencjalnego uchylenia należy również przeprowadzić dokładną ocenę skutków, aby uniknąć nieoczekiwanych konsekwencji i niepożądanych skutków; apeluje, aby podejście to opierało się na metodyce przejrzystej i opartej na dowodach;</w:t>
      </w:r>
    </w:p>
    <w:p w14:paraId="628ABEBC" w14:textId="77777777" w:rsidR="00EF0486" w:rsidRPr="00F17BEB" w:rsidRDefault="00EF0486" w:rsidP="00EF0486">
      <w:pPr>
        <w:pStyle w:val="NormalHanging12a"/>
      </w:pPr>
      <w:r w:rsidRPr="00F17BEB">
        <w:t>25.</w:t>
      </w:r>
      <w:r w:rsidRPr="00F17BEB">
        <w:tab/>
        <w:t>podkreśla, że Komisja musi systematycznie informować Parlament Europejski, Radę i w odpowiednich przypadkach parlamenty narodowe oraz konsultować się z nimi przez cały cykl legislacyjny, aby zagwarantować demokratyczną rozliczalność, równowagę instytucjonalną i przejrzystość procesu decyzyjnego w UE;</w:t>
      </w:r>
    </w:p>
    <w:p w14:paraId="7FC412BA" w14:textId="77777777" w:rsidR="00EF0486" w:rsidRPr="00F17BEB" w:rsidRDefault="00EF0486" w:rsidP="00EF0486">
      <w:pPr>
        <w:pStyle w:val="NormalHanging12a"/>
      </w:pPr>
      <w:r w:rsidRPr="00F17BEB">
        <w:t>26.</w:t>
      </w:r>
      <w:r w:rsidRPr="00F17BEB">
        <w:tab/>
        <w:t>uznaje, że obecne mechanizmy mające służyć kontroli obciążeń legislacyjnych, takie jak podejście „jedno więcej – jedno mniej”, nie działają skutecznie ze względu na brak odpowiednich ocen ex post faktycznych kosztów prawodawstwa; w odniesieniu do zasady „jedno więcej – jedno mniej” zauważa, że może ona znajdować zastosowanie jedynie do podstawowych aktów ustawodawczych; podkreśla, że wdrożenie tego podejścia nie powinno mieć wpływu na imperatywy polityczne ani na cele lepszego stanowienia prawa, i podkreśla, że nie powinno ono prowadzić do podejmowania mechanicznych lub matematycznych decyzji o uchyleniu norm prawnych; uważa ponadto, że poważnym niedociągnięciem jest brak skutecznych mechanizmów usuwania przepisów przestarzałych lub zbędnych; podkreśla potrzebę skupienia się na ulepszaniu prawodawstwa UE, aby zapewnić jego adekwatność do celów</w:t>
      </w:r>
    </w:p>
    <w:p w14:paraId="200F6102" w14:textId="77777777" w:rsidR="00EF0486" w:rsidRPr="00F17BEB" w:rsidRDefault="00EF0486" w:rsidP="00EF0486">
      <w:pPr>
        <w:pStyle w:val="NormalHanging12a"/>
      </w:pPr>
      <w:r w:rsidRPr="00F17BEB">
        <w:t>27.</w:t>
      </w:r>
      <w:r w:rsidRPr="00F17BEB">
        <w:tab/>
        <w:t>odnotowuje cele Komisji dotyczące ograniczenia obciążeń jako krok w kierunku bardziej inteligentnych regulacji; przypomina, że systematyczna, oparta na dowodach ocena przepisów – zgodnie z narzędziami Zestaw instrumentów służących lepszemu stanowieniu prawa – musi pozostać fundamentem tego procesu;</w:t>
      </w:r>
    </w:p>
    <w:p w14:paraId="090951E3" w14:textId="77777777" w:rsidR="00EF0486" w:rsidRPr="00F17BEB" w:rsidRDefault="00EF0486" w:rsidP="00EF0486">
      <w:pPr>
        <w:pStyle w:val="NormalHanging12a"/>
      </w:pPr>
      <w:r w:rsidRPr="00F17BEB">
        <w:t>28.</w:t>
      </w:r>
      <w:r w:rsidRPr="00F17BEB">
        <w:tab/>
        <w:t xml:space="preserve">przypomina, że akty delegowane jedynie uzupełniają lub zmieniają niektóre, inne niż istotne, elementy aktu podstawowego, zaś akty wykonawcze zapewniają jednolite warunki wdrażania, a zatem akty obu tych rodzajów należy stosować odpowiednio i proporcjonalnie do tych założeń, a przy tym powinny one ograniczać się do aspektów technicznych niezbędnych do stosowania aktów podstawowych, przy jednoczesnym unikaniu powielania, pokrywania się lub sprzeczności z nimi, które powodują </w:t>
      </w:r>
      <w:r w:rsidRPr="00F17BEB">
        <w:lastRenderedPageBreak/>
        <w:t xml:space="preserve">niepotrzebną złożoność; podkreśla znaczenie poddawania aktów delegowanych i wykonawczych przejrzystym procedurom, z jasno określonymi terminami, które zapewniają </w:t>
      </w:r>
      <w:proofErr w:type="spellStart"/>
      <w:r w:rsidRPr="00F17BEB">
        <w:t>współprawodawcom</w:t>
      </w:r>
      <w:proofErr w:type="spellEnd"/>
      <w:r w:rsidRPr="00F17BEB">
        <w:t xml:space="preserve"> wystarczająco dużo czasu na rzeczywistą i skuteczną kontrolę; wzywa, aby akty delegowane i wykonawcze były publikowane z odpowiednim wyprzedzeniem, tak by zainteresowane strony miały czas na przygotowanie się do ich stosowania; nalega, aby w miarę możliwości akty delegowane i wykonawcze były udostępniane jednocześnie z wejściem w życie aktu podstawowego, aby zagwarantować pewność prawa i możliwość jego egzekwowania; wzywa Komisję do uwzględnienia w ogólnej ocenie obciążeń regulacyjnych również kosztów i korzyści, a także właściwego wdrażania i stosowania aktów delegowanych i wykonawczych;</w:t>
      </w:r>
    </w:p>
    <w:p w14:paraId="459721DE" w14:textId="77777777" w:rsidR="00EF0486" w:rsidRPr="00F17BEB" w:rsidRDefault="00EF0486" w:rsidP="00EF0486">
      <w:pPr>
        <w:pStyle w:val="NormalHanging12a"/>
      </w:pPr>
      <w:r w:rsidRPr="00F17BEB">
        <w:t>29.</w:t>
      </w:r>
      <w:r w:rsidRPr="00F17BEB">
        <w:tab/>
        <w:t>wzywa Komisję do dalszego wzmożenia wysiłków na rzecz ograniczenia obowiązków regulacyjnych dla obywateli i przedsiębiorstw oraz do poprawy jakości i skuteczności prawodawstwa UE przez zapewnienie, aby środki regulacyjne były proporcjonalne i oparte na dowodach oraz przynosiły wyraźną wartość dodaną dla obywateli i przedsiębiorstw w UE; uważa, że obecne podejście „jedno więcej – jedno mniej” jest w tym względzie niewystarczające; w związku z tym wzywa do ustanowienia bardziej ambitnego podejścia nadrzędnego, w tym w przypadkach, gdy kilka instrumentów ustawodawczych można zastąpić, uchylić lub wycofać w tym samym czasie, np. w celu uniknięcia ich fragmentacji, dublowania, nakładania się lub redundancji oraz w celu zmniejszenia kosztów; zauważa, że podejście to powinno obejmować jasną metodykę oraz niezależny i przejrzysty mechanizm monitorowania celem redukcji netto kosztów regulacyjnych, przy jednoczesnym uwzględnieniu kosztów braku stanowienia prawa w obszarach, w których przewiduje się wystąpienie europejskiej wartości dodanej; podkreśla, że należy skupić się na zmniejszeniu zbędnych obciążeń administracyjnych przy jednoczesnym osiągnięciu celów polityki UE, w tym w zakresie ochrony socjalnej, ochrony środowiska i ochrony konsumentów; wzywa ponadto Parlament do odgrywania większej roli w ocenie ex post prawodawstwa UE oraz w monitorowaniu wdrażania wyżej wymienionego podejścia do uproszczenia;</w:t>
      </w:r>
    </w:p>
    <w:p w14:paraId="51FB2886" w14:textId="77777777" w:rsidR="00EF0486" w:rsidRPr="00F17BEB" w:rsidRDefault="00EF0486" w:rsidP="00EF0486">
      <w:pPr>
        <w:pStyle w:val="NormalHanging12a"/>
      </w:pPr>
      <w:r w:rsidRPr="00F17BEB">
        <w:t>30.</w:t>
      </w:r>
      <w:r w:rsidRPr="00F17BEB">
        <w:tab/>
        <w:t>odnotowuje zaangażowanie Rady ds. Kontroli Regulacyjnej w oceny skutków, kontrole sprawności i szeroko zakrojone oceny obowiązującego prawa; wzywa Komisję do poszukiwania sposobów wzmocnienia niezależności, wydajności, kompetencji i potencjału Rady ds. Kontroli Regulacyjnej, w tym przez zapewnienie jej odpowiednich zasobów do oceny większej liczby inicjatyw ustawodawczych Komisji; apeluje o zwiększenie przejrzystości działań Rady ds. Kontroli Regulacyjnej, w tym poprzez sprawniejsze publikowanie jej opinii i większą przejrzystość działań podejmowanych w następstwie jej zaleceń; podkreśla, że prace Rady ds. Kontroli Regulacyjnej nie powinny nadmiernie opóźniać przyjmowania wniosków ustawodawczych;</w:t>
      </w:r>
    </w:p>
    <w:p w14:paraId="2B4E8595" w14:textId="77777777" w:rsidR="00EF0486" w:rsidRPr="00F17BEB" w:rsidRDefault="00EF0486" w:rsidP="00EF0486">
      <w:pPr>
        <w:pStyle w:val="NormalHanging12a"/>
      </w:pPr>
      <w:r w:rsidRPr="00F17BEB">
        <w:t>31.</w:t>
      </w:r>
      <w:r w:rsidRPr="00F17BEB">
        <w:tab/>
        <w:t>jest zdania, że w przypadkach, w których Rada ds. Kontroli Regulacyjnej wydaje negatywną opinię na temat oceny skutków, Parlament powinien być należycie i we właściwym czasie informowany, aby mógł podjąć decyzję, czy należy kontynuować prace nad wnioskiem, czy go oddalić;</w:t>
      </w:r>
    </w:p>
    <w:p w14:paraId="7E6763FE" w14:textId="77777777" w:rsidR="00EF0486" w:rsidRPr="00F17BEB" w:rsidRDefault="00EF0486" w:rsidP="00EF0486">
      <w:pPr>
        <w:pStyle w:val="NormalHanging12a"/>
      </w:pPr>
      <w:r w:rsidRPr="00F17BEB">
        <w:t>32.</w:t>
      </w:r>
      <w:r w:rsidRPr="00F17BEB">
        <w:tab/>
        <w:t>zauważa, że kluczową rolę w śledzeniu postępów w zmniejszaniu obciążeń odgrywa coroczne badanie obciążenia przez Komisję; podkreśla jednak, że aby zapewnić rozliczalność i porównywalność we wszystkich obszarach polityki, potrzebna jest większa przejrzystość w odniesieniu do obliczeń i metod stosowanych do pomiaru kosztów i skumulowanych skutków;</w:t>
      </w:r>
    </w:p>
    <w:p w14:paraId="5F73F052" w14:textId="77777777" w:rsidR="00EF0486" w:rsidRPr="00F17BEB" w:rsidRDefault="00EF0486" w:rsidP="00EF0486">
      <w:pPr>
        <w:pStyle w:val="NormalHanging12a"/>
      </w:pPr>
      <w:r w:rsidRPr="00F17BEB">
        <w:lastRenderedPageBreak/>
        <w:t>33.</w:t>
      </w:r>
      <w:r w:rsidRPr="00F17BEB">
        <w:tab/>
        <w:t xml:space="preserve">z zadowoleniem przyjmuje pomysł zaproponowany w sprawozdaniu </w:t>
      </w:r>
      <w:proofErr w:type="spellStart"/>
      <w:r w:rsidRPr="00F17BEB">
        <w:t>Draghiego</w:t>
      </w:r>
      <w:proofErr w:type="spellEnd"/>
      <w:r w:rsidRPr="00F17BEB">
        <w:t>, dotyczący opracowania jednolitej, jasnej metodyki umożliwiającej wyliczanie kosztów nowych aktów prawnych, i wyraża przekonanie, że Komisja powinna opracować taką metodykę;</w:t>
      </w:r>
    </w:p>
    <w:p w14:paraId="7DD76D1A" w14:textId="77777777" w:rsidR="00EF0486" w:rsidRPr="00F17BEB" w:rsidRDefault="00EF0486" w:rsidP="00EF0486">
      <w:pPr>
        <w:pStyle w:val="NormalHanging12a"/>
      </w:pPr>
      <w:r w:rsidRPr="00F17BEB">
        <w:t>34.</w:t>
      </w:r>
      <w:r w:rsidRPr="00F17BEB">
        <w:tab/>
        <w:t>zauważa, że obowiązki sprawozdawcze często generują dla przedsiębiorstw, w szczególności dla MŚP, znaczne koszty administracyjne; uważa, że takie obowiązki należy uprościć oraz że należy zapewnić większe wsparcie cyfryzacji sprawozdawczości; uznaje jednak znaczenie skutecznej sprawozdawczości dla śledzenia uzasadnionych celów polityki publicznej i egzekwowania przepisów, a tym samym realizacji interesu ogólnego; w związku z tym wzywa Komisję i państwa członkowskie do oceny potencjalnych środków wsparcia dla przedsiębiorstw, służących zminimalizowaniu kosztów związanych ze sprawozdawczością przy wdrażaniu prawodawstwa UE, a także do oceny wykonalności wprowadzenia mechanizmów rekompensat dla przedsiębiorstw za należycie wykonane zadania sprawozdawcze;</w:t>
      </w:r>
    </w:p>
    <w:p w14:paraId="4C816D30" w14:textId="77777777" w:rsidR="00EF0486" w:rsidRPr="00F17BEB" w:rsidRDefault="00EF0486" w:rsidP="00EF0486">
      <w:pPr>
        <w:pStyle w:val="NormalHanging12a"/>
      </w:pPr>
      <w:r w:rsidRPr="00F17BEB">
        <w:t>35.</w:t>
      </w:r>
      <w:r w:rsidRPr="00F17BEB">
        <w:tab/>
        <w:t xml:space="preserve">wzywa Komisję do systematycznego uwzględniania oddolnych danych na temat tego, jak obywatele postrzegają, rozumieją i realizują swoje prawa w praktyce, w tym również na temat ich doświadczeń związanych ze stosowaniem i egzekwowaniem przepisów oraz mechanizmami dochodzenia roszczeń; wzywa do dokładniejszego odzwierciedlenia tych danych w wytycznych dotyczących lepszego stanowienia prawa i w służącym temu zestawie instrumentów; wzywa Komisję oraz </w:t>
      </w:r>
      <w:proofErr w:type="spellStart"/>
      <w:r w:rsidRPr="00F17BEB">
        <w:t>współprawodawców</w:t>
      </w:r>
      <w:proofErr w:type="spellEnd"/>
      <w:r w:rsidRPr="00F17BEB">
        <w:t xml:space="preserve"> do zwiększenia możliwości praktycznego stosowania prawa UE na każdym etapie cyklu polityki – m.in. przez realne zaangażowanie obywateli i przedsiębiorców na etapie kształtowania polityki, redakcję aktów z myślą o użytkownikach, testowanie projektów z udziałem użytkowników oraz konsultacje po przyjęciu aktów;</w:t>
      </w:r>
    </w:p>
    <w:p w14:paraId="1C46B643" w14:textId="77777777" w:rsidR="00EF0486" w:rsidRPr="00F17BEB" w:rsidRDefault="00EF0486" w:rsidP="00EF0486">
      <w:pPr>
        <w:pStyle w:val="Normal12a"/>
      </w:pPr>
      <w:r w:rsidRPr="00F17BEB">
        <w:t>Sprawność regulacyjna i lepsze stanowienie prawa na rzecz konkurencyjności</w:t>
      </w:r>
    </w:p>
    <w:p w14:paraId="5FCAEA6D" w14:textId="77777777" w:rsidR="00EF0486" w:rsidRPr="00F17BEB" w:rsidRDefault="00EF0486" w:rsidP="00EF0486">
      <w:pPr>
        <w:pStyle w:val="NormalHanging12a"/>
      </w:pPr>
      <w:r w:rsidRPr="00F17BEB">
        <w:t>36.</w:t>
      </w:r>
      <w:r w:rsidRPr="00F17BEB">
        <w:tab/>
        <w:t xml:space="preserve">apeluje o częstsze wykorzystywanie takich procesów jak ewaluacja oraz program sprawności i wydajności regulacyjnej (REFIT), których celem jest uproszczenie przepisów; uważa także, że różne techniki legislacyjne, które mogłyby pomóc w usuwaniu przestarzałych lub zbędnych regulacji, są stosowane zbyt rzadko </w:t>
      </w:r>
      <w:proofErr w:type="gramStart"/>
      <w:r w:rsidRPr="00F17BEB">
        <w:t>lub,</w:t>
      </w:r>
      <w:proofErr w:type="gramEnd"/>
      <w:r w:rsidRPr="00F17BEB">
        <w:t xml:space="preserve"> gdy są używane, stosuje się je niewłaściwie;</w:t>
      </w:r>
    </w:p>
    <w:p w14:paraId="06903962" w14:textId="77777777" w:rsidR="00EF0486" w:rsidRPr="00F17BEB" w:rsidRDefault="00EF0486" w:rsidP="00EF0486">
      <w:pPr>
        <w:pStyle w:val="NormalHanging12a"/>
      </w:pPr>
      <w:r w:rsidRPr="00F17BEB">
        <w:t>37.</w:t>
      </w:r>
      <w:r w:rsidRPr="00F17BEB">
        <w:tab/>
        <w:t xml:space="preserve">przypomina, że w raporcie </w:t>
      </w:r>
      <w:proofErr w:type="spellStart"/>
      <w:r w:rsidRPr="00F17BEB">
        <w:t>Draghiego</w:t>
      </w:r>
      <w:proofErr w:type="spellEnd"/>
      <w:r w:rsidRPr="00F17BEB">
        <w:t xml:space="preserve"> jako jeden z trzech nadrzędnych celów odnowionego partnerstwa europejskiego wskazano uproszczenie przepisów</w:t>
      </w:r>
      <w:r w:rsidRPr="00F17BEB">
        <w:rPr>
          <w:rStyle w:val="FootnoteReference"/>
        </w:rPr>
        <w:footnoteReference w:customMarkFollows="1" w:id="8"/>
        <w:t>8</w:t>
      </w:r>
      <w:r w:rsidRPr="00F17BEB">
        <w:t xml:space="preserve">; wskazuje, że uproszczenia wymagają też skoncentrowania się na inteligentnych strategiach wdrożeniowych oraz pragmatycznym, zgodnym z prawem i efektywnym podejściu do łagodzenia obciążeń administracyjnych, w szczególności wobec przedsiębiorstw i MŚP, oraz maksymalnego uproszczenia stosowania uzgodnionych przepisów; przypomina ponadto, że podobnie w raporcie </w:t>
      </w:r>
      <w:proofErr w:type="spellStart"/>
      <w:r w:rsidRPr="00F17BEB">
        <w:t>Letty</w:t>
      </w:r>
      <w:proofErr w:type="spellEnd"/>
      <w:r w:rsidRPr="00F17BEB">
        <w:t xml:space="preserve"> podkreślono, iż przepisy powinny ułatwiać, a nie utrudniać działalność gospodarczą i innowacje na jednolitym rynku</w:t>
      </w:r>
      <w:r w:rsidRPr="00F17BEB">
        <w:rPr>
          <w:rStyle w:val="FootnoteReference"/>
        </w:rPr>
        <w:footnoteReference w:customMarkFollows="1" w:id="9"/>
        <w:t>9</w:t>
      </w:r>
      <w:r w:rsidRPr="00F17BEB">
        <w:t>;</w:t>
      </w:r>
    </w:p>
    <w:p w14:paraId="65F619A6" w14:textId="77777777" w:rsidR="00EF0486" w:rsidRPr="00F17BEB" w:rsidRDefault="00EF0486" w:rsidP="00EF0486">
      <w:pPr>
        <w:pStyle w:val="NormalHanging12a"/>
      </w:pPr>
      <w:r w:rsidRPr="00F17BEB">
        <w:lastRenderedPageBreak/>
        <w:t>38.</w:t>
      </w:r>
      <w:r w:rsidRPr="00F17BEB">
        <w:tab/>
        <w:t xml:space="preserve">z zadowoleniem przyjmuje wprowadzenie w 2023 r. nowego sprawdzianu MŚP i konkurencyjności, który stał się obowiązkowym załącznikiem do ocen skutków; z zadowoleniem przyjmuje zobowiązanie przewodniczącej Komisji Ursuli von der </w:t>
      </w:r>
      <w:proofErr w:type="spellStart"/>
      <w:r w:rsidRPr="00F17BEB">
        <w:t>Leyen</w:t>
      </w:r>
      <w:proofErr w:type="spellEnd"/>
      <w:r w:rsidRPr="00F17BEB">
        <w:t>, że nowy sprawdzian MŚP i konkurencyjności pomoże zapobiec obciążeniom regulacyjnym przy jednoczesnym utrzymaniu wysokich standardów; zauważa, że słowa należy teraz poprzeć działaniami koncentrującymi się na wspieraniu MŚP i zapewnianiu im narzędzi do osiągania celów UE i wdrażania prawodawstwa UE;</w:t>
      </w:r>
    </w:p>
    <w:p w14:paraId="2D42E639" w14:textId="77777777" w:rsidR="00EF0486" w:rsidRPr="00F17BEB" w:rsidRDefault="00EF0486" w:rsidP="00EF0486">
      <w:pPr>
        <w:pStyle w:val="NormalHanging12a"/>
      </w:pPr>
      <w:r w:rsidRPr="00F17BEB">
        <w:t>39.</w:t>
      </w:r>
      <w:r w:rsidRPr="00F17BEB">
        <w:tab/>
        <w:t>apeluje o wprowadzenie pełnego sprawdzianu konkurencyjności jako standardowej praktyki obejmującej ocenę skumulowanego wpływu głównych pakietów legislacyjnych, a nie ocenę poszczególnych aktów prawnych w oderwaniu od siebie; potwierdza, że aby wzmocnić konkurencyjność i suwerenność Europy, należy oprzeć się zewnętrznej presji na osłabienie systemu prawnego UE;</w:t>
      </w:r>
    </w:p>
    <w:p w14:paraId="7A86E847" w14:textId="77777777" w:rsidR="00EF0486" w:rsidRPr="00F17BEB" w:rsidRDefault="00EF0486" w:rsidP="00EF0486">
      <w:pPr>
        <w:pStyle w:val="NormalHanging12a"/>
      </w:pPr>
      <w:r w:rsidRPr="00F17BEB">
        <w:t>40.</w:t>
      </w:r>
      <w:r w:rsidRPr="00F17BEB">
        <w:tab/>
        <w:t xml:space="preserve">ponownie podkreśla znaczenie zasady „najpierw myśl na małą skalę” jako podstawy lepszego stanowienia prawa, dzięki której na każdym etapie cyklu polityki, od opracowania po wdrożenie i ocenę, systematycznie uwzględniane są potrzeby i zdolności MŚP; podkreśla znaczenie identyfikacji związków przyczynowych między przepisami regulacyjnymi, </w:t>
      </w:r>
      <w:proofErr w:type="spellStart"/>
      <w:r w:rsidRPr="00F17BEB">
        <w:t>zachowaniami</w:t>
      </w:r>
      <w:proofErr w:type="spellEnd"/>
      <w:r w:rsidRPr="00F17BEB">
        <w:t xml:space="preserve"> przedsiębiorstw i korzyściami dla użytkowników, a także oceny potencjalnych niezamierzonych skutków i nieproporcjonalnych obciążeń regulacyjnych dla MŚP;</w:t>
      </w:r>
    </w:p>
    <w:p w14:paraId="2489E840" w14:textId="77777777" w:rsidR="00EF0486" w:rsidRPr="00F17BEB" w:rsidRDefault="00EF0486" w:rsidP="00EF0486">
      <w:pPr>
        <w:pStyle w:val="NormalHanging12a"/>
      </w:pPr>
      <w:r w:rsidRPr="00F17BEB">
        <w:t>41.</w:t>
      </w:r>
      <w:r w:rsidRPr="00F17BEB">
        <w:tab/>
        <w:t>z zadowoleniem przyjmuje wprowadzenie i zachęca do szerszego stosowania piaskownic regulacyjnych w sektorach przyszłościowych, aby wspierać innowacje, ograniczać koszty przestrzegania przepisów oraz zapewnić MŚP pewność prawa;</w:t>
      </w:r>
    </w:p>
    <w:p w14:paraId="599FADD9" w14:textId="77777777" w:rsidR="00EF0486" w:rsidRPr="00F17BEB" w:rsidRDefault="00EF0486" w:rsidP="00EF0486">
      <w:pPr>
        <w:pStyle w:val="NormalHanging12a"/>
      </w:pPr>
      <w:r w:rsidRPr="00F17BEB">
        <w:t>42.</w:t>
      </w:r>
      <w:r w:rsidRPr="00F17BEB">
        <w:tab/>
        <w:t>odnotowuje zobowiązanie Komisji do ograniczenia obowiązków sprawozdawczych o 25 %, ale podkreśla, że cel ten nie może podważać przejrzystości i kontroli przy osiąganiu celów polityki UE; ponadto odnotowuje uwzględnienie ograniczenia o 35 % kosztów administracyjnych i sprawozdawczości dla MŚP; przypomina, co więcej, że obowiązki sprawozdawcze stanowią jedynie niewielką część łącznego obciążenia regulacyjnego, które obejmuje również koszty administracyjne, koszty wdrożenia i koszty przestrzegania przepisów, wynikające zarówno z prawa UE, jak i z prawa krajowego; zauważa, że cel Komisji w postaci redukcji na poziomie 25 % należy zatem postrzegać w ramach szerszego celu, jakim jest zmniejszenie ogólnych kosztów i złożoności, w tym, w stosownych przypadkach, poprzez dalsze zbliżanie przepisów krajowych; w związku z tym wzywa do przyjęcia bardziej ambitnego podejścia o lepszej jakości, mającego na celu jeszcze większe obniżenie wszystkich kosztów regulacyjnych, w tym projektu pilotażowego mającego na celu ocenę wpływu regulacji na innowacje, np. poprzez określenie barier dla przedsiębiorstw typu start-</w:t>
      </w:r>
      <w:proofErr w:type="spellStart"/>
      <w:r w:rsidRPr="00F17BEB">
        <w:t>up</w:t>
      </w:r>
      <w:proofErr w:type="spellEnd"/>
      <w:r w:rsidRPr="00F17BEB">
        <w:t xml:space="preserve"> i nowych technologii na wczesnych etapach legislacyjnych;</w:t>
      </w:r>
    </w:p>
    <w:p w14:paraId="5DDD4C6D" w14:textId="77777777" w:rsidR="00EF0486" w:rsidRPr="00F17BEB" w:rsidRDefault="00EF0486" w:rsidP="00EF0486">
      <w:pPr>
        <w:pStyle w:val="NormalHanging12a"/>
      </w:pPr>
      <w:r w:rsidRPr="00F17BEB">
        <w:t>43.</w:t>
      </w:r>
      <w:r w:rsidRPr="00F17BEB">
        <w:tab/>
        <w:t>ponadto z zadowoleniem przyjmuje mianowanie wiceprzewodniczącego Komisji wyraźnie odpowiedzialnego za wdrażanie i upraszczanie; z uznaniem odnosi się do wykorzystania dialogów wdrożeniowych oraz zachęca do regularnego przeprowadzania konsultacji na temat stosowania przepisów w praktyce i testów warunków skrajnych dorobku prawnego UE, aby ocenić skumulowany wpływ na konkurencyjność, innowacyjność i MŚP oraz na realizację celów polityk UE, a także identyfikować możliwości skutecznego uproszczenia przepisów; podkreśla w tym kontekście znaczenie kompleksowych ocen skutków, które systematycznie obejmują oceny adekwatności, sprawdziany konkurencyjności oraz testy MŚP;</w:t>
      </w:r>
    </w:p>
    <w:p w14:paraId="0DC9CF56" w14:textId="77777777" w:rsidR="00EF0486" w:rsidRPr="00F17BEB" w:rsidRDefault="00EF0486" w:rsidP="00EF0486">
      <w:pPr>
        <w:pStyle w:val="NormalHanging12a"/>
      </w:pPr>
      <w:r w:rsidRPr="00F17BEB">
        <w:lastRenderedPageBreak/>
        <w:t>44.</w:t>
      </w:r>
      <w:r w:rsidRPr="00F17BEB">
        <w:tab/>
        <w:t>wzywa Komisję i państwa członkowskie do systematycznego uwzględniania aspektów konkurencyjności w inicjatywach na rzecz uproszczenia, tak aby procedury administracyjne dotyczące obywateli i przedsiębiorstw były maksymalnie uproszczone bez uszczerbku dla podstawowych zabezpieczeń; podkreśla, że ograniczanie zbędnej biurokracji, rozwój rozwiązań cyfrowych i usprawnienie wzajemnego uznawania mogą obniżyć koszty przestrzegania przepisów, ułatwić mobilność oraz zwiększyć konkurencyjność i atrakcyjność jednolitego rynku;</w:t>
      </w:r>
    </w:p>
    <w:p w14:paraId="1223D2A3" w14:textId="77777777" w:rsidR="00EF0486" w:rsidRPr="00F17BEB" w:rsidRDefault="00EF0486" w:rsidP="00EF0486">
      <w:pPr>
        <w:pStyle w:val="NormalHanging12a"/>
      </w:pPr>
      <w:r w:rsidRPr="00F17BEB">
        <w:t>45.</w:t>
      </w:r>
      <w:r w:rsidRPr="00F17BEB">
        <w:tab/>
        <w:t>uważa, że uproszczenie z myślą o konkurencyjności oraz dalszej integracji jednolitego rynku wymaga całościowego podejścia do odpowiednich przepisów UE i krajowych; wskazuje, że rozbieżności pomiędzy przepisami krajowymi państw członkowskich także mogą powodować niepewność prawa oraz dodatkowe koszty administracyjne; wzywa Komisję do sporządzenia katalogu wszystkich istniejących aktów prawnych – zarówno finansowych, jak i niefinansowych – oraz obowiązków administracyjnych dla przedsiębiorstw wynikających z prawa UE, jak również z krajowych przepisów prawa spółek; postuluje, aby katalog ten stanowił podstawę do kompleksowej oceny obejmującej analizę kosztów i korzyści, zróżnicowanych interesów publicznych, którym służą regulacje, nakładania się regulacji oraz możliwości harmonizacji i zbliżania przepisów; zachęca Komisję do wykorzystania tej oceny jako podstawy – jeżeli to konieczne i z udziałem wszystkich istotnych podmiotów i zainteresowanych stron oraz na podstawie odpowiedniej oceny skutków – do przedstawienia wniosków dotyczących aktualizacji przestarzałych przepisów i usunięcia nieuzasadnionych barier przy zastosowaniu proporcjonalnych środków służących osiągnięciu wzrostu pozytywnej konwergencji;</w:t>
      </w:r>
    </w:p>
    <w:p w14:paraId="03547A21" w14:textId="77777777" w:rsidR="00EF0486" w:rsidRPr="00F17BEB" w:rsidRDefault="00EF0486" w:rsidP="00EF0486">
      <w:pPr>
        <w:pStyle w:val="NormalHanging12a"/>
      </w:pPr>
      <w:r w:rsidRPr="00F17BEB">
        <w:t>46.</w:t>
      </w:r>
      <w:r w:rsidRPr="00F17BEB">
        <w:tab/>
        <w:t>podkreśla ogromny potencjał, który tkwi w wykorzystaniu narzędzi cyfrowych i rozwiązań opartych na sztucznej inteligencji do uproszczenia kontroli przestrzegania przepisów, zmniejszenia kosztów regulacyjnych i zwiększenia dostępności informacji; uważa, że należy dokładniej zbadać potencjalną przydatność narzędzi cyfrowych w dostarczaniu lepszych i szybszych rozwiązań w tym zakresie oraz że należy wdrożyć niedawno przyjęte prawodawstwo; podkreśla, że wymaga to działań wspierających oraz budowania zdolności, aby wyposażyć przedsiębiorstwa każdej wielkości, administracje oraz gospodarstwa domowe w niezbędną infrastrukturę cyfrową i zapewnić obywatelom odpowiednie umiejętności cyfrowe;</w:t>
      </w:r>
    </w:p>
    <w:p w14:paraId="5ADDFF55" w14:textId="77777777" w:rsidR="00EF0486" w:rsidRPr="00F17BEB" w:rsidRDefault="00EF0486" w:rsidP="00EF0486">
      <w:pPr>
        <w:pStyle w:val="NormalHanging12a"/>
      </w:pPr>
      <w:r w:rsidRPr="00F17BEB">
        <w:t>47.</w:t>
      </w:r>
      <w:r w:rsidRPr="00F17BEB">
        <w:tab/>
        <w:t>wzywa Komisję do testowania i wdrażania nowatorskich narzędzi sztucznej inteligencji – w tym dużych modeli językowych wspieranych przez generowanie wspomagane wyszukiwaniem – aby zwiększyć efektywność i precyzję monitorowania wdrażania prawa UE, umożliwiając szybsze wykrywanie przypadków nieprzestrzegania, bardziej terminowe reakcje na skargi oraz proaktywne rozwiązywanie pojawiających się problemów;</w:t>
      </w:r>
    </w:p>
    <w:p w14:paraId="11993454" w14:textId="77777777" w:rsidR="00EF0486" w:rsidRPr="00F17BEB" w:rsidRDefault="00EF0486" w:rsidP="00EF0486">
      <w:pPr>
        <w:pStyle w:val="NormalHanging12a"/>
      </w:pPr>
      <w:r w:rsidRPr="00F17BEB">
        <w:t>48.</w:t>
      </w:r>
      <w:r w:rsidRPr="00F17BEB">
        <w:tab/>
        <w:t xml:space="preserve">wzywa państwa członkowskie do tego, aby przy transpozycji prawodawstwa UE nie nakładały zbędnych dodatkowych obciążeń administracyjnych lub związanych z przestrzeganiem przepisów (nadmiernie rygorystyczne wdrażanie), oraz wzywa Komisję do zidentyfikowania i opublikowania przypadków takich praktyk w rocznych sprawozdaniach z wdrażania; uznaje konieczność spójnej i skutecznej transpozycji dyrektyw przez państwa członkowskie, aby zapewnić pewność prawa i równe warunki działania przy podnoszeniu standardów; wzywa państwa członkowskie do tego, aby nie transponowały dyrektyw w sposób spóźniony, niepełny lub niedokładny, oraz zachęca </w:t>
      </w:r>
      <w:r w:rsidRPr="00F17BEB">
        <w:lastRenderedPageBreak/>
        <w:t>je do współpracy i udziału w wymianie dobrych praktyk, tak aby wdrażanie dyrektyw było proporcjonalne i skuteczne;</w:t>
      </w:r>
    </w:p>
    <w:p w14:paraId="3D7939D5" w14:textId="77777777" w:rsidR="00EF0486" w:rsidRPr="00F17BEB" w:rsidRDefault="00EF0486" w:rsidP="00EF0486">
      <w:pPr>
        <w:pStyle w:val="NormalHanging12a"/>
      </w:pPr>
      <w:r w:rsidRPr="00F17BEB">
        <w:t>49.</w:t>
      </w:r>
      <w:r w:rsidRPr="00F17BEB">
        <w:tab/>
        <w:t>wzywa Komisję i państwa członkowskie do przeciwdziałania fragmentacji regulacyjnej, która dotyka MŚP na jednolitym rynku, w tym zbędnym formalnościom krajowym, oraz do nadania priorytetu ramom wzajemnego uznawania i interoperacyjności;</w:t>
      </w:r>
    </w:p>
    <w:p w14:paraId="6EAC6682" w14:textId="77777777" w:rsidR="00EF0486" w:rsidRPr="00F17BEB" w:rsidRDefault="00EF0486" w:rsidP="00EF0486">
      <w:pPr>
        <w:pStyle w:val="NormalCenter12a"/>
      </w:pPr>
      <w:r w:rsidRPr="00F17BEB">
        <w:t>°</w:t>
      </w:r>
    </w:p>
    <w:p w14:paraId="66E58A07" w14:textId="77777777" w:rsidR="00EF0486" w:rsidRPr="00F17BEB" w:rsidRDefault="00EF0486" w:rsidP="00EF0486">
      <w:pPr>
        <w:pStyle w:val="NormalCenter12a"/>
      </w:pPr>
      <w:r w:rsidRPr="00F17BEB">
        <w:t>°</w:t>
      </w:r>
      <w:r w:rsidRPr="00F17BEB">
        <w:tab/>
        <w:t>°</w:t>
      </w:r>
    </w:p>
    <w:p w14:paraId="0EED11AD" w14:textId="7D408ECC" w:rsidR="00BA6C1A" w:rsidRPr="00F17BEB" w:rsidRDefault="00EF0486" w:rsidP="00BA6C1A">
      <w:pPr>
        <w:pStyle w:val="NormalHanging12a"/>
      </w:pPr>
      <w:r w:rsidRPr="00F17BEB">
        <w:t>50.</w:t>
      </w:r>
      <w:r w:rsidRPr="00F17BEB">
        <w:tab/>
        <w:t>zobowiązuje swoją przewodniczącą do przekazania niniejszej rezolucji Radzie i Komisji.</w:t>
      </w:r>
    </w:p>
    <w:p w14:paraId="76593B9E" w14:textId="2D01DE67" w:rsidR="00E365E1" w:rsidRPr="00F17BEB" w:rsidRDefault="00E365E1" w:rsidP="00911220"/>
    <w:sectPr w:rsidR="00E365E1" w:rsidRPr="00F17BEB" w:rsidSect="00BA6C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ACCE4" w14:textId="77777777" w:rsidR="00911220" w:rsidRPr="00BA6C1A" w:rsidRDefault="00911220">
      <w:r w:rsidRPr="00BA6C1A">
        <w:separator/>
      </w:r>
    </w:p>
  </w:endnote>
  <w:endnote w:type="continuationSeparator" w:id="0">
    <w:p w14:paraId="359278A7" w14:textId="77777777" w:rsidR="00911220" w:rsidRPr="00BA6C1A" w:rsidRDefault="00911220">
      <w:r w:rsidRPr="00BA6C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5DAD" w14:textId="77777777" w:rsidR="00064002" w:rsidRPr="00BA6C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87260" w14:textId="77777777" w:rsidR="00064002" w:rsidRPr="00BA6C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714C1" w14:textId="77777777" w:rsidR="00064002" w:rsidRPr="00BA6C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2C907" w14:textId="77777777" w:rsidR="00911220" w:rsidRPr="00BA6C1A" w:rsidRDefault="00911220">
      <w:r w:rsidRPr="00BA6C1A">
        <w:separator/>
      </w:r>
    </w:p>
  </w:footnote>
  <w:footnote w:type="continuationSeparator" w:id="0">
    <w:p w14:paraId="524C6415" w14:textId="77777777" w:rsidR="00911220" w:rsidRPr="00BA6C1A" w:rsidRDefault="00911220">
      <w:r w:rsidRPr="00BA6C1A">
        <w:continuationSeparator/>
      </w:r>
    </w:p>
  </w:footnote>
  <w:footnote w:id="1">
    <w:p w14:paraId="2259C643" w14:textId="53A20E3E" w:rsidR="00EF0486" w:rsidRPr="00BA6C1A" w:rsidRDefault="00EF0486" w:rsidP="00BA6C1A">
      <w:pPr>
        <w:pStyle w:val="FootnoteText"/>
        <w:ind w:left="567" w:hanging="567"/>
        <w:rPr>
          <w:sz w:val="24"/>
          <w:lang w:val="pl-PL"/>
        </w:rPr>
      </w:pPr>
      <w:r w:rsidRPr="00BA6C1A">
        <w:rPr>
          <w:sz w:val="24"/>
          <w:vertAlign w:val="superscript"/>
          <w:lang w:val="pl-PL"/>
        </w:rPr>
        <w:t>1</w:t>
      </w:r>
      <w:r w:rsidR="00BA6C1A" w:rsidRPr="00BA6C1A">
        <w:rPr>
          <w:sz w:val="24"/>
          <w:vertAlign w:val="superscript"/>
          <w:lang w:val="pl-PL"/>
        </w:rPr>
        <w:t xml:space="preserve"> </w:t>
      </w:r>
      <w:r w:rsidR="00BA6C1A" w:rsidRPr="00BA6C1A">
        <w:rPr>
          <w:sz w:val="24"/>
          <w:vertAlign w:val="superscript"/>
          <w:lang w:val="pl-PL"/>
        </w:rPr>
        <w:tab/>
      </w:r>
      <w:r w:rsidRPr="00BA6C1A">
        <w:rPr>
          <w:sz w:val="24"/>
          <w:lang w:val="pl-PL"/>
        </w:rPr>
        <w:t xml:space="preserve">Dz.U. C 202 z 7.6.2016, s. 203, ELI: </w:t>
      </w:r>
      <w:hyperlink r:id="rId1" w:tgtFrame="http://data.europa.eu/eli/treaty/tfeu_2016/pro_1/oj" w:history="1">
        <w:r w:rsidRPr="00BA6C1A">
          <w:rPr>
            <w:rStyle w:val="Hyperlink"/>
            <w:sz w:val="24"/>
            <w:lang w:val="pl-PL"/>
          </w:rPr>
          <w:t>http://data.europa.eu/eli/treaty/tfeu_2016/pro_1/oj</w:t>
        </w:r>
      </w:hyperlink>
      <w:r w:rsidRPr="00BA6C1A">
        <w:rPr>
          <w:sz w:val="24"/>
          <w:lang w:val="pl-PL"/>
        </w:rPr>
        <w:t>.</w:t>
      </w:r>
    </w:p>
  </w:footnote>
  <w:footnote w:id="2">
    <w:p w14:paraId="6917CEA8" w14:textId="7E0ABCB1" w:rsidR="00EF0486" w:rsidRPr="00BA6C1A" w:rsidRDefault="00EF0486" w:rsidP="00BA6C1A">
      <w:pPr>
        <w:pStyle w:val="FootnoteText"/>
        <w:ind w:left="567" w:hanging="567"/>
        <w:rPr>
          <w:sz w:val="24"/>
          <w:lang w:val="pl-PL"/>
        </w:rPr>
      </w:pPr>
      <w:r w:rsidRPr="00BA6C1A">
        <w:rPr>
          <w:sz w:val="24"/>
          <w:vertAlign w:val="superscript"/>
          <w:lang w:val="pl-PL"/>
        </w:rPr>
        <w:t>2</w:t>
      </w:r>
      <w:r w:rsidR="00BA6C1A" w:rsidRPr="00BA6C1A">
        <w:rPr>
          <w:sz w:val="24"/>
          <w:vertAlign w:val="superscript"/>
          <w:lang w:val="pl-PL"/>
        </w:rPr>
        <w:t xml:space="preserve"> </w:t>
      </w:r>
      <w:r w:rsidR="00BA6C1A" w:rsidRPr="00BA6C1A">
        <w:rPr>
          <w:sz w:val="24"/>
          <w:vertAlign w:val="superscript"/>
          <w:lang w:val="pl-PL"/>
        </w:rPr>
        <w:tab/>
      </w:r>
      <w:r w:rsidRPr="00BA6C1A">
        <w:rPr>
          <w:sz w:val="24"/>
          <w:lang w:val="pl-PL"/>
        </w:rPr>
        <w:t xml:space="preserve">Dz.U. C 326 z 26.10.2012, s. 206, ELI: </w:t>
      </w:r>
      <w:hyperlink r:id="rId2" w:tgtFrame="http://data.europa.eu/eli/treaty/tfeu_2012/pro_2/oj" w:history="1">
        <w:r w:rsidRPr="00BA6C1A">
          <w:rPr>
            <w:rStyle w:val="Hyperlink"/>
            <w:sz w:val="24"/>
            <w:lang w:val="pl-PL"/>
          </w:rPr>
          <w:t>http://data.europa.eu/eli/treaty/tfeu_2012/pro_2/oj</w:t>
        </w:r>
      </w:hyperlink>
      <w:r w:rsidRPr="00BA6C1A">
        <w:rPr>
          <w:sz w:val="24"/>
          <w:lang w:val="pl-PL"/>
        </w:rPr>
        <w:t>.</w:t>
      </w:r>
    </w:p>
  </w:footnote>
  <w:footnote w:id="3">
    <w:p w14:paraId="515FE676" w14:textId="7E122B2D" w:rsidR="00EF0486" w:rsidRPr="00BA6C1A" w:rsidRDefault="00EF0486" w:rsidP="00BA6C1A">
      <w:pPr>
        <w:pStyle w:val="FootnoteText"/>
        <w:ind w:left="567" w:hanging="567"/>
        <w:rPr>
          <w:sz w:val="24"/>
          <w:lang w:val="pl-PL"/>
        </w:rPr>
      </w:pPr>
      <w:r w:rsidRPr="00BA6C1A">
        <w:rPr>
          <w:sz w:val="24"/>
          <w:vertAlign w:val="superscript"/>
          <w:lang w:val="pl-PL"/>
        </w:rPr>
        <w:t>3</w:t>
      </w:r>
      <w:r w:rsidR="00BA6C1A" w:rsidRPr="00BA6C1A">
        <w:rPr>
          <w:sz w:val="24"/>
          <w:vertAlign w:val="superscript"/>
          <w:lang w:val="pl-PL"/>
        </w:rPr>
        <w:t xml:space="preserve"> </w:t>
      </w:r>
      <w:r w:rsidR="00BA6C1A" w:rsidRPr="00BA6C1A">
        <w:rPr>
          <w:sz w:val="24"/>
          <w:vertAlign w:val="superscript"/>
          <w:lang w:val="pl-PL"/>
        </w:rPr>
        <w:tab/>
      </w:r>
      <w:r w:rsidRPr="00BA6C1A">
        <w:rPr>
          <w:sz w:val="24"/>
          <w:lang w:val="pl-PL"/>
        </w:rPr>
        <w:t xml:space="preserve">Dz.U. L 123 z 12.5.2016, s. 1, ELI: </w:t>
      </w:r>
      <w:hyperlink r:id="rId3" w:tgtFrame="http://data.europa.eu/eli/agree_interinstit/2016/512/oj" w:history="1">
        <w:r w:rsidRPr="00BA6C1A">
          <w:rPr>
            <w:rStyle w:val="Hyperlink"/>
            <w:sz w:val="24"/>
            <w:lang w:val="pl-PL"/>
          </w:rPr>
          <w:t>http://data.europa.eu/eli/agree_interinstit/2016/512/oj</w:t>
        </w:r>
      </w:hyperlink>
      <w:r w:rsidRPr="00BA6C1A">
        <w:rPr>
          <w:sz w:val="24"/>
          <w:lang w:val="pl-PL"/>
        </w:rPr>
        <w:t>.</w:t>
      </w:r>
    </w:p>
  </w:footnote>
  <w:footnote w:id="4">
    <w:p w14:paraId="67191821" w14:textId="58909279" w:rsidR="00EF0486" w:rsidRPr="00BA6C1A" w:rsidRDefault="00EF0486" w:rsidP="00BA6C1A">
      <w:pPr>
        <w:pStyle w:val="FootnoteText"/>
        <w:ind w:left="567" w:hanging="567"/>
        <w:rPr>
          <w:sz w:val="24"/>
          <w:lang w:val="pl-PL"/>
        </w:rPr>
      </w:pPr>
      <w:r w:rsidRPr="00BA6C1A">
        <w:rPr>
          <w:sz w:val="24"/>
          <w:vertAlign w:val="superscript"/>
          <w:lang w:val="pl-PL"/>
        </w:rPr>
        <w:t>4</w:t>
      </w:r>
      <w:r w:rsidR="00BA6C1A" w:rsidRPr="00BA6C1A">
        <w:rPr>
          <w:sz w:val="24"/>
          <w:vertAlign w:val="superscript"/>
          <w:lang w:val="pl-PL"/>
        </w:rPr>
        <w:t xml:space="preserve"> </w:t>
      </w:r>
      <w:r w:rsidR="00BA6C1A" w:rsidRPr="00BA6C1A">
        <w:rPr>
          <w:sz w:val="24"/>
          <w:vertAlign w:val="superscript"/>
          <w:lang w:val="pl-PL"/>
        </w:rPr>
        <w:tab/>
      </w:r>
      <w:r w:rsidRPr="00BA6C1A">
        <w:rPr>
          <w:sz w:val="24"/>
          <w:lang w:val="pl-PL"/>
        </w:rPr>
        <w:t>Dz.U. C 81 z 18.2.2022, s. 74.</w:t>
      </w:r>
    </w:p>
  </w:footnote>
  <w:footnote w:id="5">
    <w:p w14:paraId="48BF8CF8" w14:textId="412F1DF7" w:rsidR="00EF0486" w:rsidRPr="00F17BEB" w:rsidRDefault="00EF0486" w:rsidP="00BA6C1A">
      <w:pPr>
        <w:pStyle w:val="FootnoteText"/>
        <w:ind w:left="567" w:hanging="567"/>
        <w:rPr>
          <w:sz w:val="24"/>
          <w:lang w:val="fi-FI"/>
        </w:rPr>
      </w:pPr>
      <w:r w:rsidRPr="00F17BEB">
        <w:rPr>
          <w:sz w:val="24"/>
          <w:vertAlign w:val="superscript"/>
          <w:lang w:val="fi-FI"/>
        </w:rPr>
        <w:t>5</w:t>
      </w:r>
      <w:r w:rsidR="00BA6C1A" w:rsidRPr="00F17BEB">
        <w:rPr>
          <w:sz w:val="24"/>
          <w:vertAlign w:val="superscript"/>
          <w:lang w:val="fi-FI"/>
        </w:rPr>
        <w:t xml:space="preserve"> </w:t>
      </w:r>
      <w:r w:rsidR="00BA6C1A" w:rsidRPr="00F17BEB">
        <w:rPr>
          <w:sz w:val="24"/>
          <w:vertAlign w:val="superscript"/>
          <w:lang w:val="fi-FI"/>
        </w:rPr>
        <w:tab/>
      </w:r>
      <w:proofErr w:type="spellStart"/>
      <w:r w:rsidRPr="00F17BEB">
        <w:rPr>
          <w:sz w:val="24"/>
          <w:lang w:val="fi-FI"/>
        </w:rPr>
        <w:t>Dz.U</w:t>
      </w:r>
      <w:proofErr w:type="spellEnd"/>
      <w:r w:rsidRPr="00F17BEB">
        <w:rPr>
          <w:sz w:val="24"/>
          <w:lang w:val="fi-FI"/>
        </w:rPr>
        <w:t xml:space="preserve">. C, C/2024/4228, 24.7.2024, ELI: </w:t>
      </w:r>
      <w:hyperlink r:id="rId4" w:tgtFrame="http://data.europa.eu/eli/C/2024/4228/oj" w:history="1">
        <w:r w:rsidRPr="00F17BEB">
          <w:rPr>
            <w:rStyle w:val="Hyperlink"/>
            <w:sz w:val="24"/>
            <w:lang w:val="fi-FI"/>
          </w:rPr>
          <w:t>http://data.europa.eu/eli/C/2024/4228/oj</w:t>
        </w:r>
      </w:hyperlink>
      <w:r w:rsidRPr="00F17BEB">
        <w:rPr>
          <w:sz w:val="24"/>
          <w:lang w:val="fi-FI"/>
        </w:rPr>
        <w:t>.</w:t>
      </w:r>
    </w:p>
  </w:footnote>
  <w:footnote w:id="6">
    <w:p w14:paraId="778FDDE8" w14:textId="7A3E7A2F" w:rsidR="00EF0486" w:rsidRPr="00F008D3" w:rsidRDefault="00EF0486" w:rsidP="00BA6C1A">
      <w:pPr>
        <w:pStyle w:val="FootnoteText"/>
        <w:ind w:left="567" w:hanging="567"/>
        <w:rPr>
          <w:sz w:val="24"/>
          <w:lang w:val="fi-FI"/>
        </w:rPr>
      </w:pPr>
      <w:r w:rsidRPr="00F008D3">
        <w:rPr>
          <w:sz w:val="24"/>
          <w:vertAlign w:val="superscript"/>
          <w:lang w:val="fi-FI"/>
        </w:rPr>
        <w:t>6</w:t>
      </w:r>
      <w:r w:rsidR="00BA6C1A" w:rsidRPr="00F008D3">
        <w:rPr>
          <w:sz w:val="24"/>
          <w:vertAlign w:val="superscript"/>
          <w:lang w:val="fi-FI"/>
        </w:rPr>
        <w:t xml:space="preserve"> </w:t>
      </w:r>
      <w:r w:rsidR="00BA6C1A" w:rsidRPr="00F008D3">
        <w:rPr>
          <w:sz w:val="24"/>
          <w:vertAlign w:val="superscript"/>
          <w:lang w:val="fi-FI"/>
        </w:rPr>
        <w:tab/>
      </w:r>
      <w:proofErr w:type="spellStart"/>
      <w:r w:rsidRPr="00F008D3">
        <w:rPr>
          <w:sz w:val="24"/>
          <w:lang w:val="fi-FI"/>
        </w:rPr>
        <w:t>Dz.U</w:t>
      </w:r>
      <w:proofErr w:type="spellEnd"/>
      <w:r w:rsidRPr="00F008D3">
        <w:rPr>
          <w:sz w:val="24"/>
          <w:lang w:val="fi-FI"/>
        </w:rPr>
        <w:t xml:space="preserve">. C, C/2024/5714, 17.10.2024, ELI: </w:t>
      </w:r>
      <w:hyperlink r:id="rId5" w:tgtFrame="http://data.europa.eu/eli/C/2024/5714/oj" w:history="1">
        <w:r w:rsidRPr="00F008D3">
          <w:rPr>
            <w:rStyle w:val="Hyperlink"/>
            <w:sz w:val="24"/>
            <w:lang w:val="fi-FI"/>
          </w:rPr>
          <w:t>http://data.europa.eu/eli/C/2024/5714/oj</w:t>
        </w:r>
      </w:hyperlink>
      <w:r w:rsidRPr="00F008D3">
        <w:rPr>
          <w:sz w:val="24"/>
          <w:lang w:val="fi-FI"/>
        </w:rPr>
        <w:t>.</w:t>
      </w:r>
    </w:p>
  </w:footnote>
  <w:footnote w:id="7">
    <w:p w14:paraId="654108FC" w14:textId="0CFE9483" w:rsidR="00EF0486" w:rsidRPr="00F008D3" w:rsidRDefault="00EF0486" w:rsidP="00BA6C1A">
      <w:pPr>
        <w:pStyle w:val="FootnoteText"/>
        <w:ind w:left="567" w:hanging="567"/>
        <w:rPr>
          <w:sz w:val="24"/>
          <w:lang w:val="fi-FI"/>
        </w:rPr>
      </w:pPr>
      <w:r w:rsidRPr="00F008D3">
        <w:rPr>
          <w:sz w:val="24"/>
          <w:vertAlign w:val="superscript"/>
          <w:lang w:val="fi-FI"/>
        </w:rPr>
        <w:t>7</w:t>
      </w:r>
      <w:r w:rsidR="00BA6C1A" w:rsidRPr="00F008D3">
        <w:rPr>
          <w:sz w:val="24"/>
          <w:vertAlign w:val="superscript"/>
          <w:lang w:val="fi-FI"/>
        </w:rPr>
        <w:t xml:space="preserve"> </w:t>
      </w:r>
      <w:r w:rsidR="00BA6C1A" w:rsidRPr="00F008D3">
        <w:rPr>
          <w:sz w:val="24"/>
          <w:vertAlign w:val="superscript"/>
          <w:lang w:val="fi-FI"/>
        </w:rPr>
        <w:tab/>
      </w:r>
      <w:r w:rsidRPr="00F008D3">
        <w:rPr>
          <w:sz w:val="24"/>
          <w:lang w:val="fi-FI"/>
        </w:rPr>
        <w:t>Dz.U. C 47 z 7.2.2023, s. 250.</w:t>
      </w:r>
    </w:p>
  </w:footnote>
  <w:footnote w:id="8">
    <w:p w14:paraId="0B02A78F" w14:textId="53F1A599" w:rsidR="00EF0486" w:rsidRPr="00F008D3" w:rsidRDefault="00EF0486" w:rsidP="00BA6C1A">
      <w:pPr>
        <w:pStyle w:val="FootnoteText"/>
        <w:ind w:left="567" w:hanging="567"/>
        <w:rPr>
          <w:sz w:val="24"/>
          <w:lang w:val="fi-FI"/>
        </w:rPr>
      </w:pPr>
      <w:r w:rsidRPr="00F008D3">
        <w:rPr>
          <w:sz w:val="24"/>
          <w:vertAlign w:val="superscript"/>
          <w:lang w:val="fi-FI"/>
        </w:rPr>
        <w:t>8</w:t>
      </w:r>
      <w:r w:rsidR="00BA6C1A" w:rsidRPr="00F008D3">
        <w:rPr>
          <w:sz w:val="24"/>
          <w:vertAlign w:val="superscript"/>
          <w:lang w:val="fi-FI"/>
        </w:rPr>
        <w:t xml:space="preserve"> </w:t>
      </w:r>
      <w:r w:rsidR="00BA6C1A" w:rsidRPr="00F008D3">
        <w:rPr>
          <w:sz w:val="24"/>
          <w:vertAlign w:val="superscript"/>
          <w:lang w:val="fi-FI"/>
        </w:rPr>
        <w:tab/>
      </w:r>
      <w:r w:rsidRPr="00F008D3">
        <w:rPr>
          <w:sz w:val="24"/>
          <w:lang w:val="fi-FI"/>
        </w:rPr>
        <w:t>M. Draghi „The future of European Competitiveness – A Competitiveness Strategy for Europe” [Przyszłość europejskiej konkurencyjności – strategia konkurencyjności dla Europy], Komisja Europejska, 9 września 2024 r., część A, s. 67–68.</w:t>
      </w:r>
    </w:p>
  </w:footnote>
  <w:footnote w:id="9">
    <w:p w14:paraId="7FE2BDA9" w14:textId="34709388" w:rsidR="00EF0486" w:rsidRPr="00BA6C1A" w:rsidRDefault="00EF0486" w:rsidP="00BA6C1A">
      <w:pPr>
        <w:pStyle w:val="FootnoteText"/>
        <w:ind w:left="567" w:hanging="567"/>
        <w:rPr>
          <w:sz w:val="24"/>
          <w:lang w:val="pl-PL"/>
        </w:rPr>
      </w:pPr>
      <w:r w:rsidRPr="00BA6C1A">
        <w:rPr>
          <w:sz w:val="24"/>
          <w:vertAlign w:val="superscript"/>
          <w:lang w:val="pl-PL"/>
        </w:rPr>
        <w:t>9</w:t>
      </w:r>
      <w:r w:rsidR="00BA6C1A" w:rsidRPr="00BA6C1A">
        <w:rPr>
          <w:sz w:val="24"/>
          <w:vertAlign w:val="superscript"/>
          <w:lang w:val="pl-PL"/>
        </w:rPr>
        <w:t xml:space="preserve"> </w:t>
      </w:r>
      <w:r w:rsidR="00BA6C1A" w:rsidRPr="00BA6C1A">
        <w:rPr>
          <w:sz w:val="24"/>
          <w:vertAlign w:val="superscript"/>
          <w:lang w:val="pl-PL"/>
        </w:rPr>
        <w:tab/>
      </w:r>
      <w:r w:rsidRPr="00BA6C1A">
        <w:rPr>
          <w:sz w:val="24"/>
          <w:lang w:val="pl-PL"/>
        </w:rPr>
        <w:t xml:space="preserve">E. </w:t>
      </w:r>
      <w:proofErr w:type="spellStart"/>
      <w:r w:rsidRPr="00BA6C1A">
        <w:rPr>
          <w:sz w:val="24"/>
          <w:lang w:val="pl-PL"/>
        </w:rPr>
        <w:t>Letta</w:t>
      </w:r>
      <w:proofErr w:type="spellEnd"/>
      <w:r w:rsidRPr="00BA6C1A">
        <w:rPr>
          <w:sz w:val="24"/>
          <w:lang w:val="pl-PL"/>
        </w:rPr>
        <w:t xml:space="preserve">, „Much </w:t>
      </w:r>
      <w:proofErr w:type="spellStart"/>
      <w:r w:rsidRPr="00BA6C1A">
        <w:rPr>
          <w:sz w:val="24"/>
          <w:lang w:val="pl-PL"/>
        </w:rPr>
        <w:t>more</w:t>
      </w:r>
      <w:proofErr w:type="spellEnd"/>
      <w:r w:rsidRPr="00BA6C1A">
        <w:rPr>
          <w:sz w:val="24"/>
          <w:lang w:val="pl-PL"/>
        </w:rPr>
        <w:t xml:space="preserve"> </w:t>
      </w:r>
      <w:proofErr w:type="spellStart"/>
      <w:r w:rsidRPr="00BA6C1A">
        <w:rPr>
          <w:sz w:val="24"/>
          <w:lang w:val="pl-PL"/>
        </w:rPr>
        <w:t>than</w:t>
      </w:r>
      <w:proofErr w:type="spellEnd"/>
      <w:r w:rsidRPr="00BA6C1A">
        <w:rPr>
          <w:sz w:val="24"/>
          <w:lang w:val="pl-PL"/>
        </w:rPr>
        <w:t xml:space="preserve"> a market” [O wiele więcej niż rynek], Rada Europejska, kwiecień 2024 r., s. 130.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F148C" w14:textId="77777777" w:rsidR="00064002" w:rsidRPr="00BA6C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03D9B" w14:textId="77777777" w:rsidR="00064002" w:rsidRPr="00BA6C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7B6A1" w14:textId="77777777" w:rsidR="00064002" w:rsidRPr="00BA6C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5158687">
    <w:abstractNumId w:val="9"/>
  </w:num>
  <w:num w:numId="2" w16cid:durableId="1869298388">
    <w:abstractNumId w:val="9"/>
  </w:num>
  <w:num w:numId="3" w16cid:durableId="1990087367">
    <w:abstractNumId w:val="7"/>
  </w:num>
  <w:num w:numId="4" w16cid:durableId="1060208165">
    <w:abstractNumId w:val="7"/>
  </w:num>
  <w:num w:numId="5" w16cid:durableId="1273782687">
    <w:abstractNumId w:val="6"/>
  </w:num>
  <w:num w:numId="6" w16cid:durableId="803890837">
    <w:abstractNumId w:val="6"/>
  </w:num>
  <w:num w:numId="7" w16cid:durableId="1956905024">
    <w:abstractNumId w:val="5"/>
  </w:num>
  <w:num w:numId="8" w16cid:durableId="1351488600">
    <w:abstractNumId w:val="5"/>
  </w:num>
  <w:num w:numId="9" w16cid:durableId="1169171089">
    <w:abstractNumId w:val="4"/>
  </w:num>
  <w:num w:numId="10" w16cid:durableId="2124110127">
    <w:abstractNumId w:val="4"/>
  </w:num>
  <w:num w:numId="11" w16cid:durableId="1518427638">
    <w:abstractNumId w:val="8"/>
  </w:num>
  <w:num w:numId="12" w16cid:durableId="932396780">
    <w:abstractNumId w:val="8"/>
  </w:num>
  <w:num w:numId="13" w16cid:durableId="744567914">
    <w:abstractNumId w:val="3"/>
  </w:num>
  <w:num w:numId="14" w16cid:durableId="299000381">
    <w:abstractNumId w:val="3"/>
  </w:num>
  <w:num w:numId="15" w16cid:durableId="926116154">
    <w:abstractNumId w:val="2"/>
  </w:num>
  <w:num w:numId="16" w16cid:durableId="53506689">
    <w:abstractNumId w:val="2"/>
  </w:num>
  <w:num w:numId="17" w16cid:durableId="130444160">
    <w:abstractNumId w:val="1"/>
  </w:num>
  <w:num w:numId="18" w16cid:durableId="484928940">
    <w:abstractNumId w:val="1"/>
  </w:num>
  <w:num w:numId="19" w16cid:durableId="426388804">
    <w:abstractNumId w:val="0"/>
  </w:num>
  <w:num w:numId="20" w16cid:durableId="302733500">
    <w:abstractNumId w:val="0"/>
  </w:num>
  <w:num w:numId="21" w16cid:durableId="222103404">
    <w:abstractNumId w:val="9"/>
  </w:num>
  <w:num w:numId="22" w16cid:durableId="2023897012">
    <w:abstractNumId w:val="7"/>
  </w:num>
  <w:num w:numId="23" w16cid:durableId="1099985607">
    <w:abstractNumId w:val="6"/>
  </w:num>
  <w:num w:numId="24" w16cid:durableId="1564827084">
    <w:abstractNumId w:val="5"/>
  </w:num>
  <w:num w:numId="25" w16cid:durableId="2010405601">
    <w:abstractNumId w:val="4"/>
  </w:num>
  <w:num w:numId="26" w16cid:durableId="611058008">
    <w:abstractNumId w:val="8"/>
  </w:num>
  <w:num w:numId="27" w16cid:durableId="1845976059">
    <w:abstractNumId w:val="3"/>
  </w:num>
  <w:num w:numId="28" w16cid:durableId="1445811226">
    <w:abstractNumId w:val="2"/>
  </w:num>
  <w:num w:numId="29" w16cid:durableId="1016620554">
    <w:abstractNumId w:val="1"/>
  </w:num>
  <w:num w:numId="30" w16cid:durableId="293945859">
    <w:abstractNumId w:val="0"/>
  </w:num>
  <w:num w:numId="31" w16cid:durableId="1304115443">
    <w:abstractNumId w:val="9"/>
  </w:num>
  <w:num w:numId="32" w16cid:durableId="580915000">
    <w:abstractNumId w:val="7"/>
  </w:num>
  <w:num w:numId="33" w16cid:durableId="1223372549">
    <w:abstractNumId w:val="6"/>
  </w:num>
  <w:num w:numId="34" w16cid:durableId="203369881">
    <w:abstractNumId w:val="5"/>
  </w:num>
  <w:num w:numId="35" w16cid:durableId="2119137451">
    <w:abstractNumId w:val="4"/>
  </w:num>
  <w:num w:numId="36" w16cid:durableId="131412951">
    <w:abstractNumId w:val="8"/>
  </w:num>
  <w:num w:numId="37" w16cid:durableId="924653544">
    <w:abstractNumId w:val="3"/>
  </w:num>
  <w:num w:numId="38" w16cid:durableId="818112477">
    <w:abstractNumId w:val="2"/>
  </w:num>
  <w:num w:numId="39" w16cid:durableId="414327897">
    <w:abstractNumId w:val="1"/>
  </w:num>
  <w:num w:numId="40" w16cid:durableId="1906066570">
    <w:abstractNumId w:val="0"/>
  </w:num>
  <w:num w:numId="41" w16cid:durableId="1091700418">
    <w:abstractNumId w:val="10"/>
  </w:num>
  <w:num w:numId="42" w16cid:durableId="1233391384">
    <w:abstractNumId w:val="10"/>
  </w:num>
  <w:num w:numId="43" w16cid:durableId="17389666">
    <w:abstractNumId w:val="10"/>
  </w:num>
  <w:num w:numId="44" w16cid:durableId="12208241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0/2026"/>
    <w:docVar w:name="dvlangue" w:val="PL"/>
    <w:docVar w:name="dvnumam" w:val="0"/>
    <w:docVar w:name="dvpe" w:val="776.862"/>
    <w:docVar w:name="dvrapporteur" w:val="Sprawozdawca: "/>
    <w:docVar w:name="dvtitre" w:val="Rezolucja Parlamentu Europejskiego z dnia  2026 r. w sprawie sprawności regulacyjnej Unii Europejskiej oraz pomocniczości i proporcjonalności – sprawozdanie w sprawie lepszego stanowienia prawa obejmujące lata 2023 i 2024(2025/2015(INI))"/>
  </w:docVars>
  <w:rsids>
    <w:rsidRoot w:val="009112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73E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ABD"/>
    <w:rsid w:val="00786EC0"/>
    <w:rsid w:val="007D1690"/>
    <w:rsid w:val="007D6525"/>
    <w:rsid w:val="007E22AD"/>
    <w:rsid w:val="00817416"/>
    <w:rsid w:val="00842779"/>
    <w:rsid w:val="00865F67"/>
    <w:rsid w:val="00881A7B"/>
    <w:rsid w:val="008840E5"/>
    <w:rsid w:val="00887B3E"/>
    <w:rsid w:val="008C2AC6"/>
    <w:rsid w:val="0091122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6C1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D05"/>
    <w:rsid w:val="00E820A4"/>
    <w:rsid w:val="00EB006A"/>
    <w:rsid w:val="00EB4772"/>
    <w:rsid w:val="00ED169E"/>
    <w:rsid w:val="00ED4235"/>
    <w:rsid w:val="00EF0486"/>
    <w:rsid w:val="00F008D3"/>
    <w:rsid w:val="00F04346"/>
    <w:rsid w:val="00F075DC"/>
    <w:rsid w:val="00F149E9"/>
    <w:rsid w:val="00F17BE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B04FE5"/>
  <w15:chartTrackingRefBased/>
  <w15:docId w15:val="{34EACAA2-E0F6-4C09-BE28-6A362172A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F048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F048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F048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F048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F048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F04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ur-lex.europa.eu/legal-content/EN/ALL/?uri=CELEX:52025DC047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ALL/?uri=CELEX:52024DC0493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16/512/oj" TargetMode="External"/><Relationship Id="rId2" Type="http://schemas.openxmlformats.org/officeDocument/2006/relationships/hyperlink" Target="http://data.europa.eu/eli/treaty/tfeu_2012/pro_2/oj" TargetMode="External"/><Relationship Id="rId1" Type="http://schemas.openxmlformats.org/officeDocument/2006/relationships/hyperlink" Target="http://data.europa.eu/eli/treaty/tfeu_2016/pro_1/oj" TargetMode="External"/><Relationship Id="rId5" Type="http://schemas.openxmlformats.org/officeDocument/2006/relationships/hyperlink" Target="http://data.europa.eu/eli/C/2024/5714/oj" TargetMode="External"/><Relationship Id="rId4" Type="http://schemas.openxmlformats.org/officeDocument/2006/relationships/hyperlink" Target="http://data.europa.eu/eli/C/2024/422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4807</Words>
  <Characters>33248</Characters>
  <Application>Microsoft Office Word</Application>
  <DocSecurity>0</DocSecurity>
  <Lines>277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2026-03-10T12:58:00Z</dcterms:created>
  <dcterms:modified xsi:type="dcterms:W3CDTF">2026-03-10T12:58:00Z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A10-0020/2026</vt:lpwstr>
  </property>
  <property fmtid="{D5CDD505-2E9C-101B-9397-08002B2CF9AE}" pid="4" name="&lt;Type&gt;">
    <vt:lpwstr>RR</vt:lpwstr>
  </property>
</Properties>
</file>