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60F8" w14:paraId="681A75C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DDC4F2" w14:textId="77777777" w:rsidR="00751A4A" w:rsidRPr="00CC60F8" w:rsidRDefault="00C56FCF" w:rsidP="0010095E">
            <w:pPr>
              <w:pStyle w:val="EPName"/>
            </w:pPr>
            <w:r w:rsidRPr="00CC60F8">
              <w:t>Európsky parlament</w:t>
            </w:r>
          </w:p>
          <w:p w14:paraId="6FD966CE" w14:textId="77777777" w:rsidR="00751A4A" w:rsidRPr="00CC60F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60F8">
              <w:t>2024</w:t>
            </w:r>
            <w:r w:rsidR="00817416" w:rsidRPr="00CC60F8">
              <w:t>-202</w:t>
            </w:r>
            <w:r w:rsidRPr="00CC60F8">
              <w:t>9</w:t>
            </w:r>
          </w:p>
        </w:tc>
        <w:tc>
          <w:tcPr>
            <w:tcW w:w="2268" w:type="dxa"/>
            <w:shd w:val="clear" w:color="auto" w:fill="auto"/>
          </w:tcPr>
          <w:p w14:paraId="0249E673" w14:textId="77777777" w:rsidR="00751A4A" w:rsidRPr="00CC60F8" w:rsidRDefault="00187494" w:rsidP="0010095E">
            <w:pPr>
              <w:pStyle w:val="EPLogo"/>
            </w:pPr>
            <w:r w:rsidRPr="00CC60F8">
              <w:rPr>
                <w:noProof/>
                <w:lang w:eastAsia="ja-JP"/>
              </w:rPr>
              <w:drawing>
                <wp:inline distT="0" distB="0" distL="0" distR="0" wp14:anchorId="766CA440" wp14:editId="40E6219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248538" w14:textId="77777777" w:rsidR="00D058B8" w:rsidRPr="00CC60F8" w:rsidRDefault="00D058B8" w:rsidP="004C5D52">
      <w:pPr>
        <w:pStyle w:val="LineTop"/>
      </w:pPr>
    </w:p>
    <w:p w14:paraId="46179BD8" w14:textId="77777777" w:rsidR="00680577" w:rsidRPr="00CC60F8" w:rsidRDefault="00C56FCF" w:rsidP="00680577">
      <w:pPr>
        <w:pStyle w:val="EPBodyTA1"/>
      </w:pPr>
      <w:r w:rsidRPr="00CC60F8">
        <w:t>PRIJATÉ TEXTY</w:t>
      </w:r>
    </w:p>
    <w:p w14:paraId="12C299E5" w14:textId="77777777" w:rsidR="00D058B8" w:rsidRPr="00CC60F8" w:rsidRDefault="00D058B8" w:rsidP="00D058B8">
      <w:pPr>
        <w:pStyle w:val="LineBottom"/>
      </w:pPr>
    </w:p>
    <w:p w14:paraId="4E96934C" w14:textId="12F303F8" w:rsidR="00C56FCF" w:rsidRPr="00CC60F8" w:rsidRDefault="00C56FCF" w:rsidP="00C56FCF">
      <w:pPr>
        <w:pStyle w:val="ATHeading1"/>
      </w:pPr>
      <w:bookmarkStart w:id="0" w:name="TANumber"/>
      <w:r w:rsidRPr="00CC60F8">
        <w:t>P10_TA(2026)00</w:t>
      </w:r>
      <w:r w:rsidR="00B17FD3" w:rsidRPr="00CC60F8">
        <w:t>64</w:t>
      </w:r>
      <w:bookmarkEnd w:id="0"/>
    </w:p>
    <w:p w14:paraId="019DB1CA" w14:textId="77777777" w:rsidR="00C56FCF" w:rsidRPr="00CC60F8" w:rsidRDefault="00C56FCF" w:rsidP="00C56FCF">
      <w:pPr>
        <w:pStyle w:val="ATHeading2"/>
      </w:pPr>
      <w:bookmarkStart w:id="1" w:name="title"/>
      <w:r w:rsidRPr="00CC60F8">
        <w:t>Kríza bývania v Európskej únii s cieľom navrhnúť riešenia pre dôstojné, udržateľné a cenovo dostupné bývanie</w:t>
      </w:r>
      <w:bookmarkEnd w:id="1"/>
    </w:p>
    <w:p w14:paraId="19BA4A6F" w14:textId="77777777" w:rsidR="00C56FCF" w:rsidRPr="00CC60F8" w:rsidRDefault="00C56FCF" w:rsidP="00C56FCF">
      <w:pPr>
        <w:rPr>
          <w:i/>
          <w:vanish/>
        </w:rPr>
      </w:pPr>
      <w:r w:rsidRPr="00CC60F8">
        <w:rPr>
          <w:i/>
        </w:rPr>
        <w:fldChar w:fldCharType="begin"/>
      </w:r>
      <w:r w:rsidRPr="00CC60F8">
        <w:rPr>
          <w:i/>
        </w:rPr>
        <w:instrText xml:space="preserve"> TC"(</w:instrText>
      </w:r>
      <w:bookmarkStart w:id="2" w:name="DocNumber"/>
      <w:r w:rsidRPr="00CC60F8">
        <w:rPr>
          <w:i/>
        </w:rPr>
        <w:instrText>A10-0025/2026</w:instrText>
      </w:r>
      <w:bookmarkEnd w:id="2"/>
      <w:r w:rsidRPr="00CC60F8">
        <w:rPr>
          <w:i/>
        </w:rPr>
        <w:instrText xml:space="preserve"> - Spravodajkyňa: Borja Giménez Larraz)"\l3 \n&gt; \* MERGEFORMAT </w:instrText>
      </w:r>
      <w:r w:rsidRPr="00CC60F8">
        <w:rPr>
          <w:i/>
        </w:rPr>
        <w:fldChar w:fldCharType="end"/>
      </w:r>
    </w:p>
    <w:p w14:paraId="1AC632B5" w14:textId="77777777" w:rsidR="00C56FCF" w:rsidRPr="00CC60F8" w:rsidRDefault="00C56FCF" w:rsidP="00C56FCF">
      <w:pPr>
        <w:rPr>
          <w:vanish/>
        </w:rPr>
      </w:pPr>
      <w:bookmarkStart w:id="3" w:name="Commission"/>
      <w:r w:rsidRPr="00CC60F8">
        <w:rPr>
          <w:vanish/>
        </w:rPr>
        <w:t>Osobitný výbor pre krízu bývania v Európskej únii</w:t>
      </w:r>
      <w:bookmarkEnd w:id="3"/>
    </w:p>
    <w:p w14:paraId="40941971" w14:textId="77777777" w:rsidR="00C56FCF" w:rsidRPr="00CC60F8" w:rsidRDefault="00C56FCF" w:rsidP="00C56FCF">
      <w:pPr>
        <w:rPr>
          <w:vanish/>
        </w:rPr>
      </w:pPr>
      <w:bookmarkStart w:id="4" w:name="PE"/>
      <w:r w:rsidRPr="00CC60F8">
        <w:rPr>
          <w:vanish/>
        </w:rPr>
        <w:t>PE772.037</w:t>
      </w:r>
      <w:bookmarkEnd w:id="4"/>
    </w:p>
    <w:p w14:paraId="0CA0D16B" w14:textId="5485EA04" w:rsidR="00C56FCF" w:rsidRPr="00CC60F8" w:rsidRDefault="00C56FCF" w:rsidP="00C56FCF">
      <w:pPr>
        <w:pStyle w:val="ATHeading3"/>
      </w:pPr>
      <w:bookmarkStart w:id="5" w:name="Sujet"/>
      <w:r w:rsidRPr="00CC60F8">
        <w:t xml:space="preserve">Uznesenie Európskeho parlamentu z </w:t>
      </w:r>
      <w:r w:rsidR="00894BB0" w:rsidRPr="00CC60F8">
        <w:t>10</w:t>
      </w:r>
      <w:r w:rsidRPr="00CC60F8">
        <w:t xml:space="preserve">. </w:t>
      </w:r>
      <w:r w:rsidR="00894BB0" w:rsidRPr="00CC60F8">
        <w:t xml:space="preserve">marca </w:t>
      </w:r>
      <w:r w:rsidRPr="00CC60F8">
        <w:t>2026 o kríze bývania v Európskej únii s cieľom navrhnúť riešenia pre dôstojné, udržateľné a cenovo dostupné bývanie</w:t>
      </w:r>
      <w:bookmarkEnd w:id="5"/>
      <w:r w:rsidRPr="00CC60F8">
        <w:t xml:space="preserve"> </w:t>
      </w:r>
      <w:bookmarkStart w:id="6" w:name="References"/>
      <w:r w:rsidRPr="00CC60F8">
        <w:t>(2025/2070(INI))</w:t>
      </w:r>
      <w:bookmarkEnd w:id="6"/>
    </w:p>
    <w:p w14:paraId="48DB89E0" w14:textId="77777777" w:rsidR="00895679" w:rsidRPr="00CC60F8" w:rsidRDefault="00895679" w:rsidP="00895679">
      <w:pPr>
        <w:pStyle w:val="EPComma"/>
      </w:pPr>
      <w:r w:rsidRPr="00CC60F8">
        <w:rPr>
          <w:i/>
        </w:rPr>
        <w:t>Európsky parlament</w:t>
      </w:r>
      <w:r w:rsidRPr="00CC60F8">
        <w:t>,</w:t>
      </w:r>
    </w:p>
    <w:p w14:paraId="29453E3A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svoje rozhodnutie z 18. decembra 2024 o zriadení, mandáte, pôsobnosti, počte členov a funkčnom období osobitného výboru pre krízu v oblasti bývania v Európskej únii1 s cieľom navrhnúť riešenia pre dôstojné, udržateľné a cenovo dostupné bývanie</w:t>
      </w:r>
      <w:r w:rsidRPr="00CC60F8">
        <w:rPr>
          <w:vertAlign w:val="superscript"/>
        </w:rPr>
        <w:footnoteReference w:id="1"/>
      </w:r>
      <w:r w:rsidRPr="00CC60F8">
        <w:rPr>
          <w:vertAlign w:val="subscript"/>
        </w:rPr>
        <w:t xml:space="preserve">, </w:t>
      </w:r>
    </w:p>
    <w:p w14:paraId="60710777" w14:textId="43473FB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Zmluvu o Európskej únii (</w:t>
      </w:r>
      <w:r w:rsidR="00894BB0" w:rsidRPr="00CC60F8">
        <w:t>ďalej len „</w:t>
      </w:r>
      <w:r w:rsidRPr="00CC60F8">
        <w:t>Z</w:t>
      </w:r>
      <w:r w:rsidR="00894BB0" w:rsidRPr="00CC60F8">
        <w:t xml:space="preserve">mluva o </w:t>
      </w:r>
      <w:r w:rsidRPr="00CC60F8">
        <w:t>EÚ</w:t>
      </w:r>
      <w:r w:rsidR="00894BB0" w:rsidRPr="00CC60F8">
        <w:t>“</w:t>
      </w:r>
      <w:r w:rsidRPr="00CC60F8">
        <w:t>), najmä na jej články 3 ods. 3, 5 ods. 1 a 3 a na jej protokol č. 2 o uplatňovaní zásad subsidiarity a proporcionality,</w:t>
      </w:r>
    </w:p>
    <w:p w14:paraId="6B385C9C" w14:textId="52C30A1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Zmluvu o fungovaní Európskej únie (</w:t>
      </w:r>
      <w:r w:rsidR="00894BB0" w:rsidRPr="00CC60F8">
        <w:t>ďalej len „</w:t>
      </w:r>
      <w:r w:rsidRPr="00CC60F8">
        <w:t>ZFEÚ</w:t>
      </w:r>
      <w:r w:rsidR="00894BB0" w:rsidRPr="00CC60F8">
        <w:t>“</w:t>
      </w:r>
      <w:r w:rsidRPr="00CC60F8">
        <w:t>), najmä na jej články 9, 14, 114, 151, 153, 160, 168, 174, 175 a na Protokol č. 26 o službách všeobecného záujmu k nej,</w:t>
      </w:r>
    </w:p>
    <w:p w14:paraId="6C45BA97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Európsky dohovor o ľudských právach, najmä na článok 1 Protokolu č. 1 o ochrane práva vlastniť majetok k nej,</w:t>
      </w:r>
    </w:p>
    <w:p w14:paraId="4A141EAD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svoje uznesenie z 10. septembra 2025 o úlohe investícií v rámci politiky súdržnosti pri riešení súčasnej krízy v oblasti bývania</w:t>
      </w:r>
      <w:r w:rsidRPr="00CC60F8">
        <w:rPr>
          <w:rStyle w:val="FootnoteReference"/>
        </w:rPr>
        <w:footnoteReference w:id="2"/>
      </w:r>
      <w:r w:rsidRPr="00CC60F8">
        <w:t>,</w:t>
      </w:r>
    </w:p>
    <w:p w14:paraId="00E9BB60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stanovisko Európskeho výboru regiónov zo 14. mája 2025 o úlohe miest a regiónov v pláne EÚ pre cenovo dostupné bývanie</w:t>
      </w:r>
      <w:r w:rsidRPr="00CC60F8">
        <w:rPr>
          <w:rStyle w:val="FootnoteReference"/>
        </w:rPr>
        <w:footnoteReference w:id="3"/>
      </w:r>
      <w:r w:rsidRPr="00CC60F8">
        <w:t>,</w:t>
      </w:r>
    </w:p>
    <w:p w14:paraId="21C61443" w14:textId="77777777" w:rsidR="00895679" w:rsidRPr="00CC60F8" w:rsidRDefault="00895679" w:rsidP="00895679">
      <w:pPr>
        <w:pStyle w:val="NormalHanging12a"/>
      </w:pPr>
      <w:r w:rsidRPr="00CC60F8">
        <w:lastRenderedPageBreak/>
        <w:t>–</w:t>
      </w:r>
      <w:r w:rsidRPr="00CC60F8">
        <w:tab/>
        <w:t>so zreteľom na výročnú správu Programu OSN pre ľudské sídla za rok 2024 z 2. júna 2025 s názvom Primerané bývanie pre všetkých,</w:t>
      </w:r>
    </w:p>
    <w:p w14:paraId="470425A2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stanovisko Európskeho výboru regiónov zo 17. apríla 2024 o inteligentnom, udržateľnom a cenovo dostupnom bývaní ako nástroji pre miestne samosprávy na riešenie viacerých výziev</w:t>
      </w:r>
      <w:r w:rsidRPr="00CC60F8">
        <w:rPr>
          <w:rStyle w:val="FootnoteReference"/>
        </w:rPr>
        <w:footnoteReference w:id="4"/>
      </w:r>
      <w:r w:rsidRPr="00CC60F8">
        <w:t>,</w:t>
      </w:r>
    </w:p>
    <w:p w14:paraId="05248E49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správu Európskej hospodárskej komisie OSN (EHK OSN) z 31. augusta 2024 s názvom Výzvy a priority na zlepšenie cenovej dostupnosti bývania v regióne EHK OSN,</w:t>
      </w:r>
    </w:p>
    <w:p w14:paraId="66733AD1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stanovisko Európskeho hospodárskeho a sociálneho výboru z 5. decembra 2024 s názvom Sociálne bývanie v EÚ – dôstojné, udržateľné a cenovo dostupné</w:t>
      </w:r>
      <w:r w:rsidRPr="00CC60F8">
        <w:rPr>
          <w:rStyle w:val="FootnoteReference"/>
        </w:rPr>
        <w:footnoteReference w:id="5"/>
      </w:r>
      <w:r w:rsidRPr="00CC60F8">
        <w:t>,</w:t>
      </w:r>
    </w:p>
    <w:p w14:paraId="6DA45BE2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stanovisko Európskeho hospodárskeho a sociálneho výboru z 18. septembra 2025 s názvom Za európsky plán pre cenovo dostupné bývanie – príspevok občianskej spoločnosti</w:t>
      </w:r>
      <w:r w:rsidRPr="00CC60F8">
        <w:rPr>
          <w:rStyle w:val="FootnoteReference"/>
        </w:rPr>
        <w:footnoteReference w:id="6"/>
      </w:r>
      <w:r w:rsidRPr="00CC60F8">
        <w:t>,</w:t>
      </w:r>
    </w:p>
    <w:p w14:paraId="5565E5E3" w14:textId="20E2DCA8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oznámenie Komisie z 20. januára 2026 s názvom Únia rovnosti: Stratégia proti rasizmu na roky 2026 – 2030 (COM(2026)0012),</w:t>
      </w:r>
    </w:p>
    <w:p w14:paraId="413107D0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 xml:space="preserve">so zreteľom na vyhlásenie z </w:t>
      </w:r>
      <w:proofErr w:type="spellStart"/>
      <w:r w:rsidRPr="00CC60F8">
        <w:t>Gijónu</w:t>
      </w:r>
      <w:proofErr w:type="spellEnd"/>
      <w:r w:rsidRPr="00CC60F8">
        <w:t xml:space="preserve"> o udržateľnom, zdravom a inkluzívnom zastavanom prostredí pre všetkých, ktoré 14. novembra 2023 podpísali ministri bývania a rozvoja miest členských štátov EÚ,</w:t>
      </w:r>
    </w:p>
    <w:p w14:paraId="110581F2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 xml:space="preserve">so zreteľom na správu Organizácie pre hospodársku spoluprácu a rozvoj (OECD) z 31. mája 2021 s názvom </w:t>
      </w:r>
      <w:proofErr w:type="spellStart"/>
      <w:r w:rsidRPr="00CC60F8">
        <w:rPr>
          <w:i/>
          <w:iCs/>
        </w:rPr>
        <w:t>Brick</w:t>
      </w:r>
      <w:proofErr w:type="spellEnd"/>
      <w:r w:rsidRPr="00CC60F8">
        <w:rPr>
          <w:i/>
          <w:iCs/>
        </w:rPr>
        <w:t xml:space="preserve"> by </w:t>
      </w:r>
      <w:proofErr w:type="spellStart"/>
      <w:r w:rsidRPr="00CC60F8">
        <w:rPr>
          <w:i/>
          <w:iCs/>
        </w:rPr>
        <w:t>Brick</w:t>
      </w:r>
      <w:proofErr w:type="spellEnd"/>
      <w:r w:rsidRPr="00CC60F8">
        <w:rPr>
          <w:i/>
          <w:iCs/>
        </w:rPr>
        <w:t>:</w:t>
      </w:r>
      <w:r w:rsidRPr="00CC60F8">
        <w:t xml:space="preserve"> </w:t>
      </w:r>
      <w:proofErr w:type="spellStart"/>
      <w:r w:rsidRPr="00CC60F8">
        <w:rPr>
          <w:i/>
          <w:iCs/>
        </w:rPr>
        <w:t>Building</w:t>
      </w:r>
      <w:proofErr w:type="spellEnd"/>
      <w:r w:rsidRPr="00CC60F8">
        <w:rPr>
          <w:i/>
          <w:iCs/>
        </w:rPr>
        <w:t xml:space="preserve"> </w:t>
      </w:r>
      <w:proofErr w:type="spellStart"/>
      <w:r w:rsidRPr="00CC60F8">
        <w:rPr>
          <w:i/>
          <w:iCs/>
        </w:rPr>
        <w:t>Better</w:t>
      </w:r>
      <w:proofErr w:type="spellEnd"/>
      <w:r w:rsidRPr="00CC60F8">
        <w:rPr>
          <w:i/>
          <w:iCs/>
        </w:rPr>
        <w:t xml:space="preserve"> </w:t>
      </w:r>
      <w:proofErr w:type="spellStart"/>
      <w:r w:rsidRPr="00CC60F8">
        <w:rPr>
          <w:i/>
          <w:iCs/>
        </w:rPr>
        <w:t>Housing</w:t>
      </w:r>
      <w:proofErr w:type="spellEnd"/>
      <w:r w:rsidRPr="00CC60F8">
        <w:rPr>
          <w:i/>
          <w:iCs/>
        </w:rPr>
        <w:t xml:space="preserve"> </w:t>
      </w:r>
      <w:proofErr w:type="spellStart"/>
      <w:r w:rsidRPr="00CC60F8">
        <w:rPr>
          <w:i/>
          <w:iCs/>
        </w:rPr>
        <w:t>Policies</w:t>
      </w:r>
      <w:proofErr w:type="spellEnd"/>
      <w:r w:rsidRPr="00CC60F8">
        <w:t xml:space="preserve"> (Tehla za tehlou: budovanie lepších politík bývania),</w:t>
      </w:r>
    </w:p>
    <w:p w14:paraId="1B56CA0D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správu OECD z 18. januára 2021 s názvom Výstavba pre lepší zajtrajšok: politiky na zvýšenie dostupnosti bývania,</w:t>
      </w:r>
    </w:p>
    <w:p w14:paraId="6B9223D8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usmernenia Svetovej zdravotníckej organizácie pre bývanie a zdravie z 23. novembra 2018,</w:t>
      </w:r>
    </w:p>
    <w:p w14:paraId="60760E7A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 xml:space="preserve">so zreteľom na rozsudok Súdneho dvora Európskej únie (veľká komora) z 22. septembra 2020 vo veci </w:t>
      </w:r>
      <w:proofErr w:type="spellStart"/>
      <w:r w:rsidRPr="00CC60F8">
        <w:t>Cali</w:t>
      </w:r>
      <w:proofErr w:type="spellEnd"/>
      <w:r w:rsidRPr="00CC60F8">
        <w:t xml:space="preserve"> </w:t>
      </w:r>
      <w:proofErr w:type="spellStart"/>
      <w:r w:rsidRPr="00CC60F8">
        <w:t>Apartments</w:t>
      </w:r>
      <w:proofErr w:type="spellEnd"/>
      <w:r w:rsidRPr="00CC60F8">
        <w:t xml:space="preserve"> SCI a HX proti </w:t>
      </w:r>
      <w:proofErr w:type="spellStart"/>
      <w:r w:rsidRPr="00CC60F8">
        <w:t>Procureur</w:t>
      </w:r>
      <w:proofErr w:type="spellEnd"/>
      <w:r w:rsidRPr="00CC60F8">
        <w:t xml:space="preserve"> </w:t>
      </w:r>
      <w:proofErr w:type="spellStart"/>
      <w:r w:rsidRPr="00CC60F8">
        <w:t>général</w:t>
      </w:r>
      <w:proofErr w:type="spellEnd"/>
      <w:r w:rsidRPr="00CC60F8">
        <w:t xml:space="preserve"> </w:t>
      </w:r>
      <w:proofErr w:type="spellStart"/>
      <w:r w:rsidRPr="00CC60F8">
        <w:t>près</w:t>
      </w:r>
      <w:proofErr w:type="spellEnd"/>
      <w:r w:rsidRPr="00CC60F8">
        <w:t xml:space="preserve"> la </w:t>
      </w:r>
      <w:proofErr w:type="spellStart"/>
      <w:r w:rsidRPr="00CC60F8">
        <w:t>cour</w:t>
      </w:r>
      <w:proofErr w:type="spellEnd"/>
      <w:r w:rsidRPr="00CC60F8">
        <w:t xml:space="preserve"> </w:t>
      </w:r>
      <w:proofErr w:type="spellStart"/>
      <w:r w:rsidRPr="00CC60F8">
        <w:t>d'appel</w:t>
      </w:r>
      <w:proofErr w:type="spellEnd"/>
      <w:r w:rsidRPr="00CC60F8">
        <w:t xml:space="preserve"> de </w:t>
      </w:r>
      <w:proofErr w:type="spellStart"/>
      <w:r w:rsidRPr="00CC60F8">
        <w:t>Paris</w:t>
      </w:r>
      <w:proofErr w:type="spellEnd"/>
      <w:r w:rsidRPr="00CC60F8">
        <w:t xml:space="preserve"> a </w:t>
      </w:r>
      <w:proofErr w:type="spellStart"/>
      <w:r w:rsidRPr="00CC60F8">
        <w:t>Ville</w:t>
      </w:r>
      <w:proofErr w:type="spellEnd"/>
      <w:r w:rsidRPr="00CC60F8">
        <w:t xml:space="preserve"> de </w:t>
      </w:r>
      <w:proofErr w:type="spellStart"/>
      <w:r w:rsidRPr="00CC60F8">
        <w:t>Paris</w:t>
      </w:r>
      <w:proofErr w:type="spellEnd"/>
      <w:r w:rsidRPr="00CC60F8">
        <w:rPr>
          <w:rStyle w:val="FootnoteReference"/>
        </w:rPr>
        <w:footnoteReference w:id="7"/>
      </w:r>
      <w:r w:rsidRPr="00CC60F8">
        <w:t xml:space="preserve">, </w:t>
      </w:r>
    </w:p>
    <w:p w14:paraId="2C1645A6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správu OECD z 1. mája 2019 s názvom Pod tlakom: Stlačená stredná trieda,</w:t>
      </w:r>
    </w:p>
    <w:p w14:paraId="6D7AB749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 xml:space="preserve">so zreteľom na články 1, 4, 16, 17, 21, 21 ods. 1, 23, 24, 25, 26, článok 34 ods. 3 a 36 </w:t>
      </w:r>
      <w:r w:rsidRPr="00CC60F8">
        <w:lastRenderedPageBreak/>
        <w:t>Charty základných práv Európskej únie,</w:t>
      </w:r>
    </w:p>
    <w:p w14:paraId="17D65E63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články 15 ods. 3, 16, článok 19 ods. 3, 23, 30 a 31 revidovanej Európskej sociálnej charty,</w:t>
      </w:r>
    </w:p>
    <w:p w14:paraId="15EFC0FA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Medzinárodný pakt o hospodárskych, sociálnych a kultúrnych právach, najmä na jeho článok 11 ods. 1,</w:t>
      </w:r>
    </w:p>
    <w:p w14:paraId="29CAF576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Všeobecnú deklaráciu ľudských práv, a najmä na jej články 8 a 25,</w:t>
      </w:r>
    </w:p>
    <w:p w14:paraId="6A378402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smernicu Európskeho parlamentu a Rady (EÚ) 2024/1275 z 24. apríla 2024 o energetickej hospodárnosti budov</w:t>
      </w:r>
      <w:r w:rsidRPr="00CC60F8">
        <w:rPr>
          <w:rStyle w:val="FootnoteReference"/>
        </w:rPr>
        <w:footnoteReference w:id="8"/>
      </w:r>
      <w:r w:rsidRPr="00CC60F8">
        <w:t xml:space="preserve"> („smernica o energetickej hospodárnosti budov“),</w:t>
      </w:r>
    </w:p>
    <w:p w14:paraId="6ED04041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nariadenie Európskeho parlamentu a Rady (EÚ) 2024/1028 z 11. apríla 2024 o zbere a poskytovaní údajov týkajúcich sa služieb krátkodobého prenájmu ubytovania a o zmene nariadenia (EÚ) 2018/1724</w:t>
      </w:r>
      <w:r w:rsidRPr="00CC60F8">
        <w:rPr>
          <w:rStyle w:val="FootnoteReference"/>
        </w:rPr>
        <w:footnoteReference w:id="9"/>
      </w:r>
      <w:r w:rsidRPr="00CC60F8">
        <w:t>,</w:t>
      </w:r>
    </w:p>
    <w:p w14:paraId="463DDD4C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ciele udržateľného rozvoja č. 11, 5, 10 a 3, ktoré prijali svetoví lídri v septembri 2015 a ktoré schválila Rada,</w:t>
      </w:r>
    </w:p>
    <w:p w14:paraId="4E5F84CD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svoje uznesenie z 21. januára 2021 o prístupe k dôstojnému a cenovo dostupnému bývaniu pre všetkých</w:t>
      </w:r>
      <w:r w:rsidRPr="00CC60F8">
        <w:rPr>
          <w:vertAlign w:val="superscript"/>
        </w:rPr>
        <w:footnoteReference w:id="10"/>
      </w:r>
      <w:r w:rsidRPr="00CC60F8">
        <w:t>,</w:t>
      </w:r>
    </w:p>
    <w:p w14:paraId="41767E4B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svoje uznesenie z 26. marca 2019 o finančnej trestnej činnosti, vyhýbaní sa daňovým povinnostiam a daňových únikoch</w:t>
      </w:r>
      <w:r w:rsidRPr="00CC60F8">
        <w:rPr>
          <w:vertAlign w:val="superscript"/>
        </w:rPr>
        <w:footnoteReference w:id="11"/>
      </w:r>
      <w:r w:rsidRPr="00CC60F8">
        <w:t>,</w:t>
      </w:r>
    </w:p>
    <w:p w14:paraId="79D7EA92" w14:textId="3A37D86C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rozhodnutie Komisie 2012/21/EÚ z 20. decembra 2011 o uplatňovaní článku 106 ods. 2 Zmluvy o fungovaní Európskej únie na štátnu pomoc vo forme náhrady za službu vo verejnom záujme udeľovanej niektorým podnikom povereným poskytovaním služieb všeobecného hospodárskeho záujmu</w:t>
      </w:r>
      <w:r w:rsidRPr="00CC60F8">
        <w:rPr>
          <w:rFonts w:ascii="Segoe UI" w:hAnsi="Segoe UI"/>
          <w:sz w:val="18"/>
        </w:rPr>
        <w:t xml:space="preserve"> (</w:t>
      </w:r>
      <w:r w:rsidRPr="00CC60F8">
        <w:t>C(2011)9380),</w:t>
      </w:r>
    </w:p>
    <w:p w14:paraId="6B4ECF62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Európsky pilier sociálnych práv vrátane sociálneho prehľadu vyhláseného a podpísaného Európskym parlamentom, Radou a Komisiou 17. novembra 2017, najmä na jeho zásady 2, 3 a 20, ako aj na zásadu 19 o bývaní a pomoci pre bezdomovcov,</w:t>
      </w:r>
    </w:p>
    <w:p w14:paraId="4976D59E" w14:textId="0B76745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oznámenie Komisie z 1. apríla 2025 s názvom „Modernizovaná politika súdržnosti: strednodobé preskúmanie“ (COM(2025)0163),</w:t>
      </w:r>
    </w:p>
    <w:p w14:paraId="6EEDE157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stanovisko Európskeho hospodárskeho a sociálneho výboru zo 16. septembra 2020 na tému „Univerzálny prístup k dôstojnému, udržateľnému a z dlhodobého hľadiska cenovo dostupnému bývaniu“</w:t>
      </w:r>
      <w:r w:rsidRPr="00CC60F8">
        <w:rPr>
          <w:rStyle w:val="FootnoteReference"/>
        </w:rPr>
        <w:footnoteReference w:id="12"/>
      </w:r>
      <w:r w:rsidRPr="00CC60F8">
        <w:t>,</w:t>
      </w:r>
    </w:p>
    <w:p w14:paraId="36EAC9BB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 xml:space="preserve">so zreteľom na stanovisko Európskeho výboru regiónov z 21. novembra 2024 s názvom </w:t>
      </w:r>
      <w:r w:rsidRPr="00CC60F8">
        <w:lastRenderedPageBreak/>
        <w:t>Obnovená politika súdržnosti po roku 2027, pri ktorej sa na nikoho nezabudne</w:t>
      </w:r>
      <w:r w:rsidRPr="00CC60F8">
        <w:rPr>
          <w:vertAlign w:val="superscript"/>
        </w:rPr>
        <w:footnoteReference w:id="13"/>
      </w:r>
      <w:r w:rsidRPr="00CC60F8">
        <w:rPr>
          <w:vertAlign w:val="subscript"/>
        </w:rPr>
        <w:t>,</w:t>
      </w:r>
    </w:p>
    <w:p w14:paraId="6849DFFA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usmernenia pre uplatňovanie práva na primerané bývanie, ktoré uverejnil osobitný spravodajca OSN 26. decembra 2019, a zvlášť práva na nediskrimináciu v oblasti bývania,</w:t>
      </w:r>
    </w:p>
    <w:p w14:paraId="752259E0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akčný plán skupiny Európskej investičnej banky pre dostupné a udržateľné bývanie, ktorý bol spustený v júni 2025,</w:t>
      </w:r>
    </w:p>
    <w:p w14:paraId="41DEE155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prehľad sociálneho a cenovo dostupného bývania za rok 2020, ktorý 1. júla 2020 uverejnila skupina Európskej investičnej banky,</w:t>
      </w:r>
    </w:p>
    <w:p w14:paraId="1E775691" w14:textId="3A505680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stanovisko Európskeho dvora audítorov 02/2025 (podľa článku 322 ZFEÚ) zo 6. mája 2025 k návrhu Komisie z 1. apríla 2025 týkajúcemu sa nariadenia Európskeho parlamentu a Rady, ktorým sa menia nariadenia (EÚ) 2021/1058 a (EÚ) 2021/1056, pokiaľ ide o osobitné opatrenia na riešenie strategických výziev v kontexte strednodobého preskúmania (COM(2025)0123), a k návrhu Komisie z 1. apríla 2025 týkajúcemu sa nariadenia Európskeho parlamentu a Rady, ktorým sa mení nariadenie (EÚ) 2021/1057, ktorým sa zriaďuje Európsky sociálny fond plus (ESF+), pokiaľ ide o osobitné opatrenia na riešenie strategických výziev(COM(2025)0164),</w:t>
      </w:r>
    </w:p>
    <w:p w14:paraId="6340C699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 xml:space="preserve">so zreteľom na Lisabonskú deklaráciu o európskej platforme na boj proti </w:t>
      </w:r>
      <w:proofErr w:type="spellStart"/>
      <w:r w:rsidRPr="00CC60F8">
        <w:t>bezdomovectvu</w:t>
      </w:r>
      <w:proofErr w:type="spellEnd"/>
      <w:r w:rsidRPr="00CC60F8">
        <w:t>, ktorú 21. júna 2021 prijali inštitúcie Únie, členské štáty a sociálni partneri,</w:t>
      </w:r>
    </w:p>
    <w:p w14:paraId="470FD830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Ženevskú chartu OSN o udržateľnom bývaní zo 16. apríla 2015 a jej cieľ „zabezpečiť prístup k dôstojnému, primeranému, cenovo dostupnému a zdravému bývaniu pre všetkých“,</w:t>
      </w:r>
    </w:p>
    <w:p w14:paraId="45E585E6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 xml:space="preserve">so zreteľom na európsky akčný plán v oblasti bývania, ktorý spustili združenie Mayors4Housing a sieť </w:t>
      </w:r>
      <w:proofErr w:type="spellStart"/>
      <w:r w:rsidRPr="00CC60F8">
        <w:t>Eurocities</w:t>
      </w:r>
      <w:proofErr w:type="spellEnd"/>
      <w:r w:rsidRPr="00CC60F8">
        <w:t xml:space="preserve"> v máji 2025,</w:t>
      </w:r>
    </w:p>
    <w:p w14:paraId="114EA7F1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 xml:space="preserve">so zreteľom na publikáciu </w:t>
      </w:r>
      <w:proofErr w:type="spellStart"/>
      <w:r w:rsidRPr="00CC60F8">
        <w:t>Eurostatu</w:t>
      </w:r>
      <w:proofErr w:type="spellEnd"/>
      <w:r w:rsidRPr="00CC60F8">
        <w:t xml:space="preserve"> s názvom Bývanie v Európe – vydanie 2024</w:t>
      </w:r>
      <w:r w:rsidRPr="00CC60F8">
        <w:rPr>
          <w:rStyle w:val="FootnoteReference"/>
        </w:rPr>
        <w:footnoteReference w:id="14"/>
      </w:r>
      <w:r w:rsidRPr="00CC60F8">
        <w:t>,</w:t>
      </w:r>
    </w:p>
    <w:p w14:paraId="118D84CC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 xml:space="preserve">so zreteľom na desiaty prehľad vylúčenia z bývania v Európe 2025, ktorý v septembri 2025 uverejnila Európska federácia národných združení pracujúcich s bezdomovcami (FEANTSA) a </w:t>
      </w:r>
      <w:proofErr w:type="spellStart"/>
      <w:r w:rsidRPr="00CC60F8">
        <w:t>Fondation</w:t>
      </w:r>
      <w:proofErr w:type="spellEnd"/>
      <w:r w:rsidRPr="00CC60F8">
        <w:t xml:space="preserve"> </w:t>
      </w:r>
      <w:proofErr w:type="spellStart"/>
      <w:r w:rsidRPr="00CC60F8">
        <w:t>pour</w:t>
      </w:r>
      <w:proofErr w:type="spellEnd"/>
      <w:r w:rsidRPr="00CC60F8">
        <w:t xml:space="preserve"> </w:t>
      </w:r>
      <w:proofErr w:type="spellStart"/>
      <w:r w:rsidRPr="00CC60F8">
        <w:t>le</w:t>
      </w:r>
      <w:proofErr w:type="spellEnd"/>
      <w:r w:rsidRPr="00CC60F8">
        <w:t xml:space="preserve"> </w:t>
      </w:r>
      <w:proofErr w:type="spellStart"/>
      <w:r w:rsidRPr="00CC60F8">
        <w:t>Logement</w:t>
      </w:r>
      <w:proofErr w:type="spellEnd"/>
      <w:r w:rsidRPr="00CC60F8">
        <w:t xml:space="preserve"> des </w:t>
      </w:r>
      <w:proofErr w:type="spellStart"/>
      <w:r w:rsidRPr="00CC60F8">
        <w:t>Défavorisés</w:t>
      </w:r>
      <w:proofErr w:type="spellEnd"/>
      <w:r w:rsidRPr="00CC60F8">
        <w:t>,</w:t>
      </w:r>
    </w:p>
    <w:p w14:paraId="7D2C3B15" w14:textId="37134F7B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oznámenie Komisie zo 14. októbra 2020 s názvom Vlna obnovy pre Európu – ekologizácia našich budov, tvorba pracovných miest, zlepšovanie životných podmienok (COM(2020)0662),</w:t>
      </w:r>
    </w:p>
    <w:p w14:paraId="24E37E94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odporúčanie Rady (EÚ) 2021/1004 zo 14. júna 2021, ktorým sa zriaďuje Európska záruka pre deti</w:t>
      </w:r>
      <w:r w:rsidRPr="00CC60F8">
        <w:rPr>
          <w:vertAlign w:val="superscript"/>
        </w:rPr>
        <w:footnoteReference w:id="15"/>
      </w:r>
      <w:r w:rsidRPr="00CC60F8">
        <w:t>,</w:t>
      </w:r>
    </w:p>
    <w:p w14:paraId="467BC79C" w14:textId="0A5C78D9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 xml:space="preserve">so zreteľom na oznámenia Komisie z 5. marca 2020 s názvom Únia rovnosti: Stratégia pre rodovú rovnosť na roky 2020 – 2025 (COM(2020)0152) a zo 7. marca 2025 s </w:t>
      </w:r>
      <w:r w:rsidRPr="00CC60F8">
        <w:lastRenderedPageBreak/>
        <w:t>názvom Plán pre práva žien (COM(2025)0097),</w:t>
      </w:r>
    </w:p>
    <w:p w14:paraId="15A58F54" w14:textId="1894CC1D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oznámenie Komisie z 3. marca 2021 s názvom Únia rovnosti: Stratégia v oblasti práv osôb so zdravotným postihnutím na roky 2021 – 2030 (COM(2021)0101),</w:t>
      </w:r>
    </w:p>
    <w:p w14:paraId="0B785353" w14:textId="1F673F9E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oznámenie Komisie zo 7. októbra 2020 s názvom Únia rovnosti: strategický rámec EÚ pre rovnosť, začleňovanie a účasť Rómov (COM(2020)0620),</w:t>
      </w:r>
    </w:p>
    <w:p w14:paraId="22214769" w14:textId="57004406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oznámenie Komisie z 8. októbra 2025 s názvom Únia rovnosti: stratégia pre rovnosť LGBTIQ+ osôb na roky 2026 – 2030 (COM(2025)0725),</w:t>
      </w:r>
    </w:p>
    <w:p w14:paraId="71BD39B8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 xml:space="preserve">so zreteľom na vyhlásenie z </w:t>
      </w:r>
      <w:proofErr w:type="spellStart"/>
      <w:r w:rsidRPr="00CC60F8">
        <w:t>Liége</w:t>
      </w:r>
      <w:proofErr w:type="spellEnd"/>
      <w:r w:rsidRPr="00CC60F8">
        <w:t xml:space="preserve"> o cenovo dostupnom, dôstojnom a udržateľnom bývaní pre všetkých, ktoré bolo podpísané na Európskej konferencii ministrov bývania počas belgického predsedníctva Rady 5. marca 2024,</w:t>
      </w:r>
    </w:p>
    <w:p w14:paraId="035C38FD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 xml:space="preserve">so zreteľom na vyhlásenie ministrov EÚ zodpovedných za bývanie, ktoré prijali 8. marca 2022 v </w:t>
      </w:r>
      <w:proofErr w:type="spellStart"/>
      <w:r w:rsidRPr="00CC60F8">
        <w:t>Nice</w:t>
      </w:r>
      <w:proofErr w:type="spellEnd"/>
      <w:r w:rsidRPr="00CC60F8">
        <w:t>,</w:t>
      </w:r>
    </w:p>
    <w:p w14:paraId="0403002E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akčný plán partnerstva v oblasti bývania v rámci Urbánnej agendy pre EÚ zverejnenej v decembri 2018,</w:t>
      </w:r>
    </w:p>
    <w:p w14:paraId="022A9605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vyhlásenie z La </w:t>
      </w:r>
      <w:proofErr w:type="spellStart"/>
      <w:r w:rsidRPr="00CC60F8">
        <w:t>Hulpe</w:t>
      </w:r>
      <w:proofErr w:type="spellEnd"/>
      <w:r w:rsidRPr="00CC60F8">
        <w:t xml:space="preserve"> zo 16. apríla 2024 o budúcnosti Európskeho piliera sociálnych práv,</w:t>
      </w:r>
    </w:p>
    <w:p w14:paraId="36C9DEDC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strategickú analýzu Európskeho orgánu práce o sektore stavebníctva zverejnenú v septembri 2023,</w:t>
      </w:r>
    </w:p>
    <w:p w14:paraId="79777BBB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 xml:space="preserve">so zreteľom na správu </w:t>
      </w:r>
      <w:proofErr w:type="spellStart"/>
      <w:r w:rsidRPr="00CC60F8">
        <w:t>Enrica</w:t>
      </w:r>
      <w:proofErr w:type="spellEnd"/>
      <w:r w:rsidRPr="00CC60F8">
        <w:t xml:space="preserve"> </w:t>
      </w:r>
      <w:proofErr w:type="spellStart"/>
      <w:r w:rsidRPr="00CC60F8">
        <w:t>Lettu</w:t>
      </w:r>
      <w:proofErr w:type="spellEnd"/>
      <w:r w:rsidRPr="00CC60F8">
        <w:t xml:space="preserve"> zo 17. apríla 2024 s názvom Oveľa viac než len trh,</w:t>
      </w:r>
    </w:p>
    <w:p w14:paraId="77D2B5A8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 xml:space="preserve">so zreteľom na poverovací list, ktorý predsedníčka Komisie </w:t>
      </w:r>
      <w:proofErr w:type="spellStart"/>
      <w:r w:rsidRPr="00CC60F8">
        <w:t>Ursula</w:t>
      </w:r>
      <w:proofErr w:type="spellEnd"/>
      <w:r w:rsidRPr="00CC60F8">
        <w:t xml:space="preserve"> von der </w:t>
      </w:r>
      <w:proofErr w:type="spellStart"/>
      <w:r w:rsidRPr="00CC60F8">
        <w:t>Leyen</w:t>
      </w:r>
      <w:proofErr w:type="spellEnd"/>
      <w:r w:rsidRPr="00CC60F8">
        <w:t xml:space="preserve"> adresovala 17. septembra 2024 dezignovanému komisárovi pre energetiku a bývanie Danovi </w:t>
      </w:r>
      <w:proofErr w:type="spellStart"/>
      <w:r w:rsidRPr="00CC60F8">
        <w:t>Jørgensenovi</w:t>
      </w:r>
      <w:proofErr w:type="spellEnd"/>
      <w:r w:rsidRPr="00CC60F8">
        <w:t>,</w:t>
      </w:r>
    </w:p>
    <w:p w14:paraId="698FF0A1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 xml:space="preserve">so zreteľom na dokument </w:t>
      </w:r>
      <w:proofErr w:type="spellStart"/>
      <w:r w:rsidRPr="00CC60F8">
        <w:t>Ursuly</w:t>
      </w:r>
      <w:proofErr w:type="spellEnd"/>
      <w:r w:rsidRPr="00CC60F8">
        <w:t xml:space="preserve"> von der </w:t>
      </w:r>
      <w:proofErr w:type="spellStart"/>
      <w:r w:rsidRPr="00CC60F8">
        <w:t>Leyenovej</w:t>
      </w:r>
      <w:proofErr w:type="spellEnd"/>
      <w:r w:rsidRPr="00CC60F8">
        <w:t xml:space="preserve"> z 18. júla 2024 s názvom Európa má na výber – Politické usmernenia pre budúcu Európsku komisiu na roky 2024 – 2029,</w:t>
      </w:r>
    </w:p>
    <w:p w14:paraId="520F4168" w14:textId="403E79CA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 xml:space="preserve">so zreteľom na štúdiu z decembra 2025 vypracovanú na žiadosť Osobitného výboru </w:t>
      </w:r>
      <w:r w:rsidR="005B6C4C" w:rsidRPr="00CC60F8">
        <w:t>Európskeho p</w:t>
      </w:r>
      <w:r w:rsidRPr="00CC60F8">
        <w:t>arlamentu pre krízu bývania v EÚ (HOUS) s názvom Mapovanie potrieb v oblasti bývania v EÚ, posúdenie vplyvov nedostatku a prehľad príslušných právnych predpisov EÚ,</w:t>
      </w:r>
    </w:p>
    <w:p w14:paraId="2E4D025B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 xml:space="preserve">so zreteľom na svoje uznesenie z 24. novembra 2020 o riešení miery </w:t>
      </w:r>
      <w:proofErr w:type="spellStart"/>
      <w:r w:rsidRPr="00CC60F8">
        <w:t>bezdomovectva</w:t>
      </w:r>
      <w:proofErr w:type="spellEnd"/>
      <w:r w:rsidRPr="00CC60F8">
        <w:t xml:space="preserve"> v EÚ</w:t>
      </w:r>
      <w:r w:rsidRPr="00CC60F8">
        <w:rPr>
          <w:rStyle w:val="FootnoteReference"/>
        </w:rPr>
        <w:footnoteReference w:id="16"/>
      </w:r>
      <w:r w:rsidRPr="00CC60F8">
        <w:t>,</w:t>
      </w:r>
    </w:p>
    <w:p w14:paraId="5B603326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politický záväzok týkajúci sa bývania, ktorý predsedníčka Európskej komisie oznámila 10. septembra 2025 vo svojom prejave o stave Únie v roku 2025,</w:t>
      </w:r>
    </w:p>
    <w:p w14:paraId="14972DB2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 xml:space="preserve">so zreteľom na oznámenie Komisie z 30. júna 2021 s názvom Dlhodobá vízia pre vidiecke oblasti EÚ – smerom k zabezpečeniu silnejších, prepojených, odolných a </w:t>
      </w:r>
      <w:r w:rsidRPr="00CC60F8">
        <w:lastRenderedPageBreak/>
        <w:t>prosperujúcich vidieckych oblastí do roku 2040, na jeho akčný plán a na vidiecky pakt,</w:t>
      </w:r>
    </w:p>
    <w:p w14:paraId="06C0C6EE" w14:textId="37D30B88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oznámenie Komisie z 26. februára 2025 s názvom Akčný plán pre cenovo dostupnú energiu (COM(2025)0079),</w:t>
      </w:r>
    </w:p>
    <w:p w14:paraId="2C9C53F5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svoje uznesenie z 20. mája 2021 o zvrátení demografických trendov v regiónoch EÚ pomocou nástrojov politiky súdržnosti</w:t>
      </w:r>
      <w:r w:rsidRPr="00CC60F8">
        <w:rPr>
          <w:rStyle w:val="FootnoteReference"/>
        </w:rPr>
        <w:footnoteReference w:id="17"/>
      </w:r>
      <w:r w:rsidRPr="00CC60F8">
        <w:t>,</w:t>
      </w:r>
    </w:p>
    <w:p w14:paraId="044D9A07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Dohovor OSN o právach osôb so zdravotným postihnutím, a najmä na jeho článok 19, ktorý v EÚ nadobudol platnosť 22. januára 2011 v súlade s rozhodnutím Rady 2010/48/ES z 26. novembra 2009 o uzatvorení Dohovoru Organizácie Spojených národov o právach osôb so zdravotným postihnutím Európskym spoločenstvom</w:t>
      </w:r>
      <w:r w:rsidRPr="00CC60F8">
        <w:rPr>
          <w:rStyle w:val="FootnoteReference"/>
        </w:rPr>
        <w:footnoteReference w:id="18"/>
      </w:r>
      <w:r w:rsidRPr="00CC60F8">
        <w:t>,</w:t>
      </w:r>
    </w:p>
    <w:p w14:paraId="301A9E9D" w14:textId="366E2F62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oznámenie Komisie z 20. novembra 2024 s názvom Usmernenia k nezávislému životu a začleneniu osôb so zdravotným postihnutím do komunity v kontexte financovania z prostriedkov EÚ (C(2024)7188),</w:t>
      </w:r>
    </w:p>
    <w:p w14:paraId="0843BCFD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články 55 a 213 rokovacieho poriadku,</w:t>
      </w:r>
    </w:p>
    <w:p w14:paraId="29B5E21F" w14:textId="77777777" w:rsidR="00895679" w:rsidRPr="00CC60F8" w:rsidRDefault="00895679" w:rsidP="00895679">
      <w:pPr>
        <w:pStyle w:val="NormalHanging12a"/>
      </w:pPr>
      <w:r w:rsidRPr="00CC60F8">
        <w:t>–</w:t>
      </w:r>
      <w:r w:rsidRPr="00CC60F8">
        <w:tab/>
        <w:t>so zreteľom na správu Osobitného výboru pre krízu bývania v Európskej únii (A10-0025/2026),</w:t>
      </w:r>
    </w:p>
    <w:p w14:paraId="41B0792E" w14:textId="77777777" w:rsidR="00895679" w:rsidRPr="00CC60F8" w:rsidRDefault="00895679" w:rsidP="00895679">
      <w:pPr>
        <w:pStyle w:val="NormalHanging12a"/>
      </w:pPr>
      <w:r w:rsidRPr="00CC60F8">
        <w:t>A.</w:t>
      </w:r>
      <w:r w:rsidRPr="00CC60F8">
        <w:tab/>
        <w:t>keďže domov je viac ako len prístrešie a vytvára základ pre rast a prosperitu rodín, jednotlivcov i komunít</w:t>
      </w:r>
      <w:r w:rsidRPr="00CC60F8">
        <w:rPr>
          <w:rStyle w:val="FootnoteReference"/>
        </w:rPr>
        <w:footnoteReference w:id="19"/>
      </w:r>
      <w:r w:rsidRPr="00CC60F8">
        <w:t>;</w:t>
      </w:r>
      <w:r w:rsidRPr="00CC60F8">
        <w:rPr>
          <w:rFonts w:ascii="Segoe UI" w:hAnsi="Segoe UI"/>
          <w:sz w:val="18"/>
        </w:rPr>
        <w:t xml:space="preserve"> </w:t>
      </w:r>
      <w:r w:rsidRPr="00CC60F8">
        <w:t>keďže cenová nedostupnosť bývania sa čoraz viac dotýka nielen jednotlivcov, rodín a domácností s nízkymi, ale aj so strednými príjmami v celej Európe</w:t>
      </w:r>
      <w:r w:rsidRPr="00CC60F8">
        <w:rPr>
          <w:rStyle w:val="FootnoteReference"/>
        </w:rPr>
        <w:footnoteReference w:id="20"/>
      </w:r>
      <w:r w:rsidRPr="00CC60F8">
        <w:t>; keďže ovplyvňuje život najmä mladých Európanov, ktorí majú čoraz väčšie problémy odísť z rodičovského domu, pričom priemerný vek odchodu bol 26,3 rokov v roku 2023</w:t>
      </w:r>
      <w:r w:rsidRPr="00CC60F8">
        <w:rPr>
          <w:rStyle w:val="FootnoteReference"/>
        </w:rPr>
        <w:footnoteReference w:id="21"/>
      </w:r>
      <w:r w:rsidRPr="00CC60F8">
        <w:t>; keďže znižovanie priemernej veľkosti domácností si vyžaduje prepracovať bytový fond tak, aby bolo možné zaručiť prístup k bývaniu pre všetky skupiny; keďže tieto trendy zdôrazňujú potrebu plne využiť súbor demografických nástrojov EÚ; keďže nedostatok cenovo dostupných miest znamená osobitnú finančnú záťaž a riziko sociálneho vylúčenia zraniteľných skupín vrátane starších ľudí a ľudí bez domova; keďže pre nájomcov a tých, ktorí kupujú prvýkrát, je dnes viac ako kedykoľvek predtým zložitejšie prenajať si bývanie za prijateľnú cenu alebo vlastniť dôstojné bývanie; keďže investovať do dôstojného, udržateľného a cenovo dostupného bývania pre všetkých znamená budovať lepšiu budúcnosť pre Európu; keďže úspešné riešenie súčasnej krízy v oblasti bývania je príspevkom k dosiahnutiu kľúčového sociálneho cieľa Únie;</w:t>
      </w:r>
    </w:p>
    <w:p w14:paraId="2A25C336" w14:textId="76A7747D" w:rsidR="00895679" w:rsidRPr="00CC60F8" w:rsidRDefault="00895679" w:rsidP="00895679">
      <w:pPr>
        <w:pStyle w:val="NormalHanging12a"/>
      </w:pPr>
      <w:r w:rsidRPr="00CC60F8">
        <w:t>B.</w:t>
      </w:r>
      <w:r w:rsidRPr="00CC60F8">
        <w:tab/>
        <w:t>keďže v článku 34 ods. 3 Charty základných práv Európskej únie sa uvádza, že „</w:t>
      </w:r>
      <w:r w:rsidRPr="00CC60F8">
        <w:rPr>
          <w:i/>
          <w:iCs/>
        </w:rPr>
        <w:t xml:space="preserve">Únia uznáva a rešpektuje právo na sociálnu pomoc a pomoc pri bývaní s cieľom zabezpečiť </w:t>
      </w:r>
      <w:r w:rsidRPr="00CC60F8">
        <w:rPr>
          <w:i/>
          <w:iCs/>
        </w:rPr>
        <w:lastRenderedPageBreak/>
        <w:t>dôstojnú existenciu všetkých osôb, ktoré nemajú dostatok prostriedkov</w:t>
      </w:r>
      <w:r w:rsidRPr="00CC60F8">
        <w:t>“; keďže v článku 25 ods. 1 Všeobecnej deklarácie ľudských práv sa stanovuje, že „</w:t>
      </w:r>
      <w:r w:rsidRPr="00CC60F8">
        <w:rPr>
          <w:i/>
          <w:iCs/>
        </w:rPr>
        <w:t>každý má právo na takú životnú úroveň, ktorá môže zabezpečiť jemu i jeho rodine zdravie a blahobyt, vrátane stravy, ošatenia, bývania a lekárskej starostlivosti</w:t>
      </w:r>
      <w:r w:rsidRPr="00CC60F8">
        <w:t>“;</w:t>
      </w:r>
      <w:r w:rsidRPr="00CC60F8">
        <w:rPr>
          <w:rFonts w:ascii="Helvetica" w:hAnsi="Helvetica"/>
          <w:color w:val="333333"/>
          <w:shd w:val="clear" w:color="auto" w:fill="FFFFFF"/>
        </w:rPr>
        <w:t xml:space="preserve"> </w:t>
      </w:r>
      <w:r w:rsidRPr="00CC60F8">
        <w:t>keďže v článku 17 Charty základných práv Európskej únie sa uvádza, že „</w:t>
      </w:r>
      <w:r w:rsidRPr="00CC60F8">
        <w:rPr>
          <w:i/>
          <w:iCs/>
        </w:rPr>
        <w:t>každý má právo vlastniť svoj oprávnene nadobudnutý majetok, užívať ho, nakladať s ním a odkázať ho</w:t>
      </w:r>
      <w:r w:rsidRPr="00CC60F8">
        <w:t>“ a že „</w:t>
      </w:r>
      <w:r w:rsidRPr="00CC60F8">
        <w:rPr>
          <w:i/>
          <w:iCs/>
        </w:rPr>
        <w:t>[n]</w:t>
      </w:r>
      <w:proofErr w:type="spellStart"/>
      <w:r w:rsidRPr="00CC60F8">
        <w:rPr>
          <w:i/>
          <w:iCs/>
        </w:rPr>
        <w:t>ikoho</w:t>
      </w:r>
      <w:proofErr w:type="spellEnd"/>
      <w:r w:rsidRPr="00CC60F8">
        <w:rPr>
          <w:i/>
          <w:iCs/>
        </w:rPr>
        <w:t xml:space="preserve"> nemožno zbaviť jeho majetku</w:t>
      </w:r>
      <w:r w:rsidRPr="00CC60F8">
        <w:t>“; keďže v článku 17 Všeobecnej deklarácie ľudských práv sa stanovuje, že „</w:t>
      </w:r>
      <w:r w:rsidRPr="00CC60F8">
        <w:rPr>
          <w:i/>
          <w:iCs/>
        </w:rPr>
        <w:t>[k]</w:t>
      </w:r>
      <w:proofErr w:type="spellStart"/>
      <w:r w:rsidRPr="00CC60F8">
        <w:rPr>
          <w:i/>
          <w:iCs/>
        </w:rPr>
        <w:t>aždý</w:t>
      </w:r>
      <w:proofErr w:type="spellEnd"/>
      <w:r w:rsidRPr="00CC60F8">
        <w:rPr>
          <w:i/>
          <w:iCs/>
        </w:rPr>
        <w:t xml:space="preserve"> má právo vlastniť majetok sám, rovnako ako aj spolu s inými</w:t>
      </w:r>
      <w:r w:rsidRPr="00CC60F8">
        <w:t>“ a že „</w:t>
      </w:r>
      <w:r w:rsidRPr="00CC60F8">
        <w:rPr>
          <w:i/>
          <w:iCs/>
        </w:rPr>
        <w:t>[n]</w:t>
      </w:r>
      <w:proofErr w:type="spellStart"/>
      <w:r w:rsidRPr="00CC60F8">
        <w:rPr>
          <w:i/>
          <w:iCs/>
        </w:rPr>
        <w:t>ikto</w:t>
      </w:r>
      <w:proofErr w:type="spellEnd"/>
      <w:r w:rsidRPr="00CC60F8">
        <w:rPr>
          <w:i/>
          <w:iCs/>
        </w:rPr>
        <w:t xml:space="preserve"> nesmie byť svojvoľne zbavený svojho majetku</w:t>
      </w:r>
      <w:r w:rsidRPr="00CC60F8">
        <w:t>“. keďže ochrana majetku je základom osobných a verejných slobôd a každá fyzická alebo právnická osoba má nárok na pokojné užívanie svojho majetku, pričom v zásade 19 Európskeho piliera sociálnych práv sa požaduje, že „</w:t>
      </w:r>
      <w:r w:rsidRPr="00CC60F8">
        <w:rPr>
          <w:i/>
          <w:iCs/>
        </w:rPr>
        <w:t>[b]</w:t>
      </w:r>
      <w:proofErr w:type="spellStart"/>
      <w:r w:rsidRPr="00CC60F8">
        <w:rPr>
          <w:i/>
          <w:iCs/>
        </w:rPr>
        <w:t>ezdomovcom</w:t>
      </w:r>
      <w:proofErr w:type="spellEnd"/>
      <w:r w:rsidRPr="00CC60F8">
        <w:rPr>
          <w:i/>
          <w:iCs/>
        </w:rPr>
        <w:t xml:space="preserve"> treba poskytnúť primerané prístrešie a služby, aby sa podporilo ich sociálne začlenenie</w:t>
      </w:r>
      <w:r w:rsidRPr="00CC60F8">
        <w:t>“;</w:t>
      </w:r>
    </w:p>
    <w:p w14:paraId="05BEBEDF" w14:textId="77777777" w:rsidR="00895679" w:rsidRPr="00CC60F8" w:rsidRDefault="00895679" w:rsidP="00895679">
      <w:pPr>
        <w:pStyle w:val="NormalHanging12a"/>
      </w:pPr>
      <w:bookmarkStart w:id="7" w:name="_Hlk221721321"/>
      <w:r w:rsidRPr="00CC60F8">
        <w:t>C.</w:t>
      </w:r>
      <w:r w:rsidRPr="00CC60F8">
        <w:tab/>
        <w:t xml:space="preserve">keďže Európa nečelí iba kríze bývania, ale predovšetkým kríze cenovej dostupnosti, keďže v EÚ sa od roku 2010 do druhého štvrťroka 2025 nájomné zvýšilo o 28,8 % a ceny nehnuteľností o 60,5 %; </w:t>
      </w:r>
      <w:r w:rsidRPr="00CC60F8">
        <w:rPr>
          <w:rStyle w:val="normaltextrun"/>
          <w:color w:val="000000"/>
          <w:shd w:val="clear" w:color="auto" w:fill="FFFFFF"/>
        </w:rPr>
        <w:t>keďže v EÚ sa v druhom štvrťroku 2025 v porovnaní s rovnakým obdobím roku 2024 zvýšilo nájomné o 3,2 % a ceny nehnuteľností o 5,4 %, pričom v mnohých členských štátoch došlo k mimoriadne prudkému zvýšeniu</w:t>
      </w:r>
      <w:r w:rsidRPr="00CC60F8">
        <w:rPr>
          <w:rStyle w:val="FootnoteReference"/>
          <w:rFonts w:eastAsiaTheme="majorEastAsia"/>
          <w:color w:val="000000"/>
          <w:shd w:val="clear" w:color="auto" w:fill="FFFFFF"/>
        </w:rPr>
        <w:footnoteReference w:id="22"/>
      </w:r>
      <w:r w:rsidRPr="00CC60F8">
        <w:rPr>
          <w:rStyle w:val="normaltextrun"/>
          <w:color w:val="000000"/>
          <w:shd w:val="clear" w:color="auto" w:fill="FFFFFF"/>
        </w:rPr>
        <w:t>;</w:t>
      </w:r>
      <w:r w:rsidRPr="00CC60F8">
        <w:t xml:space="preserve"> keďže osoby s minimálnou mzdou vynakladajú v priemere o 8,6 % viac svojho disponibilného príjmu na bývanie ako iní zamestnanci</w:t>
      </w:r>
      <w:r w:rsidRPr="00CC60F8">
        <w:rPr>
          <w:rStyle w:val="FootnoteReference"/>
        </w:rPr>
        <w:footnoteReference w:id="23"/>
      </w:r>
      <w:r w:rsidRPr="00CC60F8">
        <w:t>; keďže 10,6 % mestského obyvateľstva EÚ je nadmerne zaťažených nákladmi na bývanie, čo znamená, že celkové náklady na bývanie predstavujú viac ako 40 % ich disponibilného príjmu; keďže v uliciach EÚ je každú noc približne 1,3 milióna ľudí bez domova, ktorí prespávajú pod holým nebom alebo v krízových ubytovniach, pričom takmer 400 000 z nich sú deti;</w:t>
      </w:r>
    </w:p>
    <w:p w14:paraId="01AD12BC" w14:textId="35E28C48" w:rsidR="00895679" w:rsidRPr="00CC60F8" w:rsidRDefault="00895679" w:rsidP="00895679">
      <w:pPr>
        <w:pStyle w:val="NormalHanging12a"/>
      </w:pPr>
      <w:r w:rsidRPr="00CC60F8">
        <w:t>D.</w:t>
      </w:r>
      <w:r w:rsidRPr="00CC60F8">
        <w:tab/>
        <w:t>keďže politiky bývania spadajú primárne do právomoci členských štátov, pričom EÚ je povinná dodržiavať zásadu subsidiarity v súlade s článkom 5 ods. 1 Z</w:t>
      </w:r>
      <w:r w:rsidR="007301DB" w:rsidRPr="00CC60F8">
        <w:t xml:space="preserve">mluvy o </w:t>
      </w:r>
      <w:r w:rsidRPr="00CC60F8">
        <w:t>EÚ; keďže EÚ zohráva kľúčovú úlohu pri využívaní a posilňovaní schopnosti členských štátov, regiónov a obcí reagovať na krízu bývania, ktorá sa v rámci EÚ líši, a to prijímaním účinných rámcov podpory; keďže právne predpisy a politiky EÚ výrazne vplývajú na trhy s bývaním v jednotlivých členských štátoch a môžu mať priamy i nepriamy vplyv na vývoj ponuky a dopytu v sektore bývania; keďže na adekvátne riešenie rôznorodých problémov v oblasti bývania v jednotlivých členských štátoch je potrebný komplexný a na mieru šitý prístup k politikám bývania, na rozdiel od zásady „spoločného riešenia“, ktorá nezohľadňuje rozdiely v cenovej dostupnosti v členských štátoch; keďže podpora EÚ v politike bývania by preto mala zostať flexibilná a prispôsobiteľná, a to aj pokiaľ ide o výber nástrojov a mechanizmov plánovania, čo by členským štátom, regiónom a obciam umožnilo prispôsobiť riešenia ich podmienkam bývania v oblastiach, ako sú stavebníctvo a politika nájomného bývania;</w:t>
      </w:r>
    </w:p>
    <w:bookmarkEnd w:id="7"/>
    <w:p w14:paraId="67B45FBB" w14:textId="77777777" w:rsidR="00895679" w:rsidRPr="00CC60F8" w:rsidRDefault="00895679" w:rsidP="00895679">
      <w:pPr>
        <w:pStyle w:val="NormalHanging12a"/>
      </w:pPr>
      <w:r w:rsidRPr="00CC60F8">
        <w:t>E.</w:t>
      </w:r>
      <w:r w:rsidRPr="00CC60F8">
        <w:tab/>
        <w:t xml:space="preserve">keďže problémy, ale aj riešenia v oblasti bývania sú v členských štátoch, regiónoch a mestách rôzne, a to vrátane vidieckych i horských oblastí, ostrovov a najvzdialenejších </w:t>
      </w:r>
      <w:r w:rsidRPr="00CC60F8">
        <w:lastRenderedPageBreak/>
        <w:t>regiónov, pričom mnohé z nich vzápätí trpia špecifickými a závažnými demografickým problémami; keďže mnohým členským štátom chýbajú potrebné znalosti na rozvoj efektívnych a na mieru prispôsobených miestnych politík v oblasti bývania; keďže mnohé stredne veľké mestá majú nevyužitý potenciál, pokiaľ ide o obytnú plochu, služby a infraštruktúru, no majú problémy prilákať investície a pracovné sily; keďže územný rozvoj je preto strategickým cieľom sociálnej, hospodárskej a environmentálnej súdržnosti EÚ;</w:t>
      </w:r>
    </w:p>
    <w:p w14:paraId="0DC973F0" w14:textId="77777777" w:rsidR="00895679" w:rsidRPr="00CC60F8" w:rsidRDefault="00895679" w:rsidP="00895679">
      <w:pPr>
        <w:pStyle w:val="NormalHanging12a"/>
      </w:pPr>
      <w:r w:rsidRPr="00CC60F8">
        <w:t>F.</w:t>
      </w:r>
      <w:r w:rsidRPr="00CC60F8">
        <w:tab/>
        <w:t>keďže účinné a úspešné politiky bývania si vyžadujú viacúrovňové riadenie a aktívne zapojenie miestnych zainteresovaných strán a obyvateľov; keďže úloha miestnych, obecných a regionálnych orgánov je preto kľúčová pri identifikácii potrieb, ako aj pri vypracúvaní opatrení na mieru prispôsobených miestnym problémom prostredníctvom ich právomocí v oblasti využívania pôdy, územného, mestského a regionálneho plánovania, stavebných predpisov a udeľovania povolení; keďže je nevyhnutné podporovať inkluzívne a komunitné plány miestneho a regionálneho rozvoja, ktoré zahŕňajú vzdelávanie, zdravotnú starostlivosť, infraštruktúru, dopravu, hospodársky rozvoj a voľný čas, a zároveň preskúmať rôzne možnosti miestnej spolupráce, najmä v husto osídlených oblastiach; keďže verejné orgány na všetkých úrovniach musia byť oprávnené a riadne financované, aby mohli zaručiť prístup k dôstojnému, cenovo dostupnému a primeranému bývaniu; keďže okrajovým a vidieckym oblastiam sa musí venovať primeraná pozornosť, aby sa zabezpečil spravodlivý prístup k dôstojnému, cenovo dostupnému a udržateľnému bývaniu pre všetkých bez ohľadu na zemepisnú polohu; keďže inovatívne politiky v oblasti bývania vo vidieckych oblastiach, ako je napríklad povolenie výstavby viacerých obydlí na pozemkoch vo vlastníctve rodiny s primeranou environmentálnou infraštruktúrou, môžu pomôcť k udržaniu a opätovnému osídleniu vidieckych komunít;</w:t>
      </w:r>
    </w:p>
    <w:p w14:paraId="047170FE" w14:textId="77777777" w:rsidR="00895679" w:rsidRPr="00CC60F8" w:rsidRDefault="00895679" w:rsidP="00895679">
      <w:pPr>
        <w:pStyle w:val="NormalHanging12a"/>
      </w:pPr>
      <w:r w:rsidRPr="00CC60F8">
        <w:t>G.</w:t>
      </w:r>
      <w:r w:rsidRPr="00CC60F8">
        <w:tab/>
        <w:t>keďže medzi hlavné príčiny krízy v oblasti bývania patrí obmedzená ponuka súkromného, ale aj verejného bytového fondu ovplyvnená rôznymi faktormi vrátane chýbajúcej výstavby a nedostatočných investícií do dôstojného, udržateľného a cenovo dostupného bývania v posledných desaťročiach, ako aj rastúcich nákladov na energie a verejné služby či pretrvávajúcej nerovnováhy medzi dopytom po bývaní a jeho ponukou; keďže v roku 2024 index podlahovej plochy zaznamenal ďalší pokles o 1,6 % a index obytnej plochy stagnoval</w:t>
      </w:r>
      <w:r w:rsidRPr="00CC60F8">
        <w:rPr>
          <w:rStyle w:val="FootnoteReference"/>
        </w:rPr>
        <w:footnoteReference w:id="24"/>
      </w:r>
      <w:r w:rsidRPr="00CC60F8">
        <w:t>; keďže v roku 2023 klesol počet stavebných povolení o 14,6 % v prípade podlahovej plochy a o 19,6 % v prípade počtu bytov a od roku 2021 sa výrazne znížil</w:t>
      </w:r>
      <w:r w:rsidRPr="00CC60F8">
        <w:rPr>
          <w:rStyle w:val="FootnoteReference"/>
        </w:rPr>
        <w:footnoteReference w:id="25"/>
      </w:r>
      <w:r w:rsidRPr="00CC60F8">
        <w:t>, pričom počet schválených povolení na bytové jednotky klesol z 1,99 milióna v danom roku na 1,54 milióna v roku 2024; keďže tento klesajúci trend poukazuje na potrebu lepšej právnej istoty, zníženia byrokracie, zvýšeného zberu údajov,</w:t>
      </w:r>
      <w:bookmarkStart w:id="8" w:name="_Hlk215073572"/>
      <w:r w:rsidRPr="00CC60F8">
        <w:t xml:space="preserve"> väčšej efektívnosti vydávania povolení a výmeny najlepších postupov, ako aj miestnych </w:t>
      </w:r>
      <w:proofErr w:type="spellStart"/>
      <w:r w:rsidRPr="00CC60F8">
        <w:t>zonačných</w:t>
      </w:r>
      <w:proofErr w:type="spellEnd"/>
      <w:r w:rsidRPr="00CC60F8">
        <w:t xml:space="preserve"> predpisov, ktoré sú v súčasnosti príliš zdĺhavé a zložité, čo spôsobuje oneskorenia v procese výstavby, zmeny účelu a obnovy obytných domov; </w:t>
      </w:r>
      <w:bookmarkEnd w:id="8"/>
      <w:r w:rsidRPr="00CC60F8">
        <w:t xml:space="preserve">keďže zjednodušenie a zefektívnenie zložitých pravidiel s cieľom urýchliť výstavbu, zmenu účelu a obnovu obytných domov v celej Európe má zásadný význam pre poskytovanie dôstojného, udržateľného a cenovo dostupného bývania; keďže kríza dostupnosti bývania predstavuje nielen sociálny problém, ale aj veľkú hospodársku </w:t>
      </w:r>
      <w:r w:rsidRPr="00CC60F8">
        <w:lastRenderedPageBreak/>
        <w:t xml:space="preserve">hrozbu pre konkurencieschopnosť EÚ, pretože obmedzuje mobilitu pracovnej sily, znižuje disponibilný príjem, odrádza od investícií a zvyšuje regionálne rozdiely; keďže preto treba zvýšiť výstavbu, </w:t>
      </w:r>
      <w:proofErr w:type="spellStart"/>
      <w:r w:rsidRPr="00CC60F8">
        <w:t>rekonverziu</w:t>
      </w:r>
      <w:proofErr w:type="spellEnd"/>
      <w:r w:rsidRPr="00CC60F8">
        <w:t xml:space="preserve"> nevyužívaných budov a rekonštrukciu obytných domov určených tak na predaj, ako aj na prenájom, aby v prípade potreby spĺňali kritériá prístupnosti; keďže v záujme lepšieho riešenia bytovej otázky by sa mali vo väčšej miere využívať nevyužívané verejné infraštruktúry;</w:t>
      </w:r>
    </w:p>
    <w:p w14:paraId="0F087999" w14:textId="77777777" w:rsidR="00895679" w:rsidRPr="00CC60F8" w:rsidRDefault="00895679" w:rsidP="00895679">
      <w:pPr>
        <w:pStyle w:val="NormalHanging12a"/>
      </w:pPr>
      <w:r w:rsidRPr="00CC60F8">
        <w:t>H.</w:t>
      </w:r>
      <w:r w:rsidRPr="00CC60F8">
        <w:tab/>
        <w:t>keďže zaručenie efektívneho využívania pozemkov a predbežného plánovania inteligentného rozvoja hustoty zástavby vrátane revitalizácie opustených priemyselných pozemkov, urýchlenia transformácie pozemkov a riadiacich procesov má zásadný význam v záujme zabezpečenia dostupnosti pozemkov na konečnú výstavbu; keďže nedostatok pozemkov pripravených na výstavbu a potenciálnych stavenísk predstavuje jednu z hlavných prekážok bytovej výstavby; keďže rámce a predpisy v oblasti plánovania sú dôležité na zaručenie noriem a zabezpečenie primeranej kvality bytovej výstavby tak, aby bola v súlade so sociálnymi cieľmi, ako aj cieľmi v oblasti bezpečnosti; keďže súčasná zložitosť a dĺžka postupov územného plánovania, ktoré často trvajú viac ako desať rokov, bránia rozširovaniu ponuky nových, obnovených bytov a zmene účelu existujúceho fondu budov; keďže zriadenie predvídateľných a transparentných stretnutí so žiadateľmi na účely predbežného plánovania by mohlo zlepšiť efektivitu a transparentnosť rozvoja bývania; keďže zdĺhavé a zložité plánovacie a právne postupy môžu oddialiť naliehavo potrebný rozvoj bývania; keďže podľa OECD tento nesúlad medzi ponukou a dopytom vyplýva z geografických obmedzení a regulačných obmedzení v mnohých mestách vrátane tých, ktoré sa týkajú využívania pôdy a ustanovení o územnom plánovaní</w:t>
      </w:r>
      <w:r w:rsidRPr="00CC60F8">
        <w:rPr>
          <w:rStyle w:val="FootnoteReference"/>
        </w:rPr>
        <w:footnoteReference w:id="26"/>
      </w:r>
      <w:r w:rsidRPr="00CC60F8">
        <w:t>; keďže zjednodušený a efektívny systém vydávania povolení by mohol podstatne zmierniť krízu v oblasti bývania; keďže EÚ vydala 13. mája 2022 usmernenia na zefektívnenie a urýchlenie postupov udeľovania povolení na zavádzanie zariadení na výrobu energie z obnoviteľných zdrojov v rámci projektu Nástroja technickej podpory; keďže je potrebné prispôsobiť nástroje a štruktúry plánovania rozvoju obydlí a dopravných sietí; keďže pomalší rozvoj bývania je spôsobený jeho fragmentovanou správou, prísnymi predpismi, obmedzenými administratívnymi kapacitami, prekrývajúcimi sa pravidlami a právnymi otázkami; keďže táto neefektívnosť obmedzuje ponuku bývania a zvyšuje náklady, najmä v regiónoch s vysokým dopytom; keďže zjednodušenie postupov, zníženie nadmernej byrokracie, zaručenie vydania včasných rozhodnutí, zvýšenie právnej istoty, zaručenie vyváženého prístupu k spravodlivosti a zlepšenie správy a koordinácie medzi rôznymi aktérmi sú kľúčom k zvýšeniu konkurencieschopnosti a k urýchleniu poskytovania dôstojného, udržateľného a cenovo dostupného bývania;</w:t>
      </w:r>
    </w:p>
    <w:p w14:paraId="532D9455" w14:textId="77777777" w:rsidR="00895679" w:rsidRPr="00CC60F8" w:rsidRDefault="00895679" w:rsidP="00895679">
      <w:pPr>
        <w:pStyle w:val="NormalHanging12a"/>
      </w:pPr>
      <w:r w:rsidRPr="00CC60F8">
        <w:t>I.</w:t>
      </w:r>
      <w:r w:rsidRPr="00CC60F8">
        <w:tab/>
        <w:t xml:space="preserve">keďže čistý záber pôdy vo funkčných mestských oblastiach v EÚ predstavoval v rokoch 2012 až 2018 približne 450 km² ročne; keďže z údajov </w:t>
      </w:r>
      <w:proofErr w:type="spellStart"/>
      <w:r w:rsidRPr="00CC60F8">
        <w:t>Eurostatu</w:t>
      </w:r>
      <w:proofErr w:type="spellEnd"/>
      <w:r w:rsidRPr="00CC60F8">
        <w:t xml:space="preserve"> vyplýva ďalší nárast o 4 900 km² obytných a služobných pozemkov v rokoch 2018 až 2022; keďže podľa Európskej environmentálnej agentúry väčšina členských štátov premenila viac pôdy na mestské využitie, ako sa počas tohto obdobia znovu </w:t>
      </w:r>
      <w:proofErr w:type="spellStart"/>
      <w:r w:rsidRPr="00CC60F8">
        <w:t>sprírodnilo</w:t>
      </w:r>
      <w:proofErr w:type="spellEnd"/>
      <w:r w:rsidRPr="00CC60F8">
        <w:t xml:space="preserve">, pričom najviac postihnutá bola orná pôda (47 %) a pasienky (36 %); keďže bývanie na vidieku formujú rozsiahle a vzájomne prepojené výzvy vrátane demografických zmien, finančných prekážok, priestorových nerovností, rýchlych hospodárskych zmien a potreby energetickej a priemyselnej transformácie, ktoré narúšajú prístup poľnohospodárov, zvlášť mladých poľnohospodárov, k pôde a obmedzujú ponuku dôstojného, </w:t>
      </w:r>
      <w:r w:rsidRPr="00CC60F8">
        <w:lastRenderedPageBreak/>
        <w:t>udržateľného a cenovo dostupného bývania;</w:t>
      </w:r>
    </w:p>
    <w:p w14:paraId="16A07219" w14:textId="77777777" w:rsidR="00895679" w:rsidRPr="00CC60F8" w:rsidRDefault="00895679" w:rsidP="00895679">
      <w:pPr>
        <w:pStyle w:val="NormalHanging12a"/>
      </w:pPr>
      <w:r w:rsidRPr="00CC60F8">
        <w:t>J.</w:t>
      </w:r>
      <w:r w:rsidRPr="00CC60F8">
        <w:tab/>
        <w:t>keďže 10,6 % občanov EÚ uviedlo, že v roku 2023 nebudú môcť dostatočne vykurovať svoje domovy</w:t>
      </w:r>
      <w:r w:rsidRPr="00CC60F8">
        <w:rPr>
          <w:rStyle w:val="FootnoteReference"/>
        </w:rPr>
        <w:footnoteReference w:id="27"/>
      </w:r>
      <w:r w:rsidRPr="00CC60F8">
        <w:t>; keďže v kľúčových právnych predpisoch EÚ na dosiahnutie dlhodobej finančnej stability, ako sú smernica o energetickej hospodárnosti budov</w:t>
      </w:r>
      <w:r w:rsidRPr="00CC60F8">
        <w:rPr>
          <w:rStyle w:val="FootnoteReference"/>
        </w:rPr>
        <w:footnoteReference w:id="28"/>
      </w:r>
      <w:r w:rsidRPr="00CC60F8">
        <w:t xml:space="preserve"> a smernica o energetickej efektívnosti</w:t>
      </w:r>
      <w:r w:rsidRPr="00CC60F8">
        <w:rPr>
          <w:rStyle w:val="FootnoteReference"/>
        </w:rPr>
        <w:footnoteReference w:id="29"/>
      </w:r>
      <w:r w:rsidRPr="00CC60F8">
        <w:t>, sú stanovené technické požiadavky týkajúce sa udržateľnosti, energetickej efektívnosti a bezpečnosti; keďže v smernici o energetickej efektívnosti, ktorá bola revidovaná v roku 2023, sa zvyšuje cieľ EÚ v oblasti energetickej efektívnosti, čo si vyžaduje ďalšie zníženie spotreby energie o 11,7 % do roku 2030; keďže zlepšenie energetickej účinnosti budov predstavuje priemyselnú príležitosť, ale závislosť od komponentov mimo EÚ vedie k strategickej zraniteľnosti a strate pridanej hodnoty; keďže cieľom právnych predpisov EÚ je zaručiť kvalitné a nadčasové bývanie, no zároveň sa nimi zvyšujú náklady na výstavbu, ktoré musia v konečnom dôsledku znášať kupujúci a nájomcovia; keďže teplý a bezpečný domov by nemal byť výsadou a nemalo by sa zabudnúť na nikoho, pričom riešenia na úrovni EÚ, vnútroštátnej a miestnej úrovni by mali byť realistické;</w:t>
      </w:r>
    </w:p>
    <w:p w14:paraId="2445EE2B" w14:textId="00468A7A" w:rsidR="00895679" w:rsidRPr="00CC60F8" w:rsidRDefault="00895679" w:rsidP="00895679">
      <w:pPr>
        <w:pStyle w:val="NormalHanging12a"/>
      </w:pPr>
      <w:r w:rsidRPr="00CC60F8">
        <w:t>K.</w:t>
      </w:r>
      <w:r w:rsidRPr="00CC60F8">
        <w:tab/>
        <w:t>keďže energetická chudoba je problém, ktorý sa týka všetkých členských štátov a postihuje predovšetkým zraniteľné rodiny vrátane detí a starších ľudí, najmä vo veľkých starnúcich bytových domoch s nízkou energetickou účinnosťou, čo si vyžaduje zvýšené náklady na vykurovanie; keďže v roku 2023 žilo v EÚ 14,5 milióna detí v EÚ v obydliach, ktoré zatekali, boli vlhké alebo plesnivé, pričom v dôsledku zlej kvality vzduchu v interiéri každoročne predčasne zomiera 154 000 Európanov; keďže 75 % fondu budov v EÚ má nízke hodnotenie energetickej hospodárnosti; keďže energeticky efektívne budovy poháňané energiou z obnoviteľných zdrojov by mohli znížiť účty za energiu, zlepšiť zdravie a životné podmienky a minimalizovať dlhodobé prevádzkové náklady; keďže 40 % z celkovej spotreby energie v EÚ pripadá na budovy, keďže všetky krajiny EÚ mali do 31. decembra 2025 vypracovať návrh národného plánu obnovy budov; keďže tieto plány poskytnú základné informácie pri koncipovaní politiky bývania vrátane prehľadu vnútroštátneho fondu budov, investičných potrieb a zdrojov financovania; keďže rýchlosť a úroveň renovácie je stále neuspokojivá; keďže energeticky efektívna renovácia nie je pre starších ľudí, ktorí vlastnia najviac starých domov, atraktívna; keďže iniciatíva „vlna obnovy“ by mala podporovať energeticky efektívne obnovy zamerané na dosahovanie úrovne energetickej hospodárnosti pri primeranej nákladovej efektívnosti;</w:t>
      </w:r>
    </w:p>
    <w:p w14:paraId="29CEAD3B" w14:textId="77777777" w:rsidR="00895679" w:rsidRPr="00CC60F8" w:rsidRDefault="00895679" w:rsidP="00895679">
      <w:pPr>
        <w:pStyle w:val="NormalHanging12a"/>
        <w:rPr>
          <w:color w:val="000000"/>
        </w:rPr>
      </w:pPr>
      <w:r w:rsidRPr="00CC60F8">
        <w:t>L.</w:t>
      </w:r>
      <w:r w:rsidRPr="00CC60F8">
        <w:tab/>
        <w:t xml:space="preserve">keďže v niektorých členských štátoch môže byť bývanie neprimerane daňovo zaťažené, pričom horná hranica efektívnej sadzby dane na bývanie obývané vlastníkmi </w:t>
      </w:r>
      <w:bookmarkStart w:id="9" w:name="_Hlk221712989"/>
      <w:r w:rsidRPr="00CC60F8">
        <w:t xml:space="preserve">predstavuje v niektorých členských štátoch až 30 %, čím sa znižujú stimuly pre súkromné investície do bývania; keďže nadobudnutie pozemku môže predstavovať približne 40 % konečnej kúpnej ceny nehnuteľnosti v západnej Európe a až 60 % konečnej kúpnej ceny v najviac obývaných oblastiach; keďže takto vysoké miery </w:t>
      </w:r>
      <w:r w:rsidRPr="00CC60F8">
        <w:lastRenderedPageBreak/>
        <w:t>zdanenia odrádzajú najmä mladé rodiny od kúpy prvého bývania, čo len prehlbuje demografické problémy; keďže reformy zdaňovania nehnuteľností môžu zvýšiť jeho efektivitu, podporiť finančnú stabilitu a znížiť deformácie na trhoch s bývaním</w:t>
      </w:r>
      <w:r w:rsidRPr="00CC60F8">
        <w:rPr>
          <w:rStyle w:val="FootnoteReference"/>
        </w:rPr>
        <w:footnoteReference w:id="30"/>
      </w:r>
      <w:r w:rsidRPr="00CC60F8">
        <w:t>; keďže vyvážené daňové stimuly, napríklad znížené dane pre kupujúcich, ktorí si kupujú bývanie po prvýkrát, by mohli pomôcť zlepšiť dostupnosť bývania; keďže zníženie daňového zaťaženia dôstojného, udržateľného a cenovo dostupného bývania môže zlepšiť prístup rodín ku kvalitnému bývaniu;</w:t>
      </w:r>
    </w:p>
    <w:p w14:paraId="78D88074" w14:textId="4158184E" w:rsidR="00895679" w:rsidRPr="00CC60F8" w:rsidRDefault="00895679" w:rsidP="00895679">
      <w:pPr>
        <w:pStyle w:val="NormalHanging12a"/>
      </w:pPr>
      <w:r w:rsidRPr="00CC60F8">
        <w:t>M.</w:t>
      </w:r>
      <w:r w:rsidRPr="00CC60F8">
        <w:tab/>
        <w:t xml:space="preserve">keďže stavebný sektor tvorí približne 9 % HDP v EÚ; keďže náklady na výstavbu sa od roku 2021 výrazne zvýšili po pandémii </w:t>
      </w:r>
      <w:r w:rsidR="006452A4" w:rsidRPr="00CC60F8">
        <w:t xml:space="preserve">ochorenia </w:t>
      </w:r>
      <w:r w:rsidRPr="00CC60F8">
        <w:t>COVID-19</w:t>
      </w:r>
      <w:r w:rsidRPr="00CC60F8">
        <w:rPr>
          <w:rStyle w:val="FootnoteReference"/>
        </w:rPr>
        <w:footnoteReference w:id="31"/>
      </w:r>
      <w:r w:rsidRPr="00CC60F8">
        <w:t xml:space="preserve">, ktorá zasiahla viaceré hospodárske odvetvia vrátane stavebníctva, a neskôr aj v dôsledku ruskej agresívnej vojny na Ukrajine, ktorá spôsobila narušenie dodávateľských reťazcov s materiálmi na stavbu a rekonštrukciu budov, zvýšila ceny energií a stavebných materiálov a viedla k nedostatku pracovných síl a k rastu úrokových sadzieb; keďže prudký nárast nákladov na stavebné materiály a energie je akútny najmä vo vzdialených a najvzdialenejších regiónoch a na ostrovoch; </w:t>
      </w:r>
    </w:p>
    <w:p w14:paraId="24C4E20C" w14:textId="77777777" w:rsidR="00895679" w:rsidRPr="00CC60F8" w:rsidRDefault="00895679" w:rsidP="00895679">
      <w:pPr>
        <w:pStyle w:val="NormalHanging12a"/>
      </w:pPr>
      <w:r w:rsidRPr="00CC60F8">
        <w:t>N.</w:t>
      </w:r>
      <w:r w:rsidRPr="00CC60F8">
        <w:tab/>
        <w:t xml:space="preserve">keďže napriek určitému oživeniu bola stavebná produkcia v roku 2019 stále o 8,3 % nižšia ako v roku 2007; keďže produktivitu, efektivitu a nákladovú efektívnosť možno okrem iného zvýšiť aj digitalizáciou a zjednodušením vydávania povolení na jednom mieste, zlepšením administratívnych postupov, robotizáciou, využitím umelej inteligencie, modulárnymi stavebnými metódami a výstavbou mimo staveniska, opätovným použitím stavebných materiálov a sériovou a priemyselnou výstavbou; keďže technológie by mali zlepšovať bezpečnosť a pracovné podmienky v </w:t>
      </w:r>
      <w:bookmarkEnd w:id="9"/>
      <w:r w:rsidRPr="00CC60F8">
        <w:t>odvetví stavebníctva vrátane zdravotných a bezpečnostných noriem a zároveň prispievať k environmentálnej a sociálnej udržateľnosti; keďže samotná priemyselná prefabrikácia môže skrátiť čas výstavby o 20 až 50 % a priniesť významné úspory energie a nákladov, pričom inovatívne postupy môžu zasa pomôcť zmierniť neefektívne využívanie mestských priestorov; keďže v stavebnom sektore EÚ existuje inovačná priepasť, keďže len 6,5 % spoločností je lídrom na trhu v oblasti inovácií, zatiaľ čo 75,9 % stavebných spoločností v Európe neinovuje</w:t>
      </w:r>
      <w:r w:rsidRPr="00CC60F8">
        <w:rPr>
          <w:rStyle w:val="FootnoteReference"/>
        </w:rPr>
        <w:footnoteReference w:id="32"/>
      </w:r>
      <w:r w:rsidRPr="00CC60F8">
        <w:t>; keďže EÚ by mala podporovať celoplošné zavádzanie technológií, ktoré zvyšujú energetickú efektívnosť bytového fondu;</w:t>
      </w:r>
    </w:p>
    <w:p w14:paraId="30209C3C" w14:textId="77777777" w:rsidR="00895679" w:rsidRPr="00CC60F8" w:rsidRDefault="00895679" w:rsidP="00895679">
      <w:pPr>
        <w:pStyle w:val="NormalHanging12a"/>
      </w:pPr>
      <w:r w:rsidRPr="00CC60F8">
        <w:t>O.</w:t>
      </w:r>
      <w:r w:rsidRPr="00CC60F8">
        <w:tab/>
        <w:t>keďže v roku 2023 bolo 69,2 % domácností v EÚ obývaných ich vlastníkmi</w:t>
      </w:r>
      <w:r w:rsidRPr="00CC60F8">
        <w:rPr>
          <w:rStyle w:val="FootnoteReference"/>
        </w:rPr>
        <w:footnoteReference w:id="33"/>
      </w:r>
      <w:r w:rsidRPr="00CC60F8">
        <w:t xml:space="preserve">, čo </w:t>
      </w:r>
      <w:r w:rsidRPr="00CC60F8">
        <w:lastRenderedPageBreak/>
        <w:t>odráža význam vlastníctva nehnuteľností ako hnacej sily stability, medzigeneračného bohatstva a slobody v investovaní; keďže polovica vlastníkov nehnuteľností v EÚ nespláca hypotéku a približne štvrtina iných žije stále na hranici chudoby</w:t>
      </w:r>
      <w:r w:rsidRPr="00CC60F8">
        <w:rPr>
          <w:rStyle w:val="FootnoteReference"/>
        </w:rPr>
        <w:footnoteReference w:id="34"/>
      </w:r>
      <w:r w:rsidRPr="00CC60F8">
        <w:t xml:space="preserve">; keďže vlastníctvo nehnuteľností poskytuje rodinám a dôchodcom dodatočnú finančnú stabilitu; keďže nerešpektovanie majetku sa dotýka komunít a malých vlastníkov nehnuteľností, najmä v prípadoch nezákonného obsadenia alebo dlhodobého zneužívania obydlia v rámci zmluvných vzťahov, ktoré nie sú účinne vymáhateľné; keďže súkromné vlastníctvo je ohrozované nelegálnym bývaním (tzv. </w:t>
      </w:r>
      <w:proofErr w:type="spellStart"/>
      <w:r w:rsidRPr="00CC60F8">
        <w:rPr>
          <w:i/>
          <w:iCs/>
        </w:rPr>
        <w:t>squatting</w:t>
      </w:r>
      <w:proofErr w:type="spellEnd"/>
      <w:r w:rsidRPr="00CC60F8">
        <w:t>) a prípadmi systematického neplatenia nájomného, čo poškodzuje komunity, a najmä malých vlastníkov nehnuteľností, ktorí tak musia odísť z trhu, aby oprávnene získali späť svoj majetok, čím sa znižuje ponuka a zvyšujú ceny, keďže neoprávnený pobyt na cudzom majetku je v rozpore s chartou EÚ a porušuje zásady právneho štátu; keďže členské štáty EÚ a verejné orgány nesú zodpovednosť za riešenie práv vlastníkov a za poskytovanie podpory zvlášť malým vlastníkom, rodinám a zraniteľným domácnostiam;</w:t>
      </w:r>
    </w:p>
    <w:p w14:paraId="6E167446" w14:textId="77777777" w:rsidR="00895679" w:rsidRPr="00CC60F8" w:rsidRDefault="00895679" w:rsidP="00895679">
      <w:pPr>
        <w:pStyle w:val="Normal6a"/>
        <w:ind w:left="567" w:hanging="567"/>
      </w:pPr>
      <w:r w:rsidRPr="00CC60F8">
        <w:t>P.</w:t>
      </w:r>
      <w:r w:rsidRPr="00CC60F8">
        <w:tab/>
        <w:t xml:space="preserve">keďže tretina obyvateľstva EÚ sú nájomníci, z ktorých mnohí nemajú primerané bývanie; keďže tento fakt iba podčiarkuje nevyhnutnosť existencie systémov bývania odolným voči krízam, </w:t>
      </w:r>
      <w:r w:rsidRPr="00CC60F8">
        <w:rPr>
          <w:sz w:val="22"/>
        </w:rPr>
        <w:t xml:space="preserve">ako je </w:t>
      </w:r>
      <w:r w:rsidRPr="00CC60F8">
        <w:t>nájomné, sociálne a družstevné bývanie; keďže existujú rôzne modely, ktoré zaručujú rovnováhu medzi ochranou vlastníkov nehnuteľností a nájomníkov; keďže nútené vysťahovanie je definované ako trvalé alebo dočasné vyhostenie jednotlivcov, rodín alebo komunít z domov alebo pozemkov, ktoré obývajú, proti ich vôli a bez poskytnutia či prístupu k primeraným formám právne alebo inej ochrany; keďže členské štáty, regionálne a miestne orgány nesú primárnu zodpovednosť za poskytovanie pomoci pri bývaní zraniteľným domácnostiam, a to najmä v prípadoch vysťahovania; keďže bezpečné a stabilné bývanie, či už vo vlastníctve alebo v prenájme, je nevyhnutné pre blahobyt jednotlivca a spoločenstva; keďže je potrebné rozvíjať a podporovať mechanizmy reprezentácie nájomcov a spoločenstiev; keďže nedostatočná ochrana nájomcov a zraniteľných domácností narúša sociálnu súdržnosť, rovnosť a stabilitu;</w:t>
      </w:r>
    </w:p>
    <w:p w14:paraId="6E779065" w14:textId="77777777" w:rsidR="00895679" w:rsidRPr="00CC60F8" w:rsidRDefault="00895679" w:rsidP="00895679">
      <w:pPr>
        <w:pStyle w:val="NormalHanging12a"/>
      </w:pPr>
      <w:r w:rsidRPr="00CC60F8">
        <w:t>Q.</w:t>
      </w:r>
      <w:r w:rsidRPr="00CC60F8">
        <w:tab/>
        <w:t>keďže spoločnosti v sektore stavebníctva a obnovy hlásili nedostatok kvalifikovaných pracovníkov</w:t>
      </w:r>
      <w:r w:rsidRPr="00CC60F8">
        <w:rPr>
          <w:rStyle w:val="FootnoteReference"/>
        </w:rPr>
        <w:footnoteReference w:id="35"/>
      </w:r>
      <w:r w:rsidRPr="00CC60F8">
        <w:t xml:space="preserve">; keďže pracovníci v stavebníctve patria medzi päť hlavných profesijných skupín, ktoré v Európe čelia nedostatku pracovných síl; keďže odvetvie stavebníctva, ktoré tvorí 18 miliónov priamych pracovných miest, je kľúčovým motorom hospodárskeho rastu v EÚ a politiky zamestnanosti; keďže z údajov nadácie </w:t>
      </w:r>
      <w:proofErr w:type="spellStart"/>
      <w:r w:rsidRPr="00CC60F8">
        <w:t>Eurofound</w:t>
      </w:r>
      <w:proofErr w:type="spellEnd"/>
      <w:r w:rsidRPr="00CC60F8">
        <w:rPr>
          <w:rStyle w:val="FootnoteReference"/>
        </w:rPr>
        <w:footnoteReference w:id="36"/>
      </w:r>
      <w:r w:rsidRPr="00CC60F8">
        <w:t xml:space="preserve"> vyplýva, že kvalita pracovných miest je dôležitým faktorom, ktorý môže prilákať väčší počet pracovníkov do odvetvia stavebníctva a že nedostatok pracovnej sily je spôsobený neľahkými pracovnými podmienkami a relatívne vysokou mierou </w:t>
      </w:r>
      <w:r w:rsidRPr="00CC60F8">
        <w:lastRenderedPageBreak/>
        <w:t>dočasných zamestnancov a samostatne zárobkovo činných osôb a sprevádzaný dlhými subdodávateľskými reťazcami a cyklickou a projektovou povahou zamestnanosti v tomto odvetví; keďže riešenie týchto nedostatkov si vyžaduje investície do odborného vzdelávania a odbornej prípravy, učňovského a celoživotného vzdelávania, ako aj zabezpečenie atraktívnosti pracovných miest v tomto odvetví prostredníctvom spravodlivých zmlúv, dôstojných miezd a stabilných pracovných podmienok; keďže lepšie pracovné podmienky, prísnejšie zdravotné a bezpečnostné normy či iné stimuly sú nevyhnutné na ochranu zamestnancov v tomto vysoko rizikovom odvetví, na to, aby sa stavebníctvo stalo udržateľnou a vyhľadávanou kariérnou dráhou, na zaručenie dlhodobej ponuky kvalitného bytového fondu, ako aj na zvýšenie konkurencieschopnosti a množstva inovácií v európskom odvetví stavebníctva;</w:t>
      </w:r>
    </w:p>
    <w:p w14:paraId="7BEB7357" w14:textId="77777777" w:rsidR="00895679" w:rsidRPr="00CC60F8" w:rsidRDefault="00895679" w:rsidP="00895679">
      <w:pPr>
        <w:pStyle w:val="NormalHanging12a"/>
        <w:rPr>
          <w:bCs/>
          <w:iCs/>
        </w:rPr>
      </w:pPr>
      <w:r w:rsidRPr="00CC60F8">
        <w:t>R.</w:t>
      </w:r>
      <w:r w:rsidRPr="00CC60F8">
        <w:tab/>
        <w:t>keďže kríza v oblasti bývania je hlavnou prekážkou prilákania a udržania talentov v členských štátoch; keďže pracovní migranti a sezónni pracovníci sú prínosom pre kľúčové odvetvia v EÚ, no mnohí z nich bývajú v preplnených alebo nevyhovujúcich ubytovacích zariadeniach; keďže vo viacerých mestských oblastiach EÚ môže koncentrácia pracovných migrantov a sezónnych pracovníkov v konkrétnych štvrtiach, ktoré už čelia sociálno-ekonomickým problémom, viesť k priestorovej segregácii, zlým podmienkam bývania a sociálnemu napätiu; keďže Európsky orgán práce označil za najzávažnejšie porušenia v tomto odvetví zakladanie schránkových firiem, nedodržiavanie pracovných podmienok, fiktívnu samostatnú zárobkovú činnosť, podvodné zápisy do systému sociálneho zabezpečenia a zneužívanie vysielania štátnych príslušníkov tretích krajín; keďže zodpovednosť súkromného sektora za ukončenie takýchto praktík musí byť jasne definovaná; keďže sociálni partneri v stavebníctve by mali naďalej zohrávať aktívnu úlohu v boji proti nedeklarovanej práci;</w:t>
      </w:r>
    </w:p>
    <w:p w14:paraId="12B4CC2A" w14:textId="77777777" w:rsidR="00895679" w:rsidRPr="00CC60F8" w:rsidRDefault="00895679" w:rsidP="00895679">
      <w:pPr>
        <w:pStyle w:val="NormalHanging12a"/>
        <w:rPr>
          <w:bCs/>
          <w:iCs/>
        </w:rPr>
      </w:pPr>
      <w:r w:rsidRPr="00CC60F8">
        <w:t>S.</w:t>
      </w:r>
      <w:r w:rsidRPr="00CC60F8">
        <w:tab/>
        <w:t>keďže v roku 2019 pôsobilo v odvetví stavebníctva v EÚ približne 3,4 milióna firiem</w:t>
      </w:r>
      <w:r w:rsidRPr="00CC60F8">
        <w:rPr>
          <w:rStyle w:val="FootnoteReference"/>
          <w:bCs/>
          <w:iCs/>
        </w:rPr>
        <w:footnoteReference w:id="37"/>
      </w:r>
      <w:r w:rsidRPr="00CC60F8">
        <w:t>, väčšina z nich boli malé a stredné podniky (MSP)</w:t>
      </w:r>
      <w:r w:rsidRPr="00CC60F8">
        <w:rPr>
          <w:rStyle w:val="FootnoteReference"/>
          <w:bCs/>
          <w:iCs/>
        </w:rPr>
        <w:footnoteReference w:id="38"/>
      </w:r>
      <w:r w:rsidRPr="00CC60F8">
        <w:t xml:space="preserve">, ktoré vyprodukovali pridanú hodnotu v hodnote 549 miliárd EUR a zamestnávali 12,7 milióna ľudí; keďže samostatne zárobkovo činné osoby, </w:t>
      </w:r>
      <w:proofErr w:type="spellStart"/>
      <w:r w:rsidRPr="00CC60F8">
        <w:t>mikropodniky</w:t>
      </w:r>
      <w:proofErr w:type="spellEnd"/>
      <w:r w:rsidRPr="00CC60F8">
        <w:t xml:space="preserve"> a MSP tvoria hlavnú pracovnú silu v tomto odvetví a sú kľúčom k jeho konkurencieschopnosti, a preto si vyžadujú podporné a stabilné regulačné a investičné prostredie; keďže v odvetví činností súvisiacich s nehnuteľnosťami bolo v roku 2022 zamestnaných 2,7 milióna osôb, čo predstavuje 1,7 % všetkých pracovných miest v podnikovom hospodárstve EÚ a potrebovalo by lepší prístup k úverom a iným nástrojom finančnej podpory; keďže podpora súkromného sektora, či už vnútroštátna alebo podpora EÚ, by mala byť zameraná na stimulovanie účasti MSP, ako aj väčších subjektov, čím by sa prispelo k zdravému a konkurencieschopnému sektoru stavebníctva a k diverzifikácii veľkosti a typov bytových projektov;</w:t>
      </w:r>
    </w:p>
    <w:p w14:paraId="3D092EF7" w14:textId="77777777" w:rsidR="00895679" w:rsidRPr="00CC60F8" w:rsidRDefault="00895679" w:rsidP="00895679">
      <w:pPr>
        <w:pStyle w:val="NormalHanging12a"/>
        <w:rPr>
          <w:bCs/>
          <w:iCs/>
        </w:rPr>
      </w:pPr>
      <w:r w:rsidRPr="00CC60F8">
        <w:t>T.</w:t>
      </w:r>
      <w:r w:rsidRPr="00CC60F8">
        <w:tab/>
        <w:t xml:space="preserve">keďže cestovný ruch je pre EÚ dôležitou hnacou silou hospodárstva, keďže sa podieľa 10 % na hrubom domácom produkte EÚ a významne ovplyvňuje rast, zamestnanosť a sociálny rozvoj, čo z neho robí prínos pri riešení hospodárskych poklesov a nezamestnanosti; keďže žiadne z navrhovaných opatrení alebo krokov by nemalo prispievať k negatívnym pohľadom na cestovný ruch či od neho odrádzať; keďže </w:t>
      </w:r>
      <w:r w:rsidRPr="00CC60F8">
        <w:lastRenderedPageBreak/>
        <w:t>systémy krátkodobého prenájmu, od celých domov až po jednotlivé izby, môžu pozitívne prispieť k miestnym ekonomikám, pomôcť riešiť problém vyľudňovania prostredníctvom podpory vidieckeho cestovného ruchu, podporiť zachovanie starých nehnuteľností a poskytnúť ďalší zdroj príjmov pre vlastníkov a nájomcov; keďže využívanie obytných nehnuteľností na účely cestovného ruchu môže tiež vytvárať dodatočné príjmy pre rodiny, podporovať ich ekonomickú nezávislosť a slúžiť ako zdroj financovania energeticky účinnej obnovy budov; keďže ale z dôkazov vyplýva, že trh s krátkodobými prenájmami je čoraz viac profesionalizovaný a koncentrovaný a siaha od malých vlastníkov nehnuteľností až po investorov s viacerými nehnuteľnosťami; keďže štúdie preukázali, že v niektorých štvrtiach Barcelony, Paríža a Ríma tvorí bývanie v krátkodobých prenájmoch od 17 % do 25 % všetkých bytových jednotiek; keďže v roku 2024 strávili hostia v krátkodobých prenájmoch v EÚ 854,1 milióna nocí, čo v porovnaní s rokom 2023 predstavuje nárast o 18,8 %; keďže nárast bývania v krátkodobom prenájme, ako aj stále častejší odklon od dlhodobého bývania môžu byť na úkor rezidenčného bývania, zvlášť v regiónoch s intenzívnym cestovným ruchom, ako sú veľké mestá a pobrežné, ostrovné či najvzdialenejšie regióny; keďže na prijatie rozumných opatrení v prípade rozširovania krátkodobých prenájmov treba viac empirických štúdií; keďže vzhľadom na rôznorodosť povahy miestnych realít, ako aj na počet obcí a miestnych územných celkov v EÚ je potrebné prijímať rôzne riešenia; keďže neúplný a nekonzistentný právny rámec EÚ týkajúci sa krátkodobých prenájmov oslabuje vynucovanie jeho dodržiavania; keďže regióny a mestá potrebujú nástroje, aby mohli riešiť právnu neistotu; keďže reguláciu tejto činnosti, ak je potrebná, je lepšie vykonávať na úrovni bližšie k občanovi, ako to prikazuje zásada subsidiarity a zaručiť tak súlad s judikatúrou EÚ;</w:t>
      </w:r>
    </w:p>
    <w:p w14:paraId="245B8D0E" w14:textId="77777777" w:rsidR="00895679" w:rsidRPr="00CC60F8" w:rsidRDefault="00895679" w:rsidP="00895679">
      <w:pPr>
        <w:pStyle w:val="NormalHanging12a"/>
        <w:rPr>
          <w:bCs/>
          <w:iCs/>
        </w:rPr>
      </w:pPr>
      <w:r w:rsidRPr="00CC60F8">
        <w:t>U.</w:t>
      </w:r>
      <w:r w:rsidRPr="00CC60F8">
        <w:tab/>
        <w:t>keďže prístup k financovaniu bývania je nevyhnutný na uspokojenie potrieb v oblasti bývania, ako aj na podporu výstavby, obnovy a zmeny účelu, zvlášť pokiaľ ide o 3,8 milióna MSP, ktoré podnikajú v odvetví stavebníctva EÚ; keďže súčasťou vyváženej reakcie na krízu v oblasti bývania by malo byť aj zlepšenie prístupu k úverom bez toho, aby sa to dotklo makroekonomickej obozretnosti;</w:t>
      </w:r>
      <w:r w:rsidRPr="00CC60F8">
        <w:rPr>
          <w:rFonts w:ascii="Segoe UI" w:hAnsi="Segoe UI"/>
          <w:sz w:val="18"/>
        </w:rPr>
        <w:t xml:space="preserve"> </w:t>
      </w:r>
      <w:r w:rsidRPr="00CC60F8">
        <w:t xml:space="preserve">keďže prístup k úverom na výstavbu sa od roku 2008 výrazne obmedzil, pričom banky hlásia klesajúci dopyt po úveroch v celej EÚ pre stúpajúce miery úrokových sadzieb, čo obmedzuje rozvoj dostupného bývania a udržateľnú obnovu existujúceho fondu; keďže celý </w:t>
      </w:r>
      <w:proofErr w:type="spellStart"/>
      <w:r w:rsidRPr="00CC60F8">
        <w:t>prudenciálny</w:t>
      </w:r>
      <w:proofErr w:type="spellEnd"/>
      <w:r w:rsidRPr="00CC60F8">
        <w:t xml:space="preserve"> rámec by mal byť zameraný predovšetkým na zabezpečenie finančnej stability, zameranie sa na zdravé bankové kritériá a predchádzanie bublinám na trhu s bývaním; keďže súkromní developeri môžu zohrávať dôležitú úlohu, aby efektívne, udržateľne a za cenu, ktorú si ľudia môžu dovoliť, poskytovali rôzne riešenia bývania; keďže práve preto by mohlo pomôcť prilákanie investícií zo súkromného sektora; keďže obnova, prestavba a rozšírenie existujúceho bytového fondu je nákladovo efektívnym a rýchlym riešením krízy bývania; keďže podľa Európskej centrálnej banky sa za posledných 15 rokov zvýšili rozdiely v prístupe na trh s nehnuteľnosťami určenými na bývanie, pričom domácnosti s nízkymi a strednými príjmami majú viac problémov získať úver na nákup nehnuteľností na bývanie; keďže prístup k úverom na kúpu bývania môže byť náročný, zvlášť pre mladé rodiny a vo vidieckych oblastiach, preto treba umožniť prístup k dlhodobému a dostupnému financovaniu; keďže regulácia hypotekárnych trhov môže zohrávať kľúčovú úlohu pri podpore dostupnosti bývania; keďže vzťah medzi realitnými trastmi a fondmi, bankami a inými inštitucionálnymi investormi môže ohroziť finančnú stabilitu; keďže takéto prepojenia by mali podliehať transparentnému podávaniu správ;</w:t>
      </w:r>
    </w:p>
    <w:p w14:paraId="673F04F6" w14:textId="77777777" w:rsidR="00895679" w:rsidRPr="00CC60F8" w:rsidRDefault="00895679" w:rsidP="00895679">
      <w:pPr>
        <w:pStyle w:val="NormalHanging12a"/>
        <w:rPr>
          <w:bCs/>
          <w:iCs/>
        </w:rPr>
      </w:pPr>
      <w:r w:rsidRPr="00CC60F8">
        <w:t>V.</w:t>
      </w:r>
      <w:r w:rsidRPr="00CC60F8">
        <w:tab/>
        <w:t xml:space="preserve">keďže sociálne a cenovo dostupné bývanie financujú štátne, miestne a regionálne </w:t>
      </w:r>
      <w:r w:rsidRPr="00CC60F8">
        <w:lastRenderedPageBreak/>
        <w:t>orgány, pričom EÚ zohráva kľúčovú úlohu prostredníctvom nástrojov financovania a uľahčovania spolupráce a výmeny najlepších postupov medzi členskými štátmi a mestami; keďže investície do sociálneho a cenovo dostupného bytového fondu sa od finančnej kríze v roku 2008 dramaticky znížili; keďže podiel verejného, družstevného a sociálneho bývania neustále klesá; keďže na sociálne bývanie a inú sociálnu infraštruktúru sa v roku 2024 vynaložilo iba 7 % prostriedkov z Mechanizmu EÚ na podporu obnovy a odolnosti; keďže pri vykonávaní Mechanizmu na podporu obnovy a odolnosti chýbala transparentnosť a jasnosť pri definovaní a monitorovaní kritérií na vnútroštátnej úrovni; keďže národné podporné banky a inštitúcie (NPBI) zohrávajú zásadnú úlohu pri financovaní dôstojného, cenovo dostupného a udržateľného bývania, získavaní súkromných investícií a pri posilňovaní finančného rámca na vnútroštátnej a regionálnej úrovni; keďže NPBI podporili viac ako 380 000 bytov v celej EÚ a len do roku 2023 vyčlenili takmer 50 miliárd EUR na financovanie sektora bývania, čím svojimi dlhoročnými odbornými znalosťami a skúsenosťami výrazne dopĺňajú iniciatívy na úrovni EÚ; keďže by sa mal zaručiť prístup k programom sociálneho bývania pre najzraniteľnejšie skupiny;</w:t>
      </w:r>
    </w:p>
    <w:p w14:paraId="77AE3804" w14:textId="77777777" w:rsidR="00895679" w:rsidRPr="00CC60F8" w:rsidRDefault="00895679" w:rsidP="00895679">
      <w:pPr>
        <w:pStyle w:val="NormalHanging12a"/>
        <w:rPr>
          <w:bCs/>
          <w:iCs/>
        </w:rPr>
      </w:pPr>
      <w:r w:rsidRPr="00CC60F8">
        <w:t>W.</w:t>
      </w:r>
      <w:r w:rsidRPr="00CC60F8">
        <w:tab/>
        <w:t>keďže skupina Európskej investičnej banky (EIB) spustila v júni 2025 svoj prvý akčný plán pre dostupné bývanie; keďže akčný plán EIB zahŕňa finančné nástroje, ako je dlhové financovanie, sprostredkované úvery, vlastný kapitál a poradenské služby, pričom EIB si naďalej zachováva štatút investičnej banky a rating AAA; keďže EIB zdôrazňuje, že jedným z hlavných problémov krízy v oblasti bývania je nedostatočná ponuka spôsobená kombináciou viacerých faktorov, ktorá ovplyvňuje sociálnu súdržnosť a konkurencieschopnosť EÚ a ktorá sa môže líšiť v závislosti od daného miesta; keďže skupina EIB má svoj prístup postavený na hlavných prioritách, ako sú cenovo dostupné bývanie, inovatívne bývanie či renovácie, čím znižuje náklady domácností a zlepšuje dlhodobú energetickú bezpečnosť; keďže je aj naďalej potrebné, aby EIB zlepšila transparentnosť a jasnosť v oblasti existujúcej finančnej podpory bývania vrátane druhov nástrojov, finančných podmienok, kritérií oprávnenosti, požiadaviek na spolufinancovanie, harmonogramov, záruk a flexibilných pravidiel v osobitných prípadoch a oblastiach, ako sú vidiecke oblasti, ostrovy či najvzdialenejšie regióny; keďže nedostatok jasných informácií a mechanizmov sťažuje prístup regiónov a obcí, spôsobuje prieťahy a len zhoršuje krízu bývania;</w:t>
      </w:r>
    </w:p>
    <w:p w14:paraId="71A7EBCF" w14:textId="77777777" w:rsidR="00895679" w:rsidRPr="00CC60F8" w:rsidRDefault="00895679" w:rsidP="00895679">
      <w:pPr>
        <w:suppressAutoHyphens/>
        <w:autoSpaceDN w:val="0"/>
        <w:spacing w:after="120"/>
        <w:ind w:left="567" w:hanging="567"/>
        <w:textAlignment w:val="baseline"/>
        <w:rPr>
          <w:bCs/>
          <w:iCs/>
        </w:rPr>
      </w:pPr>
      <w:r w:rsidRPr="00CC60F8">
        <w:t>X.</w:t>
      </w:r>
      <w:r w:rsidRPr="00CC60F8">
        <w:tab/>
        <w:t xml:space="preserve">keďže návrh Komisie na strednodobé preskúmanie kohéznych fondov zahŕňa možnosť zdvojnásobenia finančných prostriedkov určených na dostupné bývanie a zároveň členským štátom umožňuje dobrovoľne prerozdeliť časť svojich súčasných programov financovania; keďže Európsky dvor audítorov zdôraznil, že tento návrh neobsahuje žiadny odkaz na analýzu nedostatkov, ktorá by určila, kde je zásah EÚ najviac potrebný; keďže podpora EÚ vo výške 7,5 miliardy EUR pridelených na bývanie z kohéznych fondov predstavuje približne 2 % celkovej finančnej podpory na politiku súdržnosti (379 miliárd EUR) na obdobie 2021 – 2027; keďže podľa Komisie členské štáty rozhodnú o sumách, ktoré sa majú vynaložiť na výdavky súvisiace s bývaním a súdržnosťou, vo svojich plánoch národného a regionálneho partnerstva; keďže to môže oslabiť ich schopnosť ťažiť z kohéznych fondov a inovatívnych projektov cenovo dostupného bývania; keďže Komisia a členské štáty by mali prijať viacročné politiky zamerané na vytvorenie vnútroštátneho fondu cenovo dostupného a udržateľného bývania, ako aj na podporu renovácií, ktoré znižujú náklady domácností; keďže finančné prostriedky z politiky súdržnosti by sa mali používať strategicky a na základe efektívnych a transparentných postupov, ktoré rešpektujú práva pracovníkov, a kolektívne zmluvy v záujme zaručenia spravodlivej hospodárskej súťaže; keďže </w:t>
      </w:r>
      <w:r w:rsidRPr="00CC60F8">
        <w:lastRenderedPageBreak/>
        <w:t>súčasnú krízu v oblasti bývania nedokáže vyriešiť politika súdržnosti samotná, pretože podľa ekonomickej analýzy vypracovanej pre správu EIB za roky 2024 – 2025 sa nedostatok investícií do cenovo dostupného bývania odhaduje na 270 miliárd EUR ročne; keďže verejné finančné prostriedky sa môžu doplniť prilákaním súkromných investícií; keďže z prerozdelenia nevyčerpaných finančných prostriedkov z Fondu na spravodlivú transformáciu by bolo možné podporiť výstavbu bývania, preto Komisia vyzvala členské štáty, aby nevyčerpané finančné prostriedky využili na cenovo dostupné, udržateľné a dôstojné bývanie;</w:t>
      </w:r>
    </w:p>
    <w:p w14:paraId="520E55DD" w14:textId="77777777" w:rsidR="00895679" w:rsidRPr="00CC60F8" w:rsidRDefault="00895679" w:rsidP="00895679">
      <w:pPr>
        <w:pStyle w:val="NormalHanging12a"/>
        <w:rPr>
          <w:bCs/>
          <w:iCs/>
        </w:rPr>
      </w:pPr>
      <w:r w:rsidRPr="00CC60F8">
        <w:t>Y.</w:t>
      </w:r>
      <w:r w:rsidRPr="00CC60F8">
        <w:tab/>
        <w:t>keďže kríza bývania, ktorej čelia milióny občanov v EÚ, obzvlášť tvrdo zasahuje mladých ľudí; keďže v roku 2023 mladí ľudia v celej EÚ opustili rodičovský domov v priemere vo veku 26,3 rokov</w:t>
      </w:r>
      <w:r w:rsidRPr="00CC60F8">
        <w:rPr>
          <w:rStyle w:val="FootnoteReference"/>
          <w:bCs/>
          <w:iCs/>
        </w:rPr>
        <w:footnoteReference w:id="39"/>
      </w:r>
      <w:r w:rsidRPr="00CC60F8">
        <w:t>, pričom v niektorých členských štátoch takmer 70 % mladých dospelých vo veku 18 – 34 rokov nemalo inú možnosť ako naďalej žiť s rodičmi</w:t>
      </w:r>
      <w:r w:rsidRPr="00CC60F8">
        <w:rPr>
          <w:rStyle w:val="FootnoteReference"/>
          <w:bCs/>
          <w:iCs/>
        </w:rPr>
        <w:footnoteReference w:id="40"/>
      </w:r>
      <w:r w:rsidRPr="00CC60F8">
        <w:t>; keďže v roku 2024 takmer polovica (49,1 %) všetkých mladých dospelých vo veku od 18 do 34 rokov v EÚ žila aspoň s jedným rodičom alebo prispievala na príjem domácnosti či využívala jeho výhody; keďže v roku 2024 necelá polovica (47,2 %) mladých dospelých v EÚ, ktorí žili aspoň s jedným rodičom alebo prispievali na príjem domácnosti, prípadne využívali jeho výhody, študovala študenti alebo z iných dôvodov nemohla byť súčasťou pracovnej sily</w:t>
      </w:r>
      <w:r w:rsidRPr="00CC60F8">
        <w:rPr>
          <w:rStyle w:val="FootnoteReference"/>
          <w:bCs/>
          <w:iCs/>
        </w:rPr>
        <w:footnoteReference w:id="41"/>
      </w:r>
      <w:r w:rsidRPr="00CC60F8">
        <w:t>; keďže neskorší odchod z rodinného domu bráni mladším generáciám začať viesť vlastný život a mnohých ľudí núti odložiť životne dôležité rozhodnutia, ako sú založenie rodiny, vlastný život alebo presťahovať sa za prácou a začať svoju profesionálnu kariéru; keďže prístup k bývaniu pre mladých ľudí je prvým krokom, ktorý im umožní osamostatniť sa a napĺňať svoje túžby a ciele; keďže bývanie má priamy vplyv na demografický vývoj; keďže 40,7 % celkovej populácie študentov v EÚ žije mimo rodičovského domu, pričom len 38 % z nich býva v študentských ubytovacích zariadeniach, ktoré spravujú univerzity, verejné subjekty alebo akreditovaní prevádzkovatelia</w:t>
      </w:r>
      <w:r w:rsidRPr="00CC60F8">
        <w:rPr>
          <w:rStyle w:val="FootnoteReference"/>
          <w:bCs/>
          <w:iCs/>
        </w:rPr>
        <w:footnoteReference w:id="42"/>
      </w:r>
      <w:r w:rsidRPr="00CC60F8">
        <w:t>; keďže táto situácia poukazuje na štrukturálny nedostatok približne 4,8 milióna lôžok v celej EÚ</w:t>
      </w:r>
      <w:r w:rsidRPr="00CC60F8">
        <w:rPr>
          <w:rStyle w:val="FootnoteReference"/>
          <w:bCs/>
          <w:iCs/>
        </w:rPr>
        <w:footnoteReference w:id="43"/>
      </w:r>
      <w:r w:rsidRPr="00CC60F8">
        <w:t>, čo zdôrazňuje naliehavú potrebu koordinovaných európskych, celoštátnych a miestnych opatrení na rozšírenie a zlepšenie dostupného a kvalitného bývania pre študentov; keďže vysoké náklady na bývanie a nedostatok dôstojných, udržateľných a cenovo dostupných prenájmov a štartovacích domov prehĺbili generačnú nerovnosť;</w:t>
      </w:r>
    </w:p>
    <w:p w14:paraId="0B00EE42" w14:textId="77777777" w:rsidR="00895679" w:rsidRPr="00CC60F8" w:rsidRDefault="00895679" w:rsidP="00895679">
      <w:pPr>
        <w:ind w:left="567" w:hanging="567"/>
        <w:rPr>
          <w:bCs/>
          <w:iCs/>
        </w:rPr>
      </w:pPr>
      <w:r w:rsidRPr="00CC60F8">
        <w:t>Z.</w:t>
      </w:r>
      <w:r w:rsidRPr="00CC60F8">
        <w:tab/>
        <w:t xml:space="preserve">keďže v mnohých členských štátoch nájomné rastie rýchlejšie ako príjmy, čakacie zoznamy na nájomné byty sa plnia a prístup k dôstojnému, udržateľnému a cenovo dostupnému bývaniu sa stáva nedostupným pre domácnosti s nízkymi a strednými príjmami; keďže strata kúpnej sily v domácnostiach s nízkymi a so strednými príjmami, ako aj rastúce náklady na bývanie znižujú možnosť získať alebo prenajať si cenovo dostupné bývanie, čo má širšie demografické a sociálno-ekonomické dôsledky, ako je zvýšená miera sociálneho vylúčenia; keďže z predložených údajov vyplýva, že počet transakcií súvisiacich s bývaním v roku 2023 sa v porovnaní s rokom 2022 znížil v 13 </w:t>
      </w:r>
      <w:r w:rsidRPr="00CC60F8">
        <w:lastRenderedPageBreak/>
        <w:t>zo 16 členských štátov, čo predstavuje pokles predaja druhý rok po sebe</w:t>
      </w:r>
      <w:r w:rsidRPr="00CC60F8">
        <w:rPr>
          <w:rStyle w:val="FootnoteReference"/>
          <w:bCs/>
          <w:iCs/>
        </w:rPr>
        <w:footnoteReference w:id="44"/>
      </w:r>
      <w:r w:rsidRPr="00CC60F8">
        <w:t xml:space="preserve">; keďže zníženie záťaže spojenej s dochádzaním za prácou a na zvýšenie kvality života nie je len o ponuke, ale aj o strategickej polohe cenovo dostupného bývania, najmä v blízkosti centier zamestnanosti, verejných služieb a udržateľných dopravných sietí, je nevyhnutná; keďže inkluzívna politika bývania by mala riešiť tieto nerovnosti a zabezpečiť, aby mal každý bez ohľadu na svoj pôvod alebo štatút prístup k dôstojnému, udržateľnému a cenovo dostupnému bývaniu; </w:t>
      </w:r>
    </w:p>
    <w:p w14:paraId="323C4C2B" w14:textId="7EFD2717" w:rsidR="00895679" w:rsidRPr="00CC60F8" w:rsidRDefault="00895679" w:rsidP="00895679">
      <w:pPr>
        <w:pStyle w:val="NormalHanging12a"/>
        <w:rPr>
          <w:bCs/>
          <w:iCs/>
        </w:rPr>
      </w:pPr>
      <w:r w:rsidRPr="00CC60F8">
        <w:t>AA.</w:t>
      </w:r>
      <w:r w:rsidRPr="00CC60F8">
        <w:tab/>
        <w:t xml:space="preserve">keďže sociálne a cenovo dostupné bývanie financujú štátne, miestne a regionálne orgány, pričom EÚ zohráva kľúčovú úlohu pri ich podpore aj v rámci pravidiel využívania štátnej pomoci; keďže cenovo dostupné bývanie a sociálne bývanie nemajú jednotné vymedzenie v odbornej literatúre ani v </w:t>
      </w:r>
      <w:proofErr w:type="spellStart"/>
      <w:r w:rsidRPr="00CC60F8">
        <w:rPr>
          <w:i/>
          <w:iCs/>
        </w:rPr>
        <w:t>acquis</w:t>
      </w:r>
      <w:proofErr w:type="spellEnd"/>
      <w:r w:rsidRPr="00CC60F8">
        <w:t xml:space="preserve"> EÚ a kritériá na ich určenie sú v kompetencii jednotlivých členských štátov v závislosti od vnútroštátnych a regionálnych okolností; keďže Program OSN pre ľudské sídla považuje bývanie za cenovo dostupné, ak čisté mesačné výdavky na bývanie nepresahujú 30 % celkového mesačného príjmu domácnosti</w:t>
      </w:r>
      <w:r w:rsidRPr="00CC60F8">
        <w:rPr>
          <w:rStyle w:val="FootnoteReference"/>
          <w:bCs/>
          <w:iCs/>
        </w:rPr>
        <w:footnoteReference w:id="45"/>
      </w:r>
      <w:r w:rsidRPr="00CC60F8">
        <w:t xml:space="preserve">; keďže OECD definuje sociálne bývanie ako „nájomné byty poskytované za nižšie ako trhové ceny, ktoré sú cielené a prideľované podľa osobitných pravidiel“; keďže tieto prístupy sú v súlade s vymedzeniami a kritériami používanými v členských štátoch, ktoré majú politiky a regulačný rámec v oblasti dostupného bývania a stanovujú podrobné kategórie dostupného bývania, príjmové prahy a sociálne kritériá, ktoré uprednostňujú prideľovanie; keďže </w:t>
      </w:r>
      <w:r w:rsidR="005B6C4C" w:rsidRPr="00CC60F8">
        <w:t>Európsky p</w:t>
      </w:r>
      <w:r w:rsidRPr="00CC60F8">
        <w:t>arlament je aktívnym účastníkom tejto diskusie a po ďalších konzultáciách s inštitúciami EÚ, členskými štátmi a zainteresovanými stranami chce prispieť k spomínaným vymedzeniam; keďže vo vymedzeniach sa vyžaduje, aby bol prístup na trhy s cenovo dostupným bývaním otvorený pre všetkých poskytovateľov služieb; keďže poskytovanie sociálneho bývania v rámci služieb všeobecného hospodárskeho záujmu je určené predovšetkým znevýhodneným občanom alebo sociálne slabším skupinám, ktoré nie sú schopné získať bývanie za trhových podmienok; keďže sa malo vykonať posúdenie vplyvu s cieľom zhodnotiť, ako tieto vymedzenia ovplyvnia prístup k sociálnemu a cenovo dostupnému bývaniu v členských štátoch a jeho poskytovanie; keďže účinné riešenia na zlepšenie cenovej dostupnosti bývania v mnohých mestách EÚ sú výsledkom verejno-súkromných partnerstiev, v rámci ktorých verejné orgány spolupracujú s družstevnými alebo neziskovými subjektmi s cieľom zabezpečiť skutočne cenovo dostupné a sociálne bývanie;</w:t>
      </w:r>
    </w:p>
    <w:p w14:paraId="4E42D268" w14:textId="77777777" w:rsidR="00895679" w:rsidRPr="00CC60F8" w:rsidRDefault="00895679" w:rsidP="00895679">
      <w:pPr>
        <w:pStyle w:val="NormalHanging12a"/>
        <w:rPr>
          <w:bCs/>
          <w:iCs/>
        </w:rPr>
      </w:pPr>
      <w:r w:rsidRPr="00CC60F8">
        <w:t>AB.</w:t>
      </w:r>
      <w:r w:rsidRPr="00CC60F8">
        <w:tab/>
        <w:t xml:space="preserve">keďže osoby so zdravotným postihnutím patria medzi skupiny, na ktoré má prístup k dôstojnému a cenovo dostupnému bývaniu najväčší vplyv; keďže príliš veľa osôb so zdravotným postihnutím zostáva v nevhodných podmienkach z dôvodu nedostatku prístupného bývania; keďže dodržiavanie záväzkov EÚ vyplývajúcich z Dohovoru OSN o právach osôb so zdravotným postihnutím si vyžaduje, aby členské štáty masívne rozšírili dostupné komunitné bývanie; keďže v roku 2023 bolo 11,1 % osôb so </w:t>
      </w:r>
      <w:r w:rsidRPr="00CC60F8">
        <w:lastRenderedPageBreak/>
        <w:t>zdravotným postihnutím nadmerne zaťažených nákladmi na bývanie</w:t>
      </w:r>
      <w:r w:rsidRPr="00CC60F8">
        <w:rPr>
          <w:rStyle w:val="FootnoteReference"/>
          <w:bCs/>
          <w:iCs/>
        </w:rPr>
        <w:footnoteReference w:id="46"/>
      </w:r>
      <w:r w:rsidRPr="00CC60F8">
        <w:t>; keďže 4,4 % osôb so zdravotným postihnutím čelí závažnej deprivácii v oblasti bývania; keďže 70 % až 80 % existujúceho bytového fondu je nevhodných na nezávislý život osôb so zdravotným postihnutím; keďže podľa odhadov žije v EÚ viac ako 1 milión osôb so zdravotným postihnutím vo veku do 65 rokov a viac ako 2 milióny osôb vo veku nad 65 rokov v zariadeniach ústavnej starostlivosti; keďže nedostatočná prístupnosť bytového fondu prehlbuje sociálne vylúčenie a obmedzuje schopnosť osôb so zdravotným postihnutím žiť nezávisle a v plnej a rovnocennej miere sa zúčastňovať na živote spoločnosti;</w:t>
      </w:r>
    </w:p>
    <w:p w14:paraId="748EAFE0" w14:textId="50D19278" w:rsidR="00895679" w:rsidRPr="00CC60F8" w:rsidRDefault="00895679" w:rsidP="00895679">
      <w:pPr>
        <w:spacing w:after="240"/>
        <w:ind w:left="567" w:hanging="567"/>
        <w:rPr>
          <w:bCs/>
          <w:iCs/>
        </w:rPr>
      </w:pPr>
      <w:r w:rsidRPr="00CC60F8">
        <w:t>AC.</w:t>
      </w:r>
      <w:r w:rsidRPr="00CC60F8">
        <w:tab/>
        <w:t xml:space="preserve">keďže účinné politiky bývania si vyžadujú dostupnosť transparentných, spoľahlivých, podrobných a porovnateľných štatistík v celej EÚ; keďže zber a porovnateľnosť údajov zostávajú výzvou, keďže politiky bývania sú hlboko zakorenené v miestnom a územnom kontexte; keďže súčasné súbory údajov sú často fragmentované a nezachytávajú územný rozmer dynamiky bývania; keďže zber údajov o bývaní by umožnil lepšie pochopiť trendy špecifické pre danú lokalitu a územné rozdiely; keďže takéto údaje sú nevyhnutné na monitorovanie cenovej dostupnosti, posudzovanie systémových rizík a usmerňovanie tvorby politiky založenej na dôkazoch; keďže na vypracovanie účinných politík sú potrebné aj spoľahlivé údaje o </w:t>
      </w:r>
      <w:proofErr w:type="spellStart"/>
      <w:r w:rsidRPr="00CC60F8">
        <w:t>bezdomovectve</w:t>
      </w:r>
      <w:proofErr w:type="spellEnd"/>
      <w:r w:rsidRPr="00CC60F8">
        <w:t xml:space="preserve">, cenovej dostupnosti, zábere pôdy, voľných miestach a využívaní fondu budov, ako aj o renováciách a modernizácii; keďže </w:t>
      </w:r>
      <w:r w:rsidR="005B6C4C" w:rsidRPr="00CC60F8">
        <w:t>Európsky p</w:t>
      </w:r>
      <w:r w:rsidRPr="00CC60F8">
        <w:t>arlament inicioval pilotný projekt centier EÚ na monitorovanie pôdy, ktorý sa v súčasnosti realizuje; keďže pri výpočtoch životných nákladov sa berie do úvahy bývanie, čo odhaľuje rozdiely v cenách bývania a verejných služieb v jednotlivých krajinách EÚ na základe parity kúpnej sily a celkového indexu cenovej hladiny v prípade výdavkov na domácnosť; keďže medzi hlavné zložky spotrebného tovaru a služieb súvisiacich s bývaním patria elektrina, plyn a iné palivá</w:t>
      </w:r>
      <w:r w:rsidRPr="00CC60F8">
        <w:rPr>
          <w:rStyle w:val="FootnoteReference"/>
          <w:bCs/>
          <w:iCs/>
        </w:rPr>
        <w:footnoteReference w:id="47"/>
      </w:r>
      <w:r w:rsidRPr="00CC60F8">
        <w:t xml:space="preserve">; keďže v roku 2021 bolo v EÚ 19,5 % obydlí neobývaných, teda buď prázdnych, alebo sa používali ako druhé bydlisko; keďže v porovnaní s rokom 2011 ide o 23 % nárast; </w:t>
      </w:r>
    </w:p>
    <w:p w14:paraId="20FE2B40" w14:textId="77777777" w:rsidR="00895679" w:rsidRPr="00CC60F8" w:rsidRDefault="00895679" w:rsidP="00895679">
      <w:pPr>
        <w:spacing w:after="240"/>
        <w:rPr>
          <w:b/>
          <w:i/>
        </w:rPr>
      </w:pPr>
      <w:r w:rsidRPr="00CC60F8">
        <w:rPr>
          <w:b/>
          <w:i/>
        </w:rPr>
        <w:t>Úloha EÚ v politikách bývania</w:t>
      </w:r>
    </w:p>
    <w:p w14:paraId="51CDE7ED" w14:textId="77777777" w:rsidR="00895679" w:rsidRPr="00CC60F8" w:rsidRDefault="00895679" w:rsidP="00895679">
      <w:pPr>
        <w:spacing w:after="240"/>
        <w:rPr>
          <w:bCs/>
          <w:i/>
        </w:rPr>
      </w:pPr>
      <w:r w:rsidRPr="00CC60F8">
        <w:rPr>
          <w:i/>
        </w:rPr>
        <w:t>Sociálno-ekonomické dôsledky krízy v oblasti bývania</w:t>
      </w:r>
    </w:p>
    <w:p w14:paraId="63475958" w14:textId="77777777" w:rsidR="00895679" w:rsidRPr="00CC60F8" w:rsidRDefault="00895679" w:rsidP="00895679">
      <w:pPr>
        <w:pStyle w:val="NormalHanging12a"/>
        <w:rPr>
          <w:bCs/>
          <w:iCs/>
        </w:rPr>
      </w:pPr>
      <w:r w:rsidRPr="00CC60F8">
        <w:t>1.</w:t>
      </w:r>
      <w:r w:rsidRPr="00CC60F8">
        <w:tab/>
        <w:t xml:space="preserve">vyjadruje hlboké znepokojenie nad krízou v oblasti bývania, ktorá postihuje EÚ a jej členské štáty, a ohrozuje dôstojnosť, rovnosť a sociálnu súdržnosť; zdôrazňuje, že milióny Európanov čelia neistým životným podmienkam v dôsledku krízy v oblasti bývania; zdôrazňuje, že hlavnou príčinou krízy v oblasti bývania je cenová dostupnosť, najmä pre mladých ľudí, rodiny s nízkymi a strednými príjmami a zraniteľné skupiny vrátane starších ľudí a ľudí bez domova, ktorí musia čeliť čoraz väčším prekážkam v prístupe k primeranému bývaniu; vyjadruje znepokojenie nad problémami, ktorým čelia mladí ľudia pri odchode z rodinného domu a pri prijímaní osobných rozhodnutí, ktoré ovplyvňujú ich profesionálny a osobný život, ako sú založenie rodiny alebo štúdium či </w:t>
      </w:r>
      <w:r w:rsidRPr="00CC60F8">
        <w:lastRenderedPageBreak/>
        <w:t>hľadanie si prvého pracovného miesta na základe dosiahnutých kvalifikácií;</w:t>
      </w:r>
    </w:p>
    <w:p w14:paraId="433B7489" w14:textId="77777777" w:rsidR="00895679" w:rsidRPr="00CC60F8" w:rsidRDefault="00895679" w:rsidP="00895679">
      <w:pPr>
        <w:pStyle w:val="NormalHanging12a"/>
        <w:rPr>
          <w:bCs/>
          <w:iCs/>
        </w:rPr>
      </w:pPr>
      <w:r w:rsidRPr="00CC60F8">
        <w:t>2.</w:t>
      </w:r>
      <w:r w:rsidRPr="00CC60F8">
        <w:tab/>
        <w:t>vyjadruje znepokojenie nad škodlivými sociálno-ekonomickými dôsledkami krízy v oblasti bývania, ktoré okrem iného bránia ľuďom v prístupe k zamestnaniu a pracovníkom v mobilite kvôli pracovným miestam v metropolitných oblastiach, čo spôsobuje nedostatok pracovníkov; zdôrazňuje, že kríza v oblasti bývania sa stala prekážkou konkurencieschopnosti Európy, pretože oslabuje produktivitu a znižuje atraktívnosť regiónov pre investície; vyjadruje znepokojenie nad vplyvom krízy bývania na kúpnu silu ľudí, čo podnikom komplikuje hľadanie vhodných pracovných síl; je odhodlaný pomáhať hľadať väčšiu politickú vôľu medzi členskými štátmi, ako aj miestnymi a regionálnymi samosprávami pri vývoji na mieru šitých a inovatívnych riešení, ako aj pri integrácii politík bývania do širších sociálnych a hospodárskych stratégií;</w:t>
      </w:r>
    </w:p>
    <w:p w14:paraId="5AF2975E" w14:textId="77777777" w:rsidR="00895679" w:rsidRPr="00CC60F8" w:rsidRDefault="00895679" w:rsidP="00895679">
      <w:pPr>
        <w:spacing w:after="240"/>
        <w:rPr>
          <w:i/>
          <w:iCs/>
        </w:rPr>
      </w:pPr>
      <w:r w:rsidRPr="00CC60F8">
        <w:rPr>
          <w:i/>
        </w:rPr>
        <w:t>EÚ a vnútroštátne orgány.</w:t>
      </w:r>
    </w:p>
    <w:p w14:paraId="27A5C4B2" w14:textId="77777777" w:rsidR="00895679" w:rsidRPr="00CC60F8" w:rsidRDefault="00895679" w:rsidP="00895679">
      <w:pPr>
        <w:pStyle w:val="NormalHanging12a"/>
      </w:pPr>
      <w:r w:rsidRPr="00CC60F8">
        <w:t>3.</w:t>
      </w:r>
      <w:r w:rsidRPr="00CC60F8">
        <w:tab/>
        <w:t>dôrazne víta záväzok Komisie vypracovať a realizovať ambiciózny európsky plán pre cenovo dostupné bývanie; pripomína, že plán pre cenovo dostupné bývanie musí rešpektovať zásadu subsidiarity a zohľadňovať osobitné potreby jednotlivých členských štátov; myslí si, že plán pre cenovo dostupné bývanie musí byť navrhnutý tak, aby riešil krízu bývania ako sociálnu núdzovú situáciu;</w:t>
      </w:r>
    </w:p>
    <w:p w14:paraId="1D77A873" w14:textId="77777777" w:rsidR="00895679" w:rsidRPr="00CC60F8" w:rsidRDefault="00895679" w:rsidP="00895679">
      <w:pPr>
        <w:pStyle w:val="NormalHanging12a"/>
      </w:pPr>
      <w:r w:rsidRPr="00CC60F8">
        <w:t>4.</w:t>
      </w:r>
      <w:r w:rsidRPr="00CC60F8">
        <w:tab/>
        <w:t>vyzýva Komisiu, aby náležite zohľadnila pozíciu Európskeho parlamentu ku kríze v oblasti bývania; vyzýva Komisiu, aby zvolala prvý samit EÚ o bývaní s dôrazom na hľadanie konkrétnych riešení; zdôrazňuje, že Európsky plán pre cenovo dostupné bývanie by mal uprednostňovať opatrenia na reálne zlepšenie cenovej dostupnosti a podporovať členské štáty pri zabezpečovaní dôstojného, udržateľného a cenovo dostupného bývania pre milióny Európanov; poukazuje na to, že bývanie je v právomoci členských štátov, ale uznáva, že odvetvové právne predpisy EÚ môžu mať vplyv na celkovú realizovateľnosť a nákladnosť výstavby, ako aj na renováciu a zmenu účelu budov; trvá na tom, že existujú iniciatívy EÚ, ktoré môžu priniesť skutočnú pridanú hodnotu pri riešení krízy v oblasti bývania, napríklad aj využitím plného potenciálu jednotného trhu v odvetví stavebníctva, uvoľnením väčšieho množstva investícií z fondov EÚ, zvýšením štandardov kvality bytov, zlepšením dôkazov prostredníctvom zberu a výmeny údajov, podporou úsilia a investícií do zlepšovania zručností a rekvalifikácie, uľahčením mobility stavebných pracovníkov a zjednodušením vydávania povolení; vyzýva, aby sa Európsky plán pre cenovo dostupné bývanie zosúladil s Európskym pilierom sociálnych práv a aby pomohol riešiť sociálne nerovnosti, odstrániť chudobu v EÚ a podporiť sociálnu, hospodársku a územnú súdržnosť a vzostupnú konvergenciu;</w:t>
      </w:r>
    </w:p>
    <w:p w14:paraId="1285F7B5" w14:textId="77777777" w:rsidR="00895679" w:rsidRPr="00CC60F8" w:rsidRDefault="00895679" w:rsidP="00895679">
      <w:pPr>
        <w:spacing w:after="240"/>
        <w:jc w:val="both"/>
        <w:rPr>
          <w:i/>
          <w:iCs/>
        </w:rPr>
      </w:pPr>
      <w:r w:rsidRPr="00CC60F8">
        <w:rPr>
          <w:i/>
        </w:rPr>
        <w:t>Miestne a regionálne samosprávy</w:t>
      </w:r>
    </w:p>
    <w:p w14:paraId="387C8983" w14:textId="77777777" w:rsidR="00895679" w:rsidRPr="00CC60F8" w:rsidRDefault="00895679" w:rsidP="00895679">
      <w:pPr>
        <w:pStyle w:val="NormalHanging12a"/>
      </w:pPr>
      <w:r w:rsidRPr="00CC60F8">
        <w:t>5.</w:t>
      </w:r>
      <w:r w:rsidRPr="00CC60F8">
        <w:tab/>
        <w:t xml:space="preserve">vyzýva EÚ a jej členské štáty, aby rešpektovali príslušné kompetencie miestnych a regionálnych orgánov a zdôrazňovali ich kľúčovú úlohu pri určovaní potrieb v oblasti bývania a prispievaní k vypracovaniu národných stratégií navrhnutím cielených opatrení pre miestne obyvateľstvo; vyzýva EÚ a jej členské štáty, aby poskytli obciam a regiónom stimuly na podporu výstavby, obnovy a zmeny účelu obytných budov v rámci ich oblastí; ďalej konštatuje, že napriek tomu, že osobitne postihnuté sú mestské a priemyselné oblasti, kríza bývania zasahuje všetky regióny, najmä tie s trvalými geografickými znevýhodneniami, ako sú vidiecke a vnútrozemské oblasti, ostrovy, </w:t>
      </w:r>
      <w:r w:rsidRPr="00CC60F8">
        <w:lastRenderedPageBreak/>
        <w:t>najvzdialenejšie regióny, pohraničné regióny s veľkým počtom obyvateľov, ktorí dochádzajú do zamestnania, a pobrežné a vzdialené regióny, najmä tie, ktoré ohrozuje demografický pokles; zdôrazňuje význam vypracovania a podpory integrovaných mestských stratégií, ktoré zahŕňajú vzdelávanie, zdravotnú starostlivosť, infraštruktúru (napr. vodu a elektrinu), verejnú dopravu a voľnočasové aktivity, najmä vo vyľudnených, a zároveň zaručujú efektívne začlenenie demografických výziev do tvorby politík na všetkých úrovniach; požaduje, aby mali miestne a regionálne orgány priamy a cielený prístup k fondom EÚ v oblasti bývania a právomoc s nimi hospodáriť, pretože dobre poznajú skutočné miestne potreby, čo im umožňuje rýchlo riešiť výzvy v oblasti bývania;</w:t>
      </w:r>
    </w:p>
    <w:p w14:paraId="1CB42741" w14:textId="77777777" w:rsidR="00895679" w:rsidRPr="00CC60F8" w:rsidRDefault="00895679" w:rsidP="00895679">
      <w:pPr>
        <w:pStyle w:val="NormalHanging12a"/>
      </w:pPr>
      <w:r w:rsidRPr="00CC60F8">
        <w:t>6.</w:t>
      </w:r>
      <w:r w:rsidRPr="00CC60F8">
        <w:tab/>
        <w:t xml:space="preserve">zdôrazňuje, že miestne a regionálne samosprávy musia byť zapojené do Európskeho plánu pre cenovo dostupné bývanie; vyzýva na posilnenie konzultačných mechanizmov, koordinácie a spolupráce medzi samosprávami, ako aj na posilnenie partnerstiev a lepšie využitie lokálnej odbornosti miestnych a regionálnych samospráv, keďže majú najlepšie predpoklady zabezpečiť úspešné vypracovanie a vykonávanie plánu; vyzýva na aktívnu účasť kľúčových zainteresovaných strán na tvorbe a realizácii bytovej politiky na miestnej úrovni; trvá na tom, aby iniciatívy na úrovni EÚ zohľadňovali regionálnu rozmanitosť a uznáva, že odlišné územné kontexty (ako sú metropolitné </w:t>
      </w:r>
      <w:proofErr w:type="spellStart"/>
      <w:r w:rsidRPr="00CC60F8">
        <w:t>hotspoty</w:t>
      </w:r>
      <w:proofErr w:type="spellEnd"/>
      <w:r w:rsidRPr="00CC60F8">
        <w:t>, zmenšujúce sa regióny, ostrovy a najvzdialenejšie regióny) si vyžadujú na mieru šité prístupy;</w:t>
      </w:r>
    </w:p>
    <w:p w14:paraId="4652B916" w14:textId="77777777" w:rsidR="00895679" w:rsidRPr="00CC60F8" w:rsidRDefault="00895679" w:rsidP="00895679">
      <w:pPr>
        <w:pStyle w:val="NormalHanging12a"/>
        <w:ind w:left="570" w:hanging="570"/>
      </w:pPr>
      <w:r w:rsidRPr="00CC60F8">
        <w:t>7.</w:t>
      </w:r>
      <w:r w:rsidRPr="00CC60F8">
        <w:tab/>
        <w:t>vyzýva na podporu zjednodušenia v súlade so zásadou partnerstva vrátane integrovaných administratívnych štruktúr a digitálnych opatrení, ako sú plne digitalizované postupy vydávania povolení a s tým súvisiaca elektronická komunikácia v záujme podpory rozvoja projektov dôstojného, udržateľného a cenovo dostupného bývania s ohľadom na potrebu obnovy existujúceho bytového fondu;</w:t>
      </w:r>
    </w:p>
    <w:p w14:paraId="2689299F" w14:textId="77777777" w:rsidR="00895679" w:rsidRPr="00CC60F8" w:rsidRDefault="00895679" w:rsidP="00895679">
      <w:pPr>
        <w:spacing w:after="240"/>
        <w:ind w:left="567" w:hanging="567"/>
        <w:rPr>
          <w:bCs/>
          <w:iCs/>
        </w:rPr>
      </w:pPr>
      <w:r w:rsidRPr="00CC60F8">
        <w:t>8.</w:t>
      </w:r>
      <w:r w:rsidRPr="00CC60F8">
        <w:tab/>
        <w:t xml:space="preserve">vyzýva Komisiu, aby podporovala spoluprácu a vydala najlepšie postupy, ktoré odrážajú rozmanitosť výziev, ktorým čelia vyľudnené a vyľudňujúce sa oblasti, ako aj pohraničné, ostrovné a najvzdialenejšie regióny, a zabránila tomu, aby politiky bývania prispievali k vyľudňovaniu niektorých oblastí; vyzýva EÚ a jej členské štáty, aby podporovali miestne a regionálne samosprávy pri zvyšovaní ponuky verejného, družstevného a neziskového bývania; vyzýva na podporu projektov digitálnej </w:t>
      </w:r>
      <w:proofErr w:type="spellStart"/>
      <w:r w:rsidRPr="00CC60F8">
        <w:t>pripojiteľnosti</w:t>
      </w:r>
      <w:proofErr w:type="spellEnd"/>
      <w:r w:rsidRPr="00CC60F8">
        <w:t xml:space="preserve"> a dopravného spojenia s hlavnými mestami, veľkými mestami a mestskými centrami, keďže by mohli pomáhať v boji proti vyľudňovaniu, zaručovať právo na pobyt a miestnemu obyvateľstvu umožňovať žiť v mieste svojho pôvodu, pričom by sa zvýšil počet obytných jednotiek dostupných na trhu a obnovil existujúci bytový fond; vyzýva Komisiu, aby v tejto súvislosti vypracovala osobitný plán bývania, ktorý by riešil potreby tak výstavby, ako aj obnovy vo vidieckych, ostrovných a v najvzdialenejších regiónoch a zároveň cezhraničnú spoluprácu, a vychádzal zo štúdie životných podmienok v týchto európskych regiónoch; vyzýva Komisiu a členské štáty, aby realizovali iniciatívy, napríklad prostredníctvom politiky súdržnosti, na oživenie vidieckych regiónov zlepšením infraštruktúry, podporou programov rozvoja bývania a presadzovaním politík, ktoré podnecujú obnovu vidieka a podporujú rozvoj malých miest s cieľom riešiť špecifické problémy, ako sú obmedzená infraštruktúra a hospodárske príležitosti;</w:t>
      </w:r>
    </w:p>
    <w:p w14:paraId="770E7E84" w14:textId="77777777" w:rsidR="00895679" w:rsidRPr="00CC60F8" w:rsidRDefault="00895679" w:rsidP="00895679">
      <w:pPr>
        <w:spacing w:after="240"/>
        <w:ind w:left="567" w:hanging="567"/>
        <w:rPr>
          <w:bCs/>
          <w:iCs/>
        </w:rPr>
      </w:pPr>
      <w:r w:rsidRPr="00CC60F8">
        <w:t>9.</w:t>
      </w:r>
      <w:r w:rsidRPr="00CC60F8">
        <w:tab/>
        <w:t xml:space="preserve">podporuje integrované stratégie územného a miestneho rozvoja zamerané na zvýšenie odolnosti vidieckych oblastí využitím </w:t>
      </w:r>
      <w:proofErr w:type="spellStart"/>
      <w:r w:rsidRPr="00CC60F8">
        <w:t>kolaboratívnych</w:t>
      </w:r>
      <w:proofErr w:type="spellEnd"/>
      <w:r w:rsidRPr="00CC60F8">
        <w:t xml:space="preserve"> a </w:t>
      </w:r>
      <w:proofErr w:type="spellStart"/>
      <w:r w:rsidRPr="00CC60F8">
        <w:t>participatívnych</w:t>
      </w:r>
      <w:proofErr w:type="spellEnd"/>
      <w:r w:rsidRPr="00CC60F8">
        <w:t xml:space="preserve"> prístupov, ako sa uvádza v dlhodobej vízii pre vidiecke oblasti EÚ a v časti vidieckeho paktu </w:t>
      </w:r>
      <w:r w:rsidRPr="00CC60F8">
        <w:lastRenderedPageBreak/>
        <w:t>venovanej spolupráci, s cieľom riešiť špecifické výzvy politík bývania vo vidieckych, odľahlých a horských oblastiach; vyzýva Komisiu, aby navrhla „štatút ostrovov EÚ“ spolu s „paktom ostrovov“ podobným vidieckemu paktu, ktorých cieľom by bolo uznať ostrovný charakter ako diferenciálny prvok a stanoviť špecifické politické opatrenia na podporu ostrovov pri riešení dodatočných nákladov spojených s ostrovným charakterom v snahe zabezpečiť dôstojné, udržateľné a cenovo dostupné na ostrovoch;</w:t>
      </w:r>
    </w:p>
    <w:p w14:paraId="0D4CF65C" w14:textId="77777777" w:rsidR="00D2096B" w:rsidRPr="00CC60F8" w:rsidRDefault="00895679" w:rsidP="00895679">
      <w:pPr>
        <w:spacing w:after="240"/>
        <w:ind w:left="567" w:hanging="567"/>
      </w:pPr>
      <w:r w:rsidRPr="00CC60F8">
        <w:t>10.</w:t>
      </w:r>
      <w:r w:rsidRPr="00CC60F8">
        <w:tab/>
        <w:t xml:space="preserve">zdôrazňuje potrebu opatrení na ochranu bývania obyvateľov a na zachovanie rozmanitosti a životaschopnosti mestských komunít a dlhodobej obývateľnosti miest; zdôrazňuje tiež, že v politikách územného plánovania a obnovy miest je dôležité zaoberať sa </w:t>
      </w:r>
      <w:proofErr w:type="spellStart"/>
      <w:r w:rsidRPr="00CC60F8">
        <w:t>džentrifikáciou</w:t>
      </w:r>
      <w:proofErr w:type="spellEnd"/>
      <w:r w:rsidRPr="00CC60F8">
        <w:t xml:space="preserve"> a zabezpečiť, aby úsilie o revitalizáciu neviedlo k vysídľovaniu obyvateľov vrátane osôb s dlhodobým pobytom a starých vlastníkov domov, ani k strate cenovo dostupného bývania; zdôrazňuje potrebu vyčleniť miestnym a regionálnym samosprávam adekvátne zdroje na </w:t>
      </w:r>
      <w:bookmarkStart w:id="10" w:name="_Hlk213754479"/>
      <w:r w:rsidRPr="00CC60F8">
        <w:t>podporu budovania kapacít</w:t>
      </w:r>
      <w:bookmarkEnd w:id="10"/>
      <w:r w:rsidRPr="00CC60F8">
        <w:t xml:space="preserve"> a pomáhať členským štátom v ich politikách územného rozvoja pri podpore výstavby, zmeny účelu, obnovy, investícií a zefektívňovaní vydávania povolení a administratívnych postupov vo vidieckych oblastiach, malých a stredných obciach a tiež oblastiach, ktoré sa považujú za menej atraktívne; zdôrazňuje, že mnohé obce čelia vážnemu nedostatku zamestnancov, čo obmedzuje ich schopnosť plánovať, poskytovať a spravovať nájomné a sociálne bývanie a zabezpečovať riadny dohľad nad činnosťou súkromného sektora; zdôrazňuje, že nedostatočné administratívne kapacity prispievajú k zlému riadeniu, zdĺhavým postupom vydávania povolení a k nedostatočnému presadzovaniu práva v prípade špekulatívnych alebo nezákonných praktík;</w:t>
      </w:r>
    </w:p>
    <w:p w14:paraId="02189248" w14:textId="12ECDBD7" w:rsidR="00895679" w:rsidRPr="00CC60F8" w:rsidRDefault="00895679" w:rsidP="00B17FD3">
      <w:pPr>
        <w:spacing w:after="240"/>
        <w:rPr>
          <w:b/>
          <w:bCs/>
          <w:i/>
          <w:iCs/>
        </w:rPr>
      </w:pPr>
      <w:r w:rsidRPr="00CC60F8">
        <w:rPr>
          <w:b/>
          <w:i/>
        </w:rPr>
        <w:t>Zvyšovanie ponuky cenovo dostupného bývania</w:t>
      </w:r>
    </w:p>
    <w:p w14:paraId="03B07F3E" w14:textId="77777777" w:rsidR="00895679" w:rsidRPr="00CC60F8" w:rsidRDefault="00895679" w:rsidP="00895679">
      <w:pPr>
        <w:spacing w:before="240" w:after="240"/>
        <w:jc w:val="both"/>
        <w:rPr>
          <w:i/>
          <w:iCs/>
        </w:rPr>
      </w:pPr>
      <w:r w:rsidRPr="00CC60F8">
        <w:rPr>
          <w:i/>
        </w:rPr>
        <w:t>Znižovanie regulačného zaťaženia a podpora zjednodušenia</w:t>
      </w:r>
    </w:p>
    <w:p w14:paraId="250E3203" w14:textId="77777777" w:rsidR="00895679" w:rsidRPr="00CC60F8" w:rsidRDefault="00895679" w:rsidP="00895679">
      <w:pPr>
        <w:pStyle w:val="NormalHanging12a"/>
      </w:pPr>
      <w:r w:rsidRPr="00CC60F8">
        <w:t>11.</w:t>
      </w:r>
      <w:r w:rsidRPr="00CC60F8">
        <w:tab/>
        <w:t xml:space="preserve">zdôrazňuje, že medzi hlavné príčiny krízy v oblasti bývania patrí nedostatočná ponuka obytných jednotiek, minimálne investície do cenovo dostupného a nájomného bývania, neadekvátne regulačné rámce, nedostatočné vládne plánovanie a smerovanie, vysoké ceny pozemkov, konkurenčné priestorové požiadavky, rastúce náklady na výstavbu, rastúce náklady na energie a verejné služby, problémy s infraštruktúrou, zdĺhavé postupy vydávania povolení, rast a demografické zmeny obyvateľstva, nedostatok pracovných síl, rozšírené praktiky zneužívania </w:t>
      </w:r>
      <w:proofErr w:type="spellStart"/>
      <w:r w:rsidRPr="00CC60F8">
        <w:t>financializácie</w:t>
      </w:r>
      <w:proofErr w:type="spellEnd"/>
      <w:r w:rsidRPr="00CC60F8">
        <w:t xml:space="preserve"> a pretrvávajúci nesúlad medzi dopytom po bývaní a ponukou; zdôrazňuje potrebu zvýšiť investície a zlepšiť ponuku bývania vrátane modelov družstevného, sociálneho a neziskového bývania v snahe pomôcť znížiť ceny; vyzýva verejné orgány, aby urýchlene prijali opatrenia na zvýšenie ponuky cenovo dostupného bývania znížením regulačného zaťaženia a vyhýbali sa pri tom pridávaniu nových administratívnych požiadaviek, odstraňovali zbytočné prekážky a byrokraciu a riešili problémové miesta v miestnych a vo vnútroštátnych právnych predpisoch a v predpisoch EÚ, ktoré znižujú konkurencieschopnosť odvetvia výstavby a obnovy, vyzýva na zaistenie cenovo dostupného, kvalitného a energeticky účinného bývania a na zabránenie zbytočnej duplicite a dodatočnej záťaži pre európskych občanov; v tomto duchu žiada, aby Komisia a Európsky dvor audítorov vykonali spoločný regulačný audit právnych predpisov EÚ, ktoré môžu brániť ponuke cenovo dostupného bývania; domnieva sa, že tento audit by mal pomôcť napraviť zistené nedostatky; pripomína, že z dôkazov vyplýva, že cenové kontroly a štátne zásahy môžu viesť k neočakávaným výsledkom, preto všetky takéto opatrenia by mali byť cielené tak, aby sa obmedzili narušenia trhu; konštatuje, že takéto opatrenia vytvárajú neistotu, bránia investíciám a odrádzajú tých, </w:t>
      </w:r>
      <w:r w:rsidRPr="00CC60F8">
        <w:lastRenderedPageBreak/>
        <w:t>ktorí by mohli pomôcť rozšíriť ponuku; vyzýva členské štáty a regióny, aby boli pri dosahovaní cieľov právnych predpisov Únie v oblasti bývania flexibilné na základe svojho osobitného kontextu a potrieb;</w:t>
      </w:r>
    </w:p>
    <w:p w14:paraId="2CA1684F" w14:textId="77777777" w:rsidR="00895679" w:rsidRPr="00CC60F8" w:rsidRDefault="00895679" w:rsidP="00895679">
      <w:pPr>
        <w:pStyle w:val="Normal6"/>
        <w:ind w:left="567" w:hanging="567"/>
      </w:pPr>
      <w:r w:rsidRPr="00CC60F8">
        <w:t>12.</w:t>
      </w:r>
      <w:r w:rsidRPr="00CC60F8">
        <w:tab/>
        <w:t xml:space="preserve">naliehavo vyzýva Komisiu, aby navrhla balík opatrení na zjednodušenie bývania s cieľom zjednodušiť a zefektívniť komplexný súbor pravidiel, ktoré v súčasnosti spomaľujú výstavbu a obnovu bývania v celej Európe, a to znížením administratívnej záťaže, spojením prekrývajúcich sa právnych predpisov a skrátením postupov vydávania povolení; zdôrazňuje, že takáto iniciatíva uľahčí a urýchli poskytovanie dôstojného, udržateľného a cenovo dostupného bývania vrátane verejného a sociálneho bývania či obnovy domov a že zníži náklady na budovy; uznáva, že zjednodušením a cieleným zvýšením flexibility by sa v relevantných prípadoch odstránili zbytočné prekážky a zároveň by sa zachovali kľúčové bezpečnostné, environmentálne a sociálne normy s cieľom urýchliť udeľovanie povolení, novú výstavbu a obnovu, čo umožní, aby ponuka bývania dohnala dopyt a aby boli príbytky v celej Európe cenovo dostupnejšie; </w:t>
      </w:r>
    </w:p>
    <w:p w14:paraId="472B7760" w14:textId="77777777" w:rsidR="00895679" w:rsidRPr="00CC60F8" w:rsidRDefault="00895679" w:rsidP="00895679">
      <w:pPr>
        <w:pStyle w:val="NormalHanging12a"/>
      </w:pPr>
      <w:r w:rsidRPr="00CC60F8">
        <w:t>13.</w:t>
      </w:r>
      <w:r w:rsidRPr="00CC60F8">
        <w:tab/>
        <w:t>naliehavo žiada o udržateľné zlepšenie dostupnosti stavebných pozemkov, najmä v husto obývaných oblastiach; zdôrazňuje, že zodpovednosť za rozhodnutia o pozemkoch vo verejnom vlastníctve a procesoch plánovania musí zostať na vnútroštátnych a samosprávnych orgánoch; naliehavo vyzýva príslušné verejné orgány, aby zmobilizovali pôdu vo verejnom vlastníctve, preskúmali predpisy o územnom plánovaní a preklasifikovali pôdu s pripravenou infraštruktúrou na okamžitý rozvoj s cieľom urýchliť poskytovanie cenovo dostupného bývania a modelov družstevného, sociálneho a neziskového bývania; zdôrazňuje, že akákoľvek stratégia využívania pôdy musí vyvažovať potreby bývania s kvalitnými stavebnými normami; zdôrazňuje, že rozvoj bývania musí byť vždy začlenený do širších stratégií rozvoja v zastavaných oblastiach vrátane rozvoja verejnej infraštruktúry, aby sa zabezpečila sociálna súdržnosť a aby sa zabránilo sociálno-ekonomickej segregácii a praktikám, ktoré narúšajú trh; vyzýva členské štáty a miestne a regionálne orgány, aby prijali integrované prístupy, ktoré zabezpečia súlad medzi stavebnými projektmi a environmentálnymi a sociálnymi cieľmi; vyzýva členské štáty, aby do mestského plánovania začlenili posúdenia environmentálnych rizík a zabezpečili, že ochranné opatrenia a odolná infraštruktúra budú prioritne orientované na tie oblasti, ktoré sú zraniteľné voči katastrofám súvisiacim s klímou;</w:t>
      </w:r>
    </w:p>
    <w:p w14:paraId="698F89CF" w14:textId="77777777" w:rsidR="00895679" w:rsidRPr="00CC60F8" w:rsidRDefault="00895679" w:rsidP="00895679">
      <w:pPr>
        <w:pStyle w:val="NormalHanging12a"/>
      </w:pPr>
      <w:r w:rsidRPr="00CC60F8">
        <w:t>14.</w:t>
      </w:r>
      <w:r w:rsidRPr="00CC60F8">
        <w:tab/>
        <w:t>upozorňuje na to, že už existujú riešenia na výstavbu nového bývania bez využitia nových prírodných plôch, ktoré zároveň zlepšia kvalitu budov a zvýšia ponuku a rozmanitosť bývania; pripomína, že tieto riešenia siahajú od bývania s miernou horizontálnou a vertikálnou hustotou, ktoré bolo navrhnuté spoločne s miestnymi obyvateľmi, až po obnovu miest vrátane výstavby nehnuteľností z ľahších materiálov;</w:t>
      </w:r>
    </w:p>
    <w:p w14:paraId="42A6A9F5" w14:textId="77777777" w:rsidR="00895679" w:rsidRPr="00CC60F8" w:rsidRDefault="00895679" w:rsidP="00895679">
      <w:pPr>
        <w:pStyle w:val="NormalHanging12a"/>
      </w:pPr>
      <w:r w:rsidRPr="00CC60F8">
        <w:t>15.</w:t>
      </w:r>
      <w:r w:rsidRPr="00CC60F8">
        <w:tab/>
        <w:t>upozorňuje, že ďalší zdroj mestských pozemkov na prípadnú výstavbu predstavujú obývateľné opustené priemyselné pozemky; vyzýva členské štáty a miestne a regionálne orgány, aby na svojom území zmapovali tie opustené priemyselné pozemky, ktoré by bolo možné transformovať na účely bývania, a zaviedli tzv. pas opusteného priemyselného pozemku (povolenie na jeho transformáciu) s vymedzením podmienok, za ktorých by sa tento pozemok dal v mestských plánoch automaticky transformovať na oblasť určenú na rozvoj obytných jednotiek; vyzýva Komisiu a členské štáty, aby aktívne podporovali revitalizáciu opustených alebo nedostatočne využívaných lokalít v rámci existujúcich mestských štruktúr, a zároveň zabezpečili, aby tieto projekty obnovy prispievali k cenovej dostupnosti, udržateľnosti a sociálnemu začleneniu;</w:t>
      </w:r>
    </w:p>
    <w:p w14:paraId="0ED2FB17" w14:textId="77777777" w:rsidR="00895679" w:rsidRPr="00CC60F8" w:rsidRDefault="00895679" w:rsidP="00895679">
      <w:pPr>
        <w:pStyle w:val="NormalHanging12a"/>
      </w:pPr>
      <w:r w:rsidRPr="00CC60F8">
        <w:lastRenderedPageBreak/>
        <w:t>16.</w:t>
      </w:r>
      <w:r w:rsidRPr="00CC60F8">
        <w:tab/>
        <w:t>vyzýva príslušné verejné orgány, aby príslušným inštitúciám poskytli adekvátne zdroje na zaručenie efektívneho a včasného vybavovania žiadostí s cieľom zabezpečiť rýchlejšie a jednoduchšie vydávanie povolení, a to aj prostredníctvom opatrení, ako je uplatňovanie zásady pozitívneho administratívneho mlčania pri vydávaní stavebných povolení na novú výstavbu a obnovu, okrem prípadov súvisiacich s ochranou osôb, životného prostredia a opatrení alebo požiadaviek na ochranu kultúrneho, historického a</w:t>
      </w:r>
      <w:r w:rsidRPr="00CC60F8">
        <w:rPr>
          <w:rStyle w:val="normaltextrun"/>
          <w:color w:val="000000"/>
          <w:shd w:val="clear" w:color="auto" w:fill="FFFFFF"/>
        </w:rPr>
        <w:t xml:space="preserve"> archeologického či architektonického dedičstva, ktorá musí byť zaručená; </w:t>
      </w:r>
      <w:r w:rsidRPr="00CC60F8">
        <w:t xml:space="preserve">pripomína význam procesov </w:t>
      </w:r>
      <w:proofErr w:type="spellStart"/>
      <w:r w:rsidRPr="00CC60F8">
        <w:t>participatívneho</w:t>
      </w:r>
      <w:proofErr w:type="spellEnd"/>
      <w:r w:rsidRPr="00CC60F8">
        <w:t xml:space="preserve"> plánovania a sociálnej funkcie bývania; vyzýva Komisiu naliehať na členské štáty, aby si stanovili cieľ vydávať stavebné povolenia v lehote 60 dní v záujme poskytovania dôstojného, udržateľného a cenovo dostupného bývania; vyzýva členské štáty, aby podporovali poskytovanie bývania prioritnými opatreniami, ktoré umožňujú skrátenie postupov na vnútroštátnej úrovni, a aby pri projektoch bývania, ktoré sa považujú za kritické na riešenie naliehavého nedostatku, zaviedli zrýchlené schvaľovacie postupy;</w:t>
      </w:r>
    </w:p>
    <w:p w14:paraId="4EF76816" w14:textId="77777777" w:rsidR="00895679" w:rsidRPr="00CC60F8" w:rsidRDefault="00895679" w:rsidP="00895679">
      <w:pPr>
        <w:pStyle w:val="NormalHanging12a"/>
      </w:pPr>
      <w:r w:rsidRPr="00CC60F8">
        <w:t>17.</w:t>
      </w:r>
      <w:r w:rsidRPr="00CC60F8">
        <w:tab/>
        <w:t xml:space="preserve">vyzýva Komisiu, aby preskúmala možnosti podpory členských štátov v ich úsilí o efektívne riadenie postupov územného plánovania a vydávania povolení poskytovaním usmernení, odbornej pomoci a adekvátnych zdrojov na zlepšenie technických a administratívnych kapacít miestnych orgánov v rámci programu Digitálna Európa a Európskeho fondu regionálneho rozvoja, prípadne aktualizáciou online usmernení pre členské štáty; naďalej sa angažuje za pokrok v digitalizácii vydávania povolení využitím </w:t>
      </w:r>
      <w:proofErr w:type="spellStart"/>
      <w:r w:rsidRPr="00CC60F8">
        <w:t>interoperabilných</w:t>
      </w:r>
      <w:proofErr w:type="spellEnd"/>
      <w:r w:rsidRPr="00CC60F8">
        <w:t xml:space="preserve"> vnútroštátnych platforiem umožňujúcich elektronické podávanie, sledovanie a schvaľovanie žiadostí o výstavbu, zmenu účelu či obnovu; naďalej vyzýva na zriadenie jednotných kontaktných miest na vnútroštátnej úrovni, ktoré by poskytovali poradenstvo s cieľom minimalizovať prípady administratívnych omeškaní v súlade s iniciatívou Komisie Inteligentné financovanie inteligentných budov a so stratégiou „vlna obnovy“; vyzýva Komisiu, aby vypracovala štúdiu, v ktorej vyhodnotí príčiny nadmerného času potrebného na získanie povolení a absolvovanie povinných postupov vrátane zberu informácií o najlepších postupoch v záujme vyššej efektivity; zdôrazňuje, že tieto systémy by mali zaručovať transparentnosť a uľahčovať výmenu údajov medzi miestnymi orgánmi, developermi a občanmi pri dodržaní noriem Únie v oblasti ochrany údajov; zdôrazňuje potrebu včasných, dostatočnými zdrojmi vybavených a dôsledných súdnych konaní a rozhodnutí týkajúcich sa vydávania povolení, výstavby, environmentálnych požiadaviek a vlastníctva, tak aby sa zabránilo zdĺhavým právnym sporom a zaručil rýchly a spoľahlivý priebeh administratívnych procesov;</w:t>
      </w:r>
    </w:p>
    <w:p w14:paraId="0460FFD1" w14:textId="77777777" w:rsidR="00895679" w:rsidRPr="00CC60F8" w:rsidRDefault="00895679" w:rsidP="00895679">
      <w:pPr>
        <w:pStyle w:val="NormalHanging12a"/>
      </w:pPr>
      <w:r w:rsidRPr="00CC60F8">
        <w:t>18.</w:t>
      </w:r>
      <w:r w:rsidRPr="00CC60F8">
        <w:tab/>
        <w:t>zdôrazňuje potrebu činností zameraných na obnovu a zmenu účelu budov s cieľom riešiť fragmentáciu politík bývania a zdĺhavé postupy vydávania povolení, ktoré môžu brániť rozvoju existujúceho fondu budov; vyzýva členské štáty, aby poskytli ďalšie stimuly na obnovu opusteného bývania, a zdôrazňuje, že proces podávania žiadostí by mal zostať jednoduchý; žiada, aby sa renovované bývanie sprístupnilo osobám na čakacích listinách na bývanie alebo tým, ktorí kupujú nehnuteľnosť prvýkrát, v súlade s ich potrebami; vyzýva členské štáty, aby sa preorientovali na poskytovanie adekvátnej finančnej pomoci do obnovy nehnuteľností v oblastiach, ktoré sú tradične určené na iné ako obytné účely, tak aby sa nehnuteľnosti nad komerčnými priestormi (tzv. nad obchodom) mohli v plnej miere využiť na uspokojenie naliehavých lokálnych potrieb bývania v týchto komunitách;</w:t>
      </w:r>
    </w:p>
    <w:p w14:paraId="1842B704" w14:textId="77777777" w:rsidR="00895679" w:rsidRPr="00CC60F8" w:rsidRDefault="00895679" w:rsidP="00895679">
      <w:pPr>
        <w:pStyle w:val="NormalHanging12a"/>
      </w:pPr>
      <w:r w:rsidRPr="00CC60F8">
        <w:t>19.</w:t>
      </w:r>
      <w:r w:rsidRPr="00CC60F8">
        <w:tab/>
        <w:t xml:space="preserve">domnieva sa, že EÚ by mala udržiavať rovnaké podmienky a zaručovať efektívne využívanie zdrojov EÚ určených na zabezpečenie dôstojného, udržateľného a cenovo </w:t>
      </w:r>
      <w:r w:rsidRPr="00CC60F8">
        <w:lastRenderedPageBreak/>
        <w:t>dostupného bývania pre všetkých; vyzýva Komisiu a členské štáty, aby plne začlenili stratégiu Komisie „vlna obnovy“ do politík v oblasti bývania vrátane systémov podpory pre súkromnú modernizáciu bývania a zabezpečili, aby sa obnova budov nezameriavala len na energetickú efektívnosť a dekarbonizáciu, ale aj na sociálnu spravodlivosť a rozšírenie ponuky cenovo dostupného bývania, zvyšovanie kvality života, zabránenie neprimeranému zvyšovaniu nájomného pri renovácii a znižovanie nákladov na dlhodobé bývanie; upozorňuje, že je dôležité účelovo vyčleniť prostriedky na obnovu v rámci pripravovaného Európskeho plánu pre cenovo dostupné bývanie a prispievať k zlepšeniu priemerných úrovní energetickej hospodárnosti sektora bývania s tým, že prioritu dostanú budovy s najhoršou energetickou hospodárnosťou; vyzýva členské štáty, ktoré riešia vysokú koncentráciu štandardizovaných viacposchodových budov s nízkou hospodárnosťou, aby vytvorili mechanizmy, ktoré umožnia mieru ich energetickej obnovy potrebnú na splnenie cieľov EÚ; podporuje stimuly na obnovu bytov v husto osídlených oblastiach a zasadzuje sa za riešenia, ktoré pozitívne motivujú vlastníkov, aby vrátili prázdne domy na trh a sprístupnili ich na účely dlhodobého prenájmu, zvlášť vo frekventovaných mestských oblastiach; upozorňuje, že pri navrhovaní politík v oblasti bývania by príslušné orgány mali byť schopné vykonať jednotné a podrobné environmentálne hodnotenie, vyhnúť sa zbytočnej duplicite a dokončiť potrebné administratívne a procesné kroky pre danú geografickú oblasť pred rozvojom rezidenčných projektov;</w:t>
      </w:r>
    </w:p>
    <w:p w14:paraId="5273CFDF" w14:textId="23BA7D35" w:rsidR="00895679" w:rsidRPr="00CC60F8" w:rsidRDefault="00895679" w:rsidP="00895679">
      <w:pPr>
        <w:pStyle w:val="NormalHanging12a"/>
      </w:pPr>
      <w:r w:rsidRPr="00CC60F8">
        <w:t>20.</w:t>
      </w:r>
      <w:r w:rsidRPr="00CC60F8">
        <w:tab/>
        <w:t>vyzýva verejné orgány, aby zvýšili svoje úsilie v boji proti energetickej chudobe, najmä urýchlením a zjednodušením postupov vydávania povolení a licencií týkajúcich sa obnovy z hľadiska energetickej efektívnosti; vyzýva členské štáty, aby podporovali energeticky chudobné domácnosti v boji proti energetickej chudobe; zdôrazňuje význam sociálno-klimatických plánov pri podpore obnovy budov v záujme riešenia vysokých cien energie; vyzýva Komisiu, aby pozorne monitorovala pokrok, ktorý podarilo dosiahnuť pri predchádzaní energetickej chudobe;</w:t>
      </w:r>
    </w:p>
    <w:p w14:paraId="3FFA796D" w14:textId="77777777" w:rsidR="00895679" w:rsidRPr="00CC60F8" w:rsidRDefault="00895679" w:rsidP="00895679">
      <w:pPr>
        <w:pStyle w:val="NormalHanging12a"/>
        <w:rPr>
          <w:sz w:val="22"/>
          <w:szCs w:val="22"/>
        </w:rPr>
      </w:pPr>
      <w:r w:rsidRPr="00CC60F8">
        <w:t>21.</w:t>
      </w:r>
      <w:r w:rsidRPr="00CC60F8">
        <w:tab/>
        <w:t>pripomína, že cieľom smernice o energetickej hospodárnosti budov je znižovať spotrebu energie v domácnostiach; uznáva, že smernicou o energetickej hospodárnosti budov sa ukladajú požiadavky na budovy, ktoré by mohli ovplyvniť stavebné náklady; berie na vedomie význam environmentálnych noriem, ako je osvedčenie o energetickej hospodárnosti, a vyzýva na prijatie opatrením, ktorými sa zabezpečí, aby tieto normy nemali negatívny vplyv na trhy s prenájmom aj nehnuteľnosťami; vyjadruje znepokojenie nad metódami výpočtu a nerovnosťami v energetickom označovaní obytných budov, ktoré by mali odrážať skutočnú energetickú hospodárnosť nehnuteľností; varuje pred možnými následkami takéhoto označovania; uznáva, že praktické vykonávanie smernice o energetickej efektívnosti zasahuje mnohé stavebné firmy i súkromných vlastníkov; zdôrazňuje potrebu zabezpečiť, aby táto regulácia neviedla k vyšším nákladom tak pre nájomcov, ako aj pre kupujúcich nehnuteľností; vyzýva, aby sa projekty energetickej obnovy budov stali prístupnejšími vďaka poskytovaniu odbornej pomoci a poradenstva; vyzýva členské štáty, aby obyvateľom sociálneho bývania uľahčili zapojenie do energetických komunít a podporovali obnovu budov z iniciatívy občanov a zohľadnili pri tom vnútroštátne priority a dostupnosť zdrojov</w:t>
      </w:r>
      <w:r w:rsidRPr="00CC60F8">
        <w:rPr>
          <w:sz w:val="22"/>
        </w:rPr>
        <w:t>;</w:t>
      </w:r>
    </w:p>
    <w:p w14:paraId="07111528" w14:textId="5461AF28" w:rsidR="00895679" w:rsidRPr="00CC60F8" w:rsidRDefault="00895679" w:rsidP="00895679">
      <w:pPr>
        <w:pStyle w:val="NormalHanging12a"/>
      </w:pPr>
      <w:r w:rsidRPr="00CC60F8">
        <w:t>22.</w:t>
      </w:r>
      <w:r w:rsidRPr="00CC60F8">
        <w:tab/>
        <w:t xml:space="preserve">vyzýva členské štáty, aby prijali účinný a daňový systém pre politiky bývania založený na stimuloch; vyzýva Komisiu, aby dôkladne posúdila, ako môžu daňové stimuly na vnútroštátnej úrovni ovplyvniť trh s bývaním; zdôrazňuje, že fiškálne politiky by mali slúžiť sociálnemu začleneniu; domnieva sa, že medzinárodné normy OECD týkajúce sa </w:t>
      </w:r>
      <w:r w:rsidRPr="00CC60F8">
        <w:lastRenderedPageBreak/>
        <w:t>politík bývania sa ukázali ako prospešné, pretože podnecujú investície do bývania a pomáhajú obmedziť tlak na ceny obytných nehnuteľností a tak stimulujú ponuku v oblastiach s vysokým dopytom; vyzýva členské štáty, aby zaviedli fiškálne stimuly na obnovu starých a výstavbu nových budov; vyzýva na reformu smernice o DPH</w:t>
      </w:r>
      <w:r w:rsidRPr="00CC60F8">
        <w:rPr>
          <w:rStyle w:val="FootnoteReference"/>
        </w:rPr>
        <w:footnoteReference w:id="48"/>
      </w:r>
      <w:r w:rsidRPr="00CC60F8">
        <w:t xml:space="preserve"> po dôkladnom posúdení vplyvu, ktorá by mohla umožniť uplatňovanie extra nízkej sadzby dane z pridanej hodnoty na ponuku a výstavbu bývania v rámci sociálnej politiky v jednotlivých členských štátoch, na obnovu a úpravu vrátane demolácie a rekonštrukcie a na opravu bývania a súkromných bytov, ako aj na prenájom nehnuteľnosti na bývanie; zdôrazňuje, že tieto opatrenia by mali rešpektovať fiškálnu neutralitu, byť v súlade s cieľmi EÚ a uprednostňovať podporu pre domácnosti s nízkymi a strednými príjmami;</w:t>
      </w:r>
    </w:p>
    <w:p w14:paraId="356548BE" w14:textId="77777777" w:rsidR="00895679" w:rsidRPr="00CC60F8" w:rsidRDefault="00895679" w:rsidP="00895679">
      <w:pPr>
        <w:pStyle w:val="Normal6"/>
        <w:ind w:left="567" w:hanging="567"/>
      </w:pPr>
      <w:r w:rsidRPr="00CC60F8">
        <w:t>23.</w:t>
      </w:r>
      <w:r w:rsidRPr="00CC60F8">
        <w:tab/>
        <w:t xml:space="preserve">zdôrazňuje, že daňová politika patrí do výlučnej právomoci členských štátov; vyzýva na uplatňovanie zdravého daňového mixu v členských štátoch, posilnenie úsilia o odstránenie daňových prekážok pre nových účastníkov trhu s bývaním, ako sú vysoké registračné dane v niektorých krajinách, a súčasne na presadzovanie takých daňových podmienok, ktoré robia dlhodobé prenájmy cenovo dostupnejšími, stabilnejšími a bezpečnejšími; vyzýva členské štáty, aby preskúmali svoje daňové režimy s cieľom zvýšiť mobilitu a zabezpečiť efektívnejšie využívanie bývania; vyzýva členské štáty, aby zaručili, že všetky daňové a finančné stimuly na podporu bývania budú v prospech dôstojného, udržateľného a cenovo dostupného bývania a nepovedú k inflácii cien či praktikám spôsobujúcim narušenie trhu, ktoré by zhoršili dostupnosť bývania; </w:t>
      </w:r>
    </w:p>
    <w:p w14:paraId="09A4771F" w14:textId="77777777" w:rsidR="00895679" w:rsidRPr="00CC60F8" w:rsidRDefault="00895679" w:rsidP="00895679">
      <w:pPr>
        <w:pStyle w:val="NormalHanging12a"/>
        <w:rPr>
          <w:i/>
          <w:iCs/>
        </w:rPr>
      </w:pPr>
      <w:r w:rsidRPr="00CC60F8">
        <w:rPr>
          <w:i/>
        </w:rPr>
        <w:t xml:space="preserve">Materiály a výrobky na stavbu a renováciu </w:t>
      </w:r>
    </w:p>
    <w:p w14:paraId="057A886D" w14:textId="77777777" w:rsidR="00895679" w:rsidRPr="00CC60F8" w:rsidRDefault="00895679" w:rsidP="00895679">
      <w:pPr>
        <w:pStyle w:val="NormalHanging12a"/>
      </w:pPr>
      <w:r w:rsidRPr="00CC60F8">
        <w:t>24.</w:t>
      </w:r>
      <w:r w:rsidRPr="00CC60F8">
        <w:tab/>
        <w:t xml:space="preserve">žiada Komisiu, aby v súlade s právomocami EÚ a zásadou subsidiarity vypracovala analýzu rôznych príčin ovplyvňujúcich ceny a dodávky materiálov a výrobkov na stavbu a renováciu vrátane právnych predpisov tak, aby sa zlepšil prístup k nim a aby zabezpečila, že sa nebudú zvyšovať náklady na obnovu predchádzajúcich dizajnových prvkov budov; vyjadruje poľutovanie nad tým, že neexistuje jednotný trh s materiálmi a výrobkami na stavbu a renováciu; vyzýva Komisiu, aby zlepšila rozširovanie inovatívnych a udržateľných výrobkov a ich dostupnosť vo všetkých členských štátoch; požaduje prísnu kontrolu hospodárskej súťaže v odvetví stavebných materiálov v záujme zaručenia konkurencieschopnosti odvetvia; domnieva sa, že na dosiahnutie cenovo dostupného bývania a zabezpečenie nadčasovosti fondu budov sú potrebné inovatívne riešenia, pričom jedným z riešení je skôr prefabrikácia alebo výstavba mimo staveniska na účely renovácie ako výstavba na stavenisku, čím sa môže výrazne skrátiť čas výstavby a riešiť nedostatky v dodávkach; zdôrazňuje, že priemyselná prefabrikácia môže skrátiť čas výstavby o 20 – 50 %, a tým znížiť súvisiace narušenie, a zároveň priniesť významné úspory energie a nákladov; je presvedčený o dôležitosti </w:t>
      </w:r>
      <w:proofErr w:type="spellStart"/>
      <w:r w:rsidRPr="00CC60F8">
        <w:t>obehovosti</w:t>
      </w:r>
      <w:proofErr w:type="spellEnd"/>
      <w:r w:rsidRPr="00CC60F8">
        <w:t xml:space="preserve"> materiálov a odolnosti stavebného odvetvia, okrem iného aj vďaka dizajnu, ktorý uľahčí ich opätovné použitie, ako aj o význame presadzovania využívania miestnych zdrojov stavebných materiálov; požaduje, aby Komisia preskúmala vplyv dovozných ciel na bezpečnosť dodávok a ceny základných stavebných materiálov potrebných na renováciu a pre odvetvie stavebníctva a aby preskúmala nové trhy s týmito materiálmi vrátane podpory strategických dohôd; vyzýva na posilnenie jednotného trhu s materiálmi a výrobkami nevyhnutnými pre odvetvie bývania; v tejto súvislosti vyzýva na urýchlené </w:t>
      </w:r>
      <w:r w:rsidRPr="00CC60F8">
        <w:lastRenderedPageBreak/>
        <w:t>vykonávanie nariadenia o stavebných výrobkoch</w:t>
      </w:r>
      <w:r w:rsidRPr="00CC60F8">
        <w:rPr>
          <w:rStyle w:val="FootnoteReference"/>
        </w:rPr>
        <w:footnoteReference w:id="49"/>
      </w:r>
      <w:r w:rsidRPr="00CC60F8">
        <w:t xml:space="preserve"> a na certifikačné postupy platné v celej EÚ na podporu udržateľnej výstavby a konkurencieschopnosti;</w:t>
      </w:r>
    </w:p>
    <w:p w14:paraId="48D07EDC" w14:textId="77777777" w:rsidR="00895679" w:rsidRPr="00CC60F8" w:rsidRDefault="00895679" w:rsidP="00895679">
      <w:pPr>
        <w:pStyle w:val="NormalHanging12a"/>
      </w:pPr>
      <w:r w:rsidRPr="00CC60F8">
        <w:t>25.</w:t>
      </w:r>
      <w:r w:rsidRPr="00CC60F8">
        <w:tab/>
        <w:t>zdôrazňuje, že je dôležité, aby EÚ posilnila svoju priemyselnú suverenitu v odvetviach stavebníctva a obnovy a pripravila opatrenia na identifikáciu a riešenie nedostatkov v reťazci stavebnej výroby; vyzýva členské štáty, aby podporovali využívanie stavebných materiálov vyrobených v Európskej únii, a tým podporovali vytváranie pracovných miest na miestnej úrovni a posilňovali konkurencieschopnosť EÚ; vyzýva verejné orgány, aby stimulovali technológie vyrábané v Európe uplatňovaním princípu európskej preferencie vo verejnom obstarávaní; vyzýva Komisiu, aby v prípade projektov spolufinancovaných EÚ v odvetví udržateľného stavebníctva zahrnula doložky o minimálnom pôvode pre komponenty „Vyrobené v EÚ“ a aby spustila programy na podporu priemyselnej konverzie, výskumu a investícií v európskom hodnotovom reťazci; zdôrazňuje zodpovednosť orgánov a priemyslu za zabezpečenie prísnych noriem v stavebníctve, ochrany pred nevyhovujúcimi stavebnými materiálmi a zodpovednosti; zdôrazňuje potrebu prijatia adekvátnych záruk na úrovni EÚ na ochranu spotrebiteľov a pracovníkov; zdôrazňuje potrebu zlepšiť udržateľnosť a trvácnosť európskych budov a stimulovať udržateľnú a trvalú renováciu, pri čom sa náležite zohľadní situácia a obmedzenia, ktorým sú vystavené domácnosti žijúce v obydliach, ktoré si vyžadujú renováciu;</w:t>
      </w:r>
    </w:p>
    <w:p w14:paraId="019F9FC8" w14:textId="77777777" w:rsidR="00895679" w:rsidRPr="00CC60F8" w:rsidRDefault="00895679" w:rsidP="00895679">
      <w:pPr>
        <w:spacing w:after="240"/>
        <w:jc w:val="both"/>
      </w:pPr>
      <w:r w:rsidRPr="00CC60F8">
        <w:rPr>
          <w:i/>
        </w:rPr>
        <w:t>Produktivita a inovácie</w:t>
      </w:r>
    </w:p>
    <w:p w14:paraId="63C177AC" w14:textId="77777777" w:rsidR="00895679" w:rsidRPr="00CC60F8" w:rsidRDefault="00895679" w:rsidP="00B17FD3">
      <w:pPr>
        <w:pStyle w:val="NormalHanging12a"/>
        <w:rPr>
          <w:kern w:val="2"/>
          <w14:ligatures w14:val="standardContextual"/>
        </w:rPr>
      </w:pPr>
      <w:r w:rsidRPr="00CC60F8">
        <w:t>26.</w:t>
      </w:r>
      <w:r w:rsidRPr="00CC60F8">
        <w:tab/>
        <w:t>zdôrazňuje, že regulačné rámce by mali inovácie skôr podporovať ako brzdiť; nabáda príslušné verejné orgány, aby investovali do produktivity a inovácií v sektore bývania v snahe zvýšiť kapacitu, znížiť stavebné náklady a zároveň zlepšiť kvalitu bytového fondu, pokiaľ ide o energetickú hospodárnosť, energetická efektívnosť, kvalitu vzduchu v interiéri a vetranie, akustickú a tepelnú izoláciu, pevnosť konštrukcie a prístupnosť, ako aj v snahe podporiť produktivitu a účinnosť samotného stavebného procesu prostredníctvom rýchlejších, nákladovo efektívnejších a menej pracovne náročných metód vrátane industrializácie, prefabrikácie a digitalizácie stavebných techník podľa potreby, a zároveň zabezpečiť, by sa naďalej podporovali tradičné a hybridné spôsoby výstavby, najmä v prípade obnovy;</w:t>
      </w:r>
    </w:p>
    <w:p w14:paraId="277A1B92" w14:textId="77777777" w:rsidR="00895679" w:rsidRPr="00CC60F8" w:rsidRDefault="00895679" w:rsidP="004C456F">
      <w:pPr>
        <w:tabs>
          <w:tab w:val="left" w:pos="567"/>
        </w:tabs>
        <w:spacing w:after="240"/>
        <w:ind w:left="567" w:hanging="567"/>
        <w:rPr>
          <w:kern w:val="2"/>
          <w14:ligatures w14:val="standardContextual"/>
        </w:rPr>
      </w:pPr>
      <w:r w:rsidRPr="00CC60F8">
        <w:t>27.</w:t>
      </w:r>
      <w:r w:rsidRPr="00CC60F8">
        <w:tab/>
        <w:t xml:space="preserve">vyzýva na to, aby nové obydlia spĺňali primerané normy kvality a obývateľnosti, pokiaľ ide o izoláciu, energetickú efektívnosť, kvalitu vzduchu v interiéri a požiarnu bezpečnosť; vyzýva na lepšiu koordináciu na úrovni EÚ s cieľom zvýšiť požiarnu bezpečnosť v členských štátoch; vyzýva príslušné verejné orgány, aby zabezpečili, že inovácie v sektore bývania budú podporovať miestne firmy a tradičné remeslá a nepovedú k zvýšeniu nákladov na bývanie ani k vysídleniu obyvateľov; vyzýva na posilnenie podpory inovácií a výskumu v stavebníctve z fondov EÚ a vnútroštátnych fondov, ako napríklad v prípade projektov realizovaných európskymi </w:t>
      </w:r>
      <w:proofErr w:type="spellStart"/>
      <w:r w:rsidRPr="00CC60F8">
        <w:t>mikropodnikmi</w:t>
      </w:r>
      <w:proofErr w:type="spellEnd"/>
      <w:r w:rsidRPr="00CC60F8">
        <w:t xml:space="preserve"> a MSP, ktoré sa zameriavajú na výskum nových materiálov a konštrukčných metód, a na prepojenie podpory s cenovou dostupnosťou; požaduje európske finančné nástroje na pomoc MSP s rozširovaním ponuky modulárneho bývania a bývania realizovaného mimo staveniska; vyzýva na vývoj a zavádzanie inteligentných domácich riešení a </w:t>
      </w:r>
      <w:r w:rsidRPr="00CC60F8">
        <w:lastRenderedPageBreak/>
        <w:t>technológií; vyzýva na štandardizáciu informačného modelovania stavieb; vyzýva na posilnenie Európskeho strediska pre monitorovanie stavebného sektora; vyzýva na to, aby inovácie išli ruka v ruke s pracovnými normami, bezpečnými pracovnými podmienkami a spravodlivými a stabilnými zmluvami, tak aby sa odvetvie stavebníctva stalo atraktívnejším; vyzýva Komisiu, aby zaviedla iniciatívu „údolie bývania“ a vytvorila strediská spolupráce na riešeniach bývania podľa vzoru inovačných údolí;</w:t>
      </w:r>
    </w:p>
    <w:p w14:paraId="65EBE8CA" w14:textId="77777777" w:rsidR="00895679" w:rsidRPr="00CC60F8" w:rsidRDefault="00895679" w:rsidP="004C456F">
      <w:pPr>
        <w:tabs>
          <w:tab w:val="left" w:pos="567"/>
        </w:tabs>
        <w:spacing w:after="240"/>
        <w:rPr>
          <w:i/>
          <w:iCs/>
        </w:rPr>
      </w:pPr>
      <w:r w:rsidRPr="00CC60F8">
        <w:rPr>
          <w:i/>
        </w:rPr>
        <w:t xml:space="preserve">Poskytovanie právnej istoty a ochrany vlastníkom a nájomcom nehnuteľností </w:t>
      </w:r>
    </w:p>
    <w:p w14:paraId="2E0ACBA2" w14:textId="77777777" w:rsidR="00895679" w:rsidRPr="00CC60F8" w:rsidRDefault="00895679" w:rsidP="004C456F">
      <w:pPr>
        <w:pStyle w:val="Normal6"/>
        <w:spacing w:after="240"/>
        <w:ind w:left="567" w:hanging="567"/>
      </w:pPr>
      <w:r w:rsidRPr="00CC60F8">
        <w:t>28.</w:t>
      </w:r>
      <w:r w:rsidRPr="00CC60F8">
        <w:tab/>
        <w:t xml:space="preserve">zdôrazňuje, že politika bývania musí nájsť spravodlivú rovnováhu medzi ochranou práv vlastníkov a ochranou nájomcov; pripomína, že občania EÚ majú právo vlastniť, užívať, a dediť legálne nadobudnutý majetok a nakladať s ním; dôrazne odsudzuje fenomén nezákonného obsadzovania súkromných a verejných nehnuteľností v celej Európe (tzv. </w:t>
      </w:r>
      <w:proofErr w:type="spellStart"/>
      <w:r w:rsidRPr="00CC60F8">
        <w:rPr>
          <w:i/>
          <w:iCs/>
        </w:rPr>
        <w:t>squatting</w:t>
      </w:r>
      <w:proofErr w:type="spellEnd"/>
      <w:r w:rsidRPr="00CC60F8">
        <w:t xml:space="preserve">), ktorým sa porušuje základné právo na súkromné vlastníctvo; vyzýva členské štáty, aby toto základné právo ochraňovali a prijali prísnejšie opatrenia na ochranu vlastníkov, zabezpečili rýchle a účinné právne mechanizmy na vymáhanie majetku vrátane včasných súdnych príkazov na vysťahovanie, posilnili ochranu obetí takýchto činov, obnovili zákonný majetok a presadzovali zásady právneho štátu; zdôrazňuje, že nezákonné obsadzovanie obytných jednotiek môže viesť k neistote, úpadku miest a k sociálnemu napätiu a oslabovať sociálnu súdržnosť; domnieva sa, že možnosť vlastníkov získať zákonným spôsobom späť kontrolu nad svojim bývaním je nielen otázkou spravodlivosti a čestnosti, ale je tiež nevyhnutná pre zachovanie dôvery investorov a ponuky nájomných bytov; požaduje koordinované politiky na úrovni EÚ na riešenie a obmedzenie obsadzovania bytov, ktorými sa zaručia vlastnícke práva a právna istota vlastníkov ako dôležité prvky na zabezpečenie hospodárskej stability a bezpečnosti, najmä pokiaľ ide o ochranu malých vlastníkov, ktorí sú závislí od príjmu z prenájmu ako zárobku na živobytie, napríklad dôchodcovia; v tejto súvislosti vyzýva na lepšiu spoluprácu, zber údajov a výmenu informácií medzi členskými štátmi; vyzýva na lepšie využívanie nástrojov </w:t>
      </w:r>
      <w:proofErr w:type="spellStart"/>
      <w:r w:rsidRPr="00CC60F8">
        <w:t>Europolu</w:t>
      </w:r>
      <w:proofErr w:type="spellEnd"/>
      <w:r w:rsidRPr="00CC60F8">
        <w:t xml:space="preserve"> v prípadoch, keď existuje podozrenie, že </w:t>
      </w:r>
      <w:proofErr w:type="spellStart"/>
      <w:r w:rsidRPr="00CC60F8">
        <w:rPr>
          <w:i/>
          <w:iCs/>
        </w:rPr>
        <w:t>squatting</w:t>
      </w:r>
      <w:proofErr w:type="spellEnd"/>
      <w:r w:rsidRPr="00CC60F8">
        <w:t xml:space="preserve"> súvisí s organizovanou trestnou činnosťou, a to aj hľadaním pridanej hodnoty a možným zriadením online platformy;</w:t>
      </w:r>
    </w:p>
    <w:p w14:paraId="6F32C71D" w14:textId="77777777" w:rsidR="00895679" w:rsidRPr="00CC60F8" w:rsidRDefault="00895679" w:rsidP="004C456F">
      <w:pPr>
        <w:pStyle w:val="Normal6"/>
        <w:spacing w:after="240"/>
        <w:ind w:left="567" w:hanging="567"/>
      </w:pPr>
      <w:r w:rsidRPr="00CC60F8">
        <w:t>29.</w:t>
      </w:r>
      <w:r w:rsidRPr="00CC60F8">
        <w:tab/>
        <w:t xml:space="preserve">nabáda vlastníkov nehnuteľností, aby ponúkali dlhodobé a stabilné nájomné zmluvy s cieľom zvýšiť istotu vlastníctva a zabezpečiť väčšiu predvídateľnosť pre nájomníkov; nabáda členské štáty, aby zvýšili transparentnosť v sektore súkromných prenájmov na základe inzerovaných cien s cieľom zlepšiť podmienky bývania pre nájomníkov a aby v tomto smere posilnili vnútroštátne právne predpisy; vyzýva členské štáty, aby posilnili ochranu práv nájomcov, a to aj nabádaním online platforiem na prenájom poskytovať informácie o priemernej výške nájomného v danej oblasti s cieľom zaručiť spravodlivé podmienky a zabrániť neprimeranému zvyšovaniu nájomného; vyzýva Komisiu a členské štáty, aby posilnili svoj záväzok zaručiť rovnosť a nediskrimináciu v sektore bývania; vyzýva na koordinované reakcie sociálnych služieb s cieľom vyriešiť konflikty medzi nájomcami a vlastníkmi a zabrániť ďalšej zraniteľnosti zúčastnených strán vrátane malých vlastníkov a zraniteľných nájomníkov za týchto okolností; nabáda členské štáty, aby ponúkli mechanizmy urovnávania právnych sporov na riešenie sporov týkajúcich sa bývania, napríklad v prípadoch dlhodobého alebo protiprávneho nedodržiavania nájomných zmlúv, ktoré pripravujú vlastníkov o možnosť legitímneho využívania svojich domovov, ako aj v prípadoch prenajímateľov, ktorí nedodržia nároky nájomcov; vyzýva verejné orgány, aby chránili rodiny, najmä tie s deťmi, napríklad uľahčením prístupu k dočasnému príbytku na riešenie krátkodobej zraniteľnosti s tým, že ochrana zraniteľných rodín je na príslušných orgánoch; </w:t>
      </w:r>
      <w:r w:rsidRPr="00CC60F8">
        <w:lastRenderedPageBreak/>
        <w:t>zdôrazňuje, že miestne orgány musia identifikovať a riešiť prípady nedodržiavania požiadaviek týkajúcich sa majetku, správy a bezpečnosti, a tým prispieť k prísnejším normám na súkromnom trhu s nájomným bývaním</w:t>
      </w:r>
      <w:r w:rsidRPr="00CC60F8">
        <w:rPr>
          <w:color w:val="000000" w:themeColor="text1"/>
        </w:rPr>
        <w:t xml:space="preserve">; </w:t>
      </w:r>
      <w:r w:rsidRPr="00CC60F8">
        <w:t>odsudzuje nekalé praktiky v oblasti bývania, ktoré vystavujú nájomníkov v zraniteľných situáciách neprimeraným, nebezpečným alebo nehygienickým podmienkam; podporuje úlohu združení nájomníkov a občianskych aktivistov v oblasti bývania ako zainteresovaných strán v politike bývania;</w:t>
      </w:r>
    </w:p>
    <w:p w14:paraId="0A0D8565" w14:textId="77777777" w:rsidR="00895679" w:rsidRPr="00CC60F8" w:rsidRDefault="00895679" w:rsidP="004C456F">
      <w:pPr>
        <w:spacing w:after="240"/>
        <w:rPr>
          <w:i/>
          <w:iCs/>
        </w:rPr>
      </w:pPr>
      <w:r w:rsidRPr="00CC60F8">
        <w:rPr>
          <w:i/>
        </w:rPr>
        <w:t>Riešenie špecifických potrieb pracovnej sily: garancia kvalitných pracovných miest, rozvoj talentov a investovanie do zručností</w:t>
      </w:r>
    </w:p>
    <w:p w14:paraId="43C32FDC" w14:textId="4D04AE89" w:rsidR="00895679" w:rsidRPr="00CC60F8" w:rsidRDefault="00895679" w:rsidP="004C456F">
      <w:pPr>
        <w:pStyle w:val="NormalHanging12a"/>
        <w:rPr>
          <w:rStyle w:val="CommentReference"/>
          <w:rFonts w:eastAsiaTheme="majorEastAsia"/>
        </w:rPr>
      </w:pPr>
      <w:r w:rsidRPr="00CC60F8">
        <w:t>30.</w:t>
      </w:r>
      <w:r w:rsidRPr="00CC60F8">
        <w:tab/>
        <w:t xml:space="preserve">je znepokojený nedostatkom pracovných síl a nedostatočnou konkurencieschopnosťou v sektore výstavby a obnovy, ako aj nedostatkom kvalifikovaných pracovníkov; žiada, aby bol Európsky plán pre cenovo dostupné bývanie prepojený s plánom EÚ pre kvalitné pracovné miesta; zdôrazňuje, že krízu bývania nemožno vyriešiť bez plne vyškolených a mobilných pracovníkov v stavebníctve; zdôrazňuje význam zlepšovania pracovných podmienok pracovníkov v stavebníctve s cieľom riešiť nedostatok pracovných síl a prilákať kvalifikovanú pracovnú silu; podčiarkuje preto potrebu zaručiť spravodlivé mzdy, stabilné zamestnanie, bezpečné pracovné podmienky, lepšie zmluvy a zdravotné a bezpečnostné normy; zdôrazňuje, že práva pracovníkov by sa mali rešpektovať a presadzovať, a vyzýva na ich účinné monitorovanie vrátane využívania digitálnych nástrojov a obchodných registrov na odhaľovanie podvodov; požaduje vnútroštátne opatrenia na predchádzanie nehodám na staveniskách; vyzýva na posilnenie vykonávania </w:t>
      </w:r>
      <w:proofErr w:type="spellStart"/>
      <w:r w:rsidRPr="00CC60F8">
        <w:rPr>
          <w:i/>
          <w:iCs/>
        </w:rPr>
        <w:t>acquis</w:t>
      </w:r>
      <w:proofErr w:type="spellEnd"/>
      <w:r w:rsidRPr="00CC60F8">
        <w:t xml:space="preserve"> EÚ v oblasti bezpečnosti a ochrany zdravia pri práci; vyzýva členské štáty, aby zlepšili kolektívne vyjednávanie, pokiaľ ide o pracovníkov v odvetví stavebníctva a obnovy;</w:t>
      </w:r>
    </w:p>
    <w:p w14:paraId="320FDF4B" w14:textId="47A8A6F8" w:rsidR="00895679" w:rsidRPr="00CC60F8" w:rsidRDefault="00895679" w:rsidP="004C456F">
      <w:pPr>
        <w:pStyle w:val="NormalHanging12a"/>
      </w:pPr>
      <w:r w:rsidRPr="00CC60F8">
        <w:t>31.</w:t>
      </w:r>
      <w:r w:rsidRPr="00CC60F8">
        <w:tab/>
        <w:t xml:space="preserve">zdôrazňuje, že v rámci pripravovanej európskej stratégie pre bytovú výstavbu je mimoriadne dôležité lepšie riešiť nedostatok kvalifikovaných pracovníkov, aby sa zabezpečila dostupnosť potrebných kvalifikovaných pracovníkov s cieľom zlepšiť efektívnosť; nabáda členské štáty, verejné orgány a stavebné firmy, aby viac investovali do odborného vzdelávania a učňovskej prípravy mladých ľudí v odvetví stavebníctva, ako aj do celoživotného vzdelávania s cieľom zlepšovať zručnosti a rekvalifikovať pracovníkov v tomto odvetví v úzkej spolupráci so sociálnymi partnermi vrátane zručností v odbore výstavby modulárnych domov, energeticky účinnej výstavby a obnovy, nových udržateľných stavebných materiálov a digitálnych riešení; zdôrazňuje potrebu rozšíriť odborné vzdelávanie a prípravu v stavebníctve a zlepšiť prístup k odbornej príprave v regiónoch s nízkou stavebnou produkciou; vyzýva na zavádzanie programov odbornej a učňovskej prípravy v odbore moderných stavebných metód; zdôrazňuje, že je potrebné urýchliť učňovskú prípravu v stavebníctve prostredníctvom modulárnej a duálnej odbornej prípravy; zdôrazňuje, že je potrebné vyškoliť pracovníkov stavebného priemyslu v oblasti emisne neutrálnych technológií a použiť príslušné zručnosti v celom výrobnom reťazci a na všetkých úrovniach zručností s cieľom zabezpečiť, aby aj </w:t>
      </w:r>
      <w:proofErr w:type="spellStart"/>
      <w:r w:rsidRPr="00CC60F8">
        <w:t>nízkokvalifikovaní</w:t>
      </w:r>
      <w:proofErr w:type="spellEnd"/>
      <w:r w:rsidRPr="00CC60F8">
        <w:t xml:space="preserve"> pracovníci mohli využiť odbornú prípravu v oblasti nových technológií; vyzýva členské štáty, aby aktívne podporovali a zavádzali obsah vytvorený akadémiami zručností pre oblasť emisnej neutrálnosti; vyzýva členské štáty, aby prijali ustanovenia o dobrovoľnej, primeranej a priemyselne regulovanej odbornej príprave na stavenisku pre študentov; vyzýva na mobilizáciu fondov EÚ, ako je ESF+, na podporu rozvoja zručností v sektore stavebníctva a obnovy;</w:t>
      </w:r>
    </w:p>
    <w:p w14:paraId="25F607F4" w14:textId="77777777" w:rsidR="00895679" w:rsidRPr="00CC60F8" w:rsidRDefault="00895679" w:rsidP="004C456F">
      <w:pPr>
        <w:pStyle w:val="NormalHanging12a"/>
      </w:pPr>
      <w:r w:rsidRPr="00CC60F8">
        <w:t>32.</w:t>
      </w:r>
      <w:r w:rsidRPr="00CC60F8">
        <w:tab/>
        <w:t xml:space="preserve">vyzýva Komisiu a členské štáty, aby podporili mobilitu pracovnej sily v odvetví </w:t>
      </w:r>
      <w:r w:rsidRPr="00CC60F8">
        <w:lastRenderedPageBreak/>
        <w:t>stavebníctva ako jeden zo spôsobov, ako znížiť nedostatok kvalifikovaných pracovníkov; naliehavo vyzýva členské štáty a Komisiu, aby účinne využívali existujúce nástroje na zosúlaďovanie ponúkaných a požadovaných zručností v stavebníctve v súlade s kartou zručností v stavebníctve v rámci Európskeho strediska pre rozvoj odborného vzdelávania (</w:t>
      </w:r>
      <w:proofErr w:type="spellStart"/>
      <w:r w:rsidRPr="00CC60F8">
        <w:t>Cedefop</w:t>
      </w:r>
      <w:proofErr w:type="spellEnd"/>
      <w:r w:rsidRPr="00CC60F8">
        <w:t>) v snahe pomáhať regiónom s veľkým nedostatkom pracovných síl a podporovať cezhraničné príležitosti pre kvalifikovaných pracovníkov; zdôrazňuje potrebu zaručiť ochranu pre mobilných pracovníkov vrátane rovnakých práv, dôstojných pracovných podmienok a prístupu k odbornej príprave v záujme spravodlivej mobility; vyzýva Komisiu, aby uľahčovala mobilitu v rámci EÚ s minimálnou administratívnou záťažou formou iniciatív na zlepšenie vzájomného uznávania odborných kvalifikácií v tomto odvetví, v prípade potreby aj kvalifikovaným pracovníkom z tretích krajín; zdôrazňuje potrebu uznávania a validácie odborných zručností a kvalifikácií v celej EÚ ako súčasť európskej stratégie pre bytovú výstavbu; vyzýva Komisiu, aby revidovala smernicu o uznávaní odborných kvalifikácií</w:t>
      </w:r>
      <w:r w:rsidRPr="00CC60F8">
        <w:rPr>
          <w:rStyle w:val="FootnoteReference"/>
        </w:rPr>
        <w:footnoteReference w:id="50"/>
      </w:r>
      <w:r w:rsidRPr="00CC60F8">
        <w:rPr>
          <w:vertAlign w:val="superscript"/>
        </w:rPr>
        <w:t xml:space="preserve"> </w:t>
      </w:r>
      <w:r w:rsidRPr="00CC60F8">
        <w:t>s cieľom zlepšiť vzájomné uznávanie kvalifikácií v tomto odvetví; víta návrh Komisie na iniciatívu na zaistenie prenosnosti zručností s cieľom zlepšiť prenosnosť zručností a kvalifikácií v celej EÚ nezávisle od toho, kde boli získané v rámci Únie zručností; víta aj návrh Komisie na vytvorenie jednotného portálu digitálnych vyhlásení s cieľom znížiť administratívnu záťaž pri vysielaní pracovníkov</w:t>
      </w:r>
      <w:r w:rsidRPr="00CC60F8">
        <w:rPr>
          <w:rStyle w:val="FootnoteReference"/>
        </w:rPr>
        <w:footnoteReference w:id="51"/>
      </w:r>
      <w:r w:rsidRPr="00CC60F8">
        <w:t xml:space="preserve"> a vyzýva na jeho urýchlené prerokovanie a realizáciu; vyzýva na to, aby sa vo vnútroštátnych pracovnoprávnych predpisoch podporovalo úsilie o riešenie dlhodobého nedostatku pracovnej sily;</w:t>
      </w:r>
    </w:p>
    <w:p w14:paraId="6A9BEEF5" w14:textId="77777777" w:rsidR="00895679" w:rsidRPr="00CC60F8" w:rsidRDefault="00895679" w:rsidP="004C456F">
      <w:pPr>
        <w:pStyle w:val="NormalHanging12a"/>
      </w:pPr>
      <w:r w:rsidRPr="00CC60F8">
        <w:t>33.</w:t>
      </w:r>
      <w:r w:rsidRPr="00CC60F8">
        <w:tab/>
        <w:t xml:space="preserve">nabáda Komisiu a členské štáty, aby zabezpečili, že legálni pracovní migranti a sezónni pracovníci, ktorým ubytovanie poskytuje ich zamestnávateľ, budú mať prístup k dôstojnému, udržateľnému a cenovo dostupnému bývaniu; zdôrazňuje, že žiadny pracovník by nemal byť nútený žiť v preplnených alebo zlých podmienkach; vyzýva na sprísnenie monitorovania v tejto súvislosti; vyzýva Komisiu a členské štáty, aby analyzovali sociálne a územné účinky koncentrovaného bývania pre pracovných migrantov a sezónnych pracovníkov; zdôrazňuje, že je potrebné posúdiť, či takáto priestorová segregácia neohrozuje sociálnu súdržnosť a integráciu komunít; vyzýva členské štáty, aby na regionálnej a miestnej úrovni zhromažďovali údaje o mieste a podmienkach ubytovania poskytovaného zamestnávateľom; vyzýva na preskúmanie činností Európskeho orgánu práce v záujme efektívnejšieho cezhraničného presadzovania práva; </w:t>
      </w:r>
    </w:p>
    <w:p w14:paraId="7B2B2C9A" w14:textId="77777777" w:rsidR="00895679" w:rsidRPr="00CC60F8" w:rsidRDefault="00895679" w:rsidP="004C456F">
      <w:pPr>
        <w:spacing w:after="240"/>
        <w:jc w:val="both"/>
        <w:rPr>
          <w:i/>
          <w:iCs/>
        </w:rPr>
      </w:pPr>
      <w:r w:rsidRPr="00CC60F8">
        <w:rPr>
          <w:i/>
        </w:rPr>
        <w:t>Malé a stredné podniky</w:t>
      </w:r>
    </w:p>
    <w:p w14:paraId="425B1CF6" w14:textId="77777777" w:rsidR="00895679" w:rsidRPr="00CC60F8" w:rsidRDefault="00895679" w:rsidP="004C456F">
      <w:pPr>
        <w:pStyle w:val="NormalHanging12a"/>
      </w:pPr>
      <w:r w:rsidRPr="00CC60F8">
        <w:t>34.</w:t>
      </w:r>
      <w:r w:rsidRPr="00CC60F8">
        <w:tab/>
        <w:t xml:space="preserve">vyzýva Komisia a členské štáty, aby dôrazne podporovali </w:t>
      </w:r>
      <w:proofErr w:type="spellStart"/>
      <w:r w:rsidRPr="00CC60F8">
        <w:t>mikropodniky</w:t>
      </w:r>
      <w:proofErr w:type="spellEnd"/>
      <w:r w:rsidRPr="00CC60F8">
        <w:t xml:space="preserve">, MSP a samostatne zárobkovo činné osoby v stavebníctve a v sektore bývania, a to aj prostredníctvom poskytovania potrebných a dostupných finančných nástrojov a zabezpečením včasných platieb za verejné zákazky a pri tom odstraňovali administratívne prekážky týkajúce sa splatnosti; zdôrazňuje význam skvalitnenia regulačných rámcov, ktoré obmedzujú konkurencieschopnosť a </w:t>
      </w:r>
      <w:proofErr w:type="spellStart"/>
      <w:r w:rsidRPr="00CC60F8">
        <w:t>zamestnateľnosť</w:t>
      </w:r>
      <w:proofErr w:type="spellEnd"/>
      <w:r w:rsidRPr="00CC60F8">
        <w:t xml:space="preserve"> </w:t>
      </w:r>
      <w:proofErr w:type="spellStart"/>
      <w:r w:rsidRPr="00CC60F8">
        <w:lastRenderedPageBreak/>
        <w:t>mikropodnikov</w:t>
      </w:r>
      <w:proofErr w:type="spellEnd"/>
      <w:r w:rsidRPr="00CC60F8">
        <w:t xml:space="preserve">, MSP a samostatne zárobkovo činných osôb, ako aj riešenia nedostatku noriem harmonizovaných na úrovni EÚ a založených na výkonnosti a existenciu zdĺhavých harmonogramov normotvorby, ktoré bránia zavádzaniu inovatívnych stavebných materiálov, s cieľom prilákať a podporiť talenty a umožniť ľahší prístup na trh; uznáva prínos samostatne zárobkovo činných osôb ako kľúčovej pracovnej sily v týchto odvetviach a vyzýva na osobitnú ochranu s cieľom zaručiť im stabilitu, spravodlivé zaobchádzanie a sociálnu ochranu; vyzýva Komisiu a skupinu EIB, aby zjednodušili prístup k systémom financovania EÚ pre </w:t>
      </w:r>
      <w:proofErr w:type="spellStart"/>
      <w:r w:rsidRPr="00CC60F8">
        <w:t>mikropodniky</w:t>
      </w:r>
      <w:proofErr w:type="spellEnd"/>
      <w:r w:rsidRPr="00CC60F8">
        <w:t xml:space="preserve"> a remeselníkov, s osobitným dôrazom na vidiecke a vyľudnené oblasti, ako spôsob zachovania miestnych zručností a zamestnanosti; zdôrazňuje, že podpora </w:t>
      </w:r>
      <w:proofErr w:type="spellStart"/>
      <w:r w:rsidRPr="00CC60F8">
        <w:t>mikropodnikov</w:t>
      </w:r>
      <w:proofErr w:type="spellEnd"/>
      <w:r w:rsidRPr="00CC60F8">
        <w:t xml:space="preserve"> a samostatne zárobkovo činných osôb je nielen hospodárskou, ale aj kultúrnou a sociálnou prioritou, pretože zachováva miestne tradície a posilňuje sebestačnosť komunity; zdôrazňuje potrebu podporovať MSP vrátane tých, ktoré sú bytovými družstvami a sociálnymi podnikmi, v rámci širšej stratégie, ako ich zapojiť do dlhodobého poskytovania dôstojného, cenovo dostupného a udržateľného bývania;</w:t>
      </w:r>
    </w:p>
    <w:p w14:paraId="3C72DD83" w14:textId="77777777" w:rsidR="00895679" w:rsidRPr="00CC60F8" w:rsidRDefault="00895679" w:rsidP="004C456F">
      <w:pPr>
        <w:pStyle w:val="NormalHanging12a"/>
      </w:pPr>
      <w:r w:rsidRPr="00CC60F8">
        <w:t>35.</w:t>
      </w:r>
      <w:r w:rsidRPr="00CC60F8">
        <w:tab/>
        <w:t>pripomína kľúčovú úlohu verejného obstarávania v odvetví stavebníctva, ktoré predstavuje podstatnú časť činnosti tohto odvetvia; poukazuje na to, že verejné obstarávanie je čoraz zložitejšie, čo obciam sťažuje zadávanie verejných zákaziek na výstavbu; vyzýva Komisiu, aby zjednodušila právne predpisy EÚ v oblasti verejného obstarávania; vyzýva verejné orgány, aby účinne regulovali zadávanie zákaziek subdodávateľom a zabezpečili firmám, ktoré ponúkajú kvalitné sociálne pracovné podmienky a dodržiavajú priemyselné normy, podporu z verejných finančných prostriedkov; vyzýva Komisiu, aby zvážila začlenenie sociálnych a environmentálnych noriem do najbližšej revízie smernice o verejnom obstarávaní</w:t>
      </w:r>
      <w:r w:rsidRPr="00CC60F8">
        <w:rPr>
          <w:rStyle w:val="FootnoteReference"/>
        </w:rPr>
        <w:footnoteReference w:id="52"/>
      </w:r>
      <w:r w:rsidRPr="00CC60F8">
        <w:t xml:space="preserve"> a zabezpečila transparentnosť, pokiaľ ide o subdodávateľov a rozsah subdodávateľských prác; konštatuje, že zavedenie dodatočných kritérií do postupov verejného obstarávania by mohlo zvýšiť zložitosť postupu verejného obstarávania, čo by ovplyvnilo hospodársku súťaž medzi uchádzačmi a ceny; zdôrazňuje, že dôsledné vypracovanie týchto kritérií je dôležité na to, aby sa zabezpečil súlad s cieľom uľahčiť výstavbu cenovo dostupnejšieho bývania; domnieva sa, že európska stratégia bytovej výstavby by mala zaručovať, že sa verejné zákazky nebudú udeľovať firmám odsúdeným za korupciu alebo porušovanie ľudských práv; vyzýva členské štáty, aby upravili svoje pravidlá verejného obstarávania s cieľom pomôcť verejnému sektoru vyhnúť sa spolupráci s dodávateľmi, ktorí nemajú preukázateľné schopnosti alebo požadované odborné znalosti;</w:t>
      </w:r>
    </w:p>
    <w:p w14:paraId="1DA8C3C2" w14:textId="77777777" w:rsidR="00895679" w:rsidRPr="00CC60F8" w:rsidRDefault="00895679" w:rsidP="004C456F">
      <w:pPr>
        <w:spacing w:after="240"/>
        <w:jc w:val="both"/>
      </w:pPr>
      <w:r w:rsidRPr="00CC60F8">
        <w:rPr>
          <w:i/>
        </w:rPr>
        <w:t>Podpora nájomného, družstevného, neziskového bývania a bývania s obmedzeným ziskom</w:t>
      </w:r>
    </w:p>
    <w:p w14:paraId="6E6AA2CB" w14:textId="77777777" w:rsidR="00895679" w:rsidRPr="00CC60F8" w:rsidRDefault="00895679" w:rsidP="004C456F">
      <w:pPr>
        <w:tabs>
          <w:tab w:val="left" w:pos="567"/>
        </w:tabs>
        <w:spacing w:after="240"/>
        <w:ind w:left="567" w:hanging="567"/>
      </w:pPr>
      <w:r w:rsidRPr="00CC60F8">
        <w:t>36.</w:t>
      </w:r>
      <w:r w:rsidRPr="00CC60F8">
        <w:tab/>
        <w:t xml:space="preserve">uznáva, že dostupnosť a prideľovanie nájomného, sociálneho, družstevného, neziskového bývania a bývania s obmedzeným ziskom môže zaručiť cenovú dostupnosť, stabilitu a sociálnu súdržnosť a rozšíriť ponuku bývania pre skupiny, ako sú domácnosti s nízkymi príjmami, mladí ľudia, študenti, starší ľudia, osoby so zdravotným postihnutím a dôležití pracovníci; zdôrazňuje význam dosiahnutia primeraného podielu týchto modelov bývania; vyzýva verejné orgány, aby zabezpečili cielenú podporu týchto modelov bývania, pretože poskytujú dlhodobú cenovú dostupnosť, stabilitu a komunitnú hodnotu; vyzýva členské štáty, aby zaviedli </w:t>
      </w:r>
      <w:r w:rsidRPr="00CC60F8">
        <w:lastRenderedPageBreak/>
        <w:t>mechanizmy, ktoré miestnym orgánom umožnia zvážiť sanáciu, nadstavbu ďalších poschodí alebo prestavbu podkroví v už existujúcich verejných budovách, ako aj sanáciu a zmenu účelu nevyužívaného fondu verejných budov, najmä v historických centrách a na predmestiach, na nájomné alebo sociálne byty pri zachovaní architektonickej alebo pamiatkovej hodnoty historických budov; zdôrazňuje potrebu preskúmať potenciál spoločných riešení v oblasti bývania vrátane družstevných, neziskových, čiastočne ziskových a komunitných modelov bývania riadených miestnymi organizáciami s cieľom podporiť dôstojné, cenovo dostupné a udržateľné možnosti bývania a zlepšiť angažovanosť komunity;</w:t>
      </w:r>
    </w:p>
    <w:p w14:paraId="34EA2FED" w14:textId="77777777" w:rsidR="00895679" w:rsidRPr="00CC60F8" w:rsidRDefault="00895679" w:rsidP="004C456F">
      <w:pPr>
        <w:tabs>
          <w:tab w:val="left" w:pos="567"/>
        </w:tabs>
        <w:spacing w:after="240"/>
        <w:ind w:left="567" w:hanging="567"/>
      </w:pPr>
      <w:r w:rsidRPr="00CC60F8">
        <w:t>37.</w:t>
      </w:r>
      <w:r w:rsidRPr="00CC60F8">
        <w:tab/>
        <w:t>berie na vedomie úlohu riešení v oblasti nájomného bývania ako súčasť širšej stratégie bývania a domnieva sa, že EÚ by mala vo svojich politikách bývania chrániť existujúce úspešné modely distribúcie nájomných bytov, ako aj bežnú vnútroštátnu prax v členských štátoch; zdôrazňuje, že nájomné bývanie môže prispieť k riešeniu situácie s nevyhovujúcim bývaním a vylúčením, v ktorej sa ocitajú zraniteľné skupiny; zdôrazňuje, že je dôležité uprednostňovať projekty zamerané na posilnenie inkluzívnych obytných štvrtí s príležitosťami pre všetkých; uvedomuje si náklady na údržbu nájomného bytového fondu, a preto vyzýva na uplatňovanie efektívnych a účinných postupov zameraných na zníženie rozpočtového zaťaženia verejnej správy a občanov; považuje za kľúčové zabezpečiť, aby pri prideľovaní sociálneho bývania boli stanovené transparentné a objektívne kritériá oprávnenosti, ktoré by odrážali miestne podmienky a zároveň zaručovali účinné a primerané využívanie verejných zdrojov; zdôrazňuje, že v oblasti nájomného bývania závisí zabezpečenie cenovo dostupného bývania nielen od nákladov na výstavbu, ale aj od udržateľnosti správy a poskytovania služieb; zdôrazňuje kľúčovú úlohu kvalifikovaných subjektov v oblasti bývania pri udržiavaní priebežnej kvality a cenovej dostupnosti; vyzýva na podporu časti nákladov na správu a služby z verejných zdrojov, čím by sa zvýšila cenová dostupnosť ubytovania pre obyvateľov;</w:t>
      </w:r>
    </w:p>
    <w:p w14:paraId="28063CAF" w14:textId="77777777" w:rsidR="00895679" w:rsidRPr="00CC60F8" w:rsidRDefault="00895679" w:rsidP="004C456F">
      <w:pPr>
        <w:tabs>
          <w:tab w:val="left" w:pos="567"/>
        </w:tabs>
        <w:spacing w:after="240"/>
        <w:ind w:left="567" w:hanging="567"/>
      </w:pPr>
      <w:r w:rsidRPr="00CC60F8">
        <w:t>38.</w:t>
      </w:r>
      <w:r w:rsidRPr="00CC60F8">
        <w:tab/>
        <w:t>domnieva sa, že subjekty sociálneho hospodárstva môžu významne prispieť k zvýšeniu ponuky cenovo dostupného a sociálneho bývania, najmä ak sa k tomu zaviažu z dlhodobého hľadiska, pričom môžu dopĺňať úlohu súkromných subjektov; berie na vedomie význam mechanizmov verejno-súkromnej spolupráce vrátane verejno-súkromných partnerstiev s obmedzeným ziskom, ktoré sa môžu zameriavať na riadenie cenovo dostupného bývania a prispievať k vyváženému trhu v celej Únii; považuje za nevyhnutné mobilizovať súkromné investície so sociálnymi cieľmi cez subjekty sociálneho hospodárstva, ktoré stelesňujú udržateľný model sociálneho hospodárstva dopĺňajúci trh, čím sa posilňuje územná súdržnosť; zdôrazňuje, že projekty cenovo dostupného a sociálneho bývania finančne podporené subjektmi pôsobiacimi v sektore družstevných, čiastočne ziskových alebo neziskových modelov podporujú cieľ zlepšovať cenovú dostupnosť bývania pre miestne komunity; pripomína, že kritériá oprávnenosti na prístup k verejnému financovaniu by mali umožniť účasť subjektov sociálneho hospodárstva, ktoré smerujú investície na ciele všeobecného záujmu a môžu sa z väčšej časti svojich činností venovať dlhodobej správe cenovo dostupného bývania;</w:t>
      </w:r>
    </w:p>
    <w:p w14:paraId="0ED92820" w14:textId="77777777" w:rsidR="00895679" w:rsidRPr="00CC60F8" w:rsidRDefault="00895679" w:rsidP="004C456F">
      <w:pPr>
        <w:tabs>
          <w:tab w:val="left" w:pos="567"/>
        </w:tabs>
        <w:spacing w:after="240"/>
        <w:ind w:left="567" w:hanging="567"/>
      </w:pPr>
      <w:r w:rsidRPr="00CC60F8">
        <w:t>39.</w:t>
      </w:r>
      <w:r w:rsidRPr="00CC60F8">
        <w:tab/>
        <w:t xml:space="preserve">víta oznámenie predsedníčky Komisie </w:t>
      </w:r>
      <w:proofErr w:type="spellStart"/>
      <w:r w:rsidRPr="00CC60F8">
        <w:t>Ursuly</w:t>
      </w:r>
      <w:proofErr w:type="spellEnd"/>
      <w:r w:rsidRPr="00CC60F8">
        <w:t xml:space="preserve"> von der </w:t>
      </w:r>
      <w:proofErr w:type="spellStart"/>
      <w:r w:rsidRPr="00CC60F8">
        <w:t>Leyenovej</w:t>
      </w:r>
      <w:proofErr w:type="spellEnd"/>
      <w:r w:rsidRPr="00CC60F8">
        <w:t xml:space="preserve"> zo septembra 2025</w:t>
      </w:r>
      <w:r w:rsidRPr="00CC60F8">
        <w:rPr>
          <w:rStyle w:val="FootnoteReference"/>
        </w:rPr>
        <w:footnoteReference w:id="53"/>
      </w:r>
      <w:r w:rsidRPr="00CC60F8">
        <w:t xml:space="preserve"> o právnej iniciatíve týkajúcej sa krátkodobých prenájmov, ktorá má riešiť zostávajúce regulačné medzery; vyzýva Komisiu, aby poskytla dodatočné informácie a údaje o nezodpovedaných otázkach, ako aj o vhodnosti intervencie z úrovne EÚ; domnieva sa, </w:t>
      </w:r>
      <w:r w:rsidRPr="00CC60F8">
        <w:lastRenderedPageBreak/>
        <w:t>že cieľom takejto iniciatívy by malo byť zabezpečenie spravodlivej rovnováhy medzi rozvojom cestovného ruchu a dostupnosťou bývania a že táto iniciatíva by mala stanoviť spoločné ciele na úrovni EÚ a zároveň ponechať členským štátom, regiónom a miestnym orgánom flexibilitu pri navrhovaní a vykonávaní opatrení prispôsobených ich špecifickej územnej realite a trhom s bývaním; vyzýva Komisiu, aby po úplnej implementácii nariadenia (EÚ) 2024/1028</w:t>
      </w:r>
      <w:r w:rsidRPr="00CC60F8">
        <w:rPr>
          <w:rStyle w:val="FootnoteReference"/>
        </w:rPr>
        <w:footnoteReference w:id="54"/>
      </w:r>
      <w:r w:rsidRPr="00CC60F8">
        <w:t xml:space="preserve"> o krátkodobom prenájme vykonala na údajoch a dôkazoch založené komplexné posúdenie vplyvu rozšírenia krátkodobých prenájmov na ceny bývania a na cenovú dostupnosť, ponuku a istotu vlastníctva na makro- aj </w:t>
      </w:r>
      <w:proofErr w:type="spellStart"/>
      <w:r w:rsidRPr="00CC60F8">
        <w:t>mikrotrhoch</w:t>
      </w:r>
      <w:proofErr w:type="spellEnd"/>
      <w:r w:rsidRPr="00CC60F8">
        <w:t xml:space="preserve"> s nehnuteľnosťami, s osobitným dôrazom na jeho vplyv na dlhodobý nájomný fond; uvedomuje si, že členské štáty majú na implementáciu nariadenia čas do 20. mája 2026; uznáva možné ťažkosti spojené s </w:t>
      </w:r>
      <w:proofErr w:type="spellStart"/>
      <w:r w:rsidRPr="00CC60F8">
        <w:t>interoperabilitou</w:t>
      </w:r>
      <w:proofErr w:type="spellEnd"/>
      <w:r w:rsidRPr="00CC60F8">
        <w:t xml:space="preserve"> systémov, ako aj problémy, ktorým čelia </w:t>
      </w:r>
      <w:proofErr w:type="spellStart"/>
      <w:r w:rsidRPr="00CC60F8">
        <w:t>mikropodniky</w:t>
      </w:r>
      <w:proofErr w:type="spellEnd"/>
      <w:r w:rsidRPr="00CC60F8">
        <w:t xml:space="preserve"> a MSP pri plnení povinností vyplývajúcich z tohto nariadenia; uznáva odlišný vplyv, ktorý môže mať rozšírenie krátkodobých prenájmov na rôzne územia v závislosti od ich charakteristík; uznáva nedostatočnú právnu zrozumiteľnosť, pokiaľ ide o súlad niektorých vnútroštátnych a lokálnych právnych predpisov s právom EÚ; vyzýva Komisiu, aby formou usmernení objasnila rámec, v ktorom môžu fungovať verejné orgány; vyzýva verejné orgány, aby požiadali digitálne platformy o odstránenie nezákonných ponúk bytov na účely cestovného ruchu; domnieva sa, že je potrebných viac údajov, ale obáva sa, že nadmerné zaťaženie by mohlo obmedziť malé firmy, ako sú firmy z oblasti udržateľného a vidieckeho cestovného ruchu; domnieva sa, že akékoľvek budúce opatrenia by sa mali konzultovať s miestnymi orgánmi, združeniami a príslušnými zainteresovanými stranami, pretože majú najlepšie predpoklady identifikovať potrebné opatrenia, a to aj v záťažových oblastiach, a zaručiť, pričom tieto opatrenia nesmú odrádzať od cestovného ruchu; vyzýva na zabezpečenie toho, aby rozšírenie krátkodobých prenájmov neohrozovalo sociálnu štruktúru, cenovú dostupnosť a dlhodobú životaschopnosť miest;</w:t>
      </w:r>
    </w:p>
    <w:p w14:paraId="5CA75E1B" w14:textId="77777777" w:rsidR="00895679" w:rsidRPr="00CC60F8" w:rsidRDefault="00895679" w:rsidP="004C456F">
      <w:pPr>
        <w:tabs>
          <w:tab w:val="left" w:pos="567"/>
        </w:tabs>
        <w:spacing w:after="240"/>
        <w:ind w:left="567" w:hanging="567"/>
      </w:pPr>
      <w:r w:rsidRPr="00CC60F8">
        <w:t>40.</w:t>
      </w:r>
      <w:r w:rsidRPr="00CC60F8">
        <w:tab/>
        <w:t>pripomína, že v rozsudku Súdneho dvora v spojených veciach C-724/18 a C-727/18</w:t>
      </w:r>
      <w:r w:rsidRPr="00CC60F8">
        <w:rPr>
          <w:rStyle w:val="FootnoteReference"/>
        </w:rPr>
        <w:footnoteReference w:id="55"/>
      </w:r>
      <w:r w:rsidRPr="00CC60F8">
        <w:t xml:space="preserve"> sa uvádza, že môže existovať legitímny verejný záujem o zriadenie mechanizmu na reguláciu krátkodobých prenájmov na národnej, regionálnej alebo miestnej úrovni za predpokladu, že prijaté opatrenia sú nevyhnutné, primerané a proporcionálne; vyzýva na vyvážený prístup, ktorý by zosúladil právo na súkromné vlastníctvo, právnu istotu pre vlastníkov nehnuteľností a udržateľný cestovný ruch s potrebou zachovať dostupnosť bývania a obývateľnosť historických centier miest; domnieva sa, že niektoré opatrenia by mohli pomôcť vrátiť mestským centrám späť ich rezidenčnú funkciu, napríklad adekvátne a primerané systémy vydávania povolení, zvýšená transparentnosť, pokiaľ ide o nadobúdanie rozsiahleho majetku v zahraničí, s cieľom monitorovať dostupnosť bývania, povolenia od susedských združení alebo hlavného vlastníka alebo normy bezpečnosti, kvality a ochrany spotrebiteľa, čím sa zabezpečí, aby tieto politiky boli primerané a prispôsobené konkrétnym okolnostiam; zdôrazňuje potrebu opatrení na ochranu bývania obyvateľov a na zachovanie rozmanitosti a životaschopnosti mestských komunít; vyzýva na to, aby boli činnosti v oblasti cestovného ruchu a ich </w:t>
      </w:r>
      <w:r w:rsidRPr="00CC60F8">
        <w:lastRenderedPageBreak/>
        <w:t xml:space="preserve">pozitívny vplyv na miestne ekonomiky z dlhodobého hľadiska vyvážené zachovaním dostupnosti bývania pre miestnych obyvateľov a strategických pracovníkov a základný personál; </w:t>
      </w:r>
    </w:p>
    <w:p w14:paraId="1BD224E7" w14:textId="77777777" w:rsidR="00895679" w:rsidRPr="00CC60F8" w:rsidRDefault="00895679" w:rsidP="004C456F">
      <w:pPr>
        <w:spacing w:after="240"/>
        <w:rPr>
          <w:b/>
          <w:bCs/>
          <w:i/>
          <w:iCs/>
        </w:rPr>
      </w:pPr>
      <w:r w:rsidRPr="00CC60F8">
        <w:rPr>
          <w:b/>
          <w:i/>
        </w:rPr>
        <w:t>Zabezpečenie financovania a uľahčenie investícií</w:t>
      </w:r>
    </w:p>
    <w:p w14:paraId="67DE6564" w14:textId="77777777" w:rsidR="00895679" w:rsidRPr="00CC60F8" w:rsidRDefault="00895679" w:rsidP="004C456F">
      <w:pPr>
        <w:spacing w:after="240"/>
        <w:rPr>
          <w:i/>
          <w:iCs/>
        </w:rPr>
      </w:pPr>
      <w:r w:rsidRPr="00CC60F8">
        <w:rPr>
          <w:i/>
        </w:rPr>
        <w:t>Súkromné investície</w:t>
      </w:r>
    </w:p>
    <w:p w14:paraId="59E4A55D" w14:textId="77777777" w:rsidR="00895679" w:rsidRPr="00CC60F8" w:rsidRDefault="00895679" w:rsidP="004C456F">
      <w:pPr>
        <w:tabs>
          <w:tab w:val="left" w:pos="567"/>
        </w:tabs>
        <w:spacing w:after="240"/>
        <w:ind w:left="567" w:hanging="567"/>
      </w:pPr>
      <w:r w:rsidRPr="00CC60F8">
        <w:t>41.</w:t>
      </w:r>
      <w:r w:rsidRPr="00CC60F8">
        <w:tab/>
        <w:t>naliehavo vyzýva na mobilizáciu súkromných investícií, keďže je dôležité doplniť verejné úsilie pri riešení nedostatku dôstojného, udržateľného a cenovo dostupného bývania a keďže samotný verejný sektor nedokáže riešiť súčasný nedostatok likvidity na trhu; uznáva strategickú úlohu súkromného sektora, družstiev a kótovaných realitných spoločností pri riešení krízy bývania v EÚ uvoľnením prístupu ku kapitálu, poskytovaním rozsiahleho cenovo dostupného a sociálneho bývania a podporou inovácií v oblasti výstavby a udržateľnosti; vyzýva Komisiu, aby preskúmala vplyv nákupov nehnuteľností v zahraničí; konštatuje, že trhové riešenia bývania sú naďalej účinným spôsobom udržateľného rozširovania ponuky, a v tejto súvislosti zdôrazňuje význam regulačného prostredia, ktoré je priaznivé pre investície; vyzýva členské štáty a inštitúcie EÚ, aby vytvorili podmienky na prilákanie a mobilizovanie dlhodobých, zodpovedných, spoľahlivých a stabilných súkromných investícií do výstavby, zmeny účelu a obnovy obydlí pre domácnosti s nízkymi a so strednými príjmami; vyzýva na dobudovanie únie úspor a investícií ako spôsobu, ako zvýšiť dostupnosť súkromného kapitálu cez hranice; zdôrazňuje pákový efekt, ktorý môžu malé sumy verejných prostriedkov dosiahnuť na trhu; vyzýva členské štáty, aby preskúmali špecializované investičné nástroje v oblasti bývania, ktoré by umožnili nasmerovať súkromné úspory do projektov cenovo dostupného bývania; zdôrazňuje potrebu zaviesť financovanie založené na výkonnosti v zodpovednosti miestnych orgánov a prepojiť stimuly s cieľmi v oblasti poskytovania bývania; žiada vytvorenie indexu sociálneho vplyvu na meranie a definovanie doplnkovosti investícií do sociálneho a cenovo dostupného bývania s cieľom prilákať viac investícií do tohto sektora;</w:t>
      </w:r>
    </w:p>
    <w:p w14:paraId="6AFB1E92" w14:textId="77777777" w:rsidR="00895679" w:rsidRPr="00CC60F8" w:rsidRDefault="00895679" w:rsidP="004C456F">
      <w:pPr>
        <w:tabs>
          <w:tab w:val="left" w:pos="567"/>
        </w:tabs>
        <w:spacing w:after="240"/>
        <w:ind w:left="567" w:hanging="567"/>
      </w:pPr>
      <w:r w:rsidRPr="00CC60F8">
        <w:t>42.</w:t>
      </w:r>
      <w:r w:rsidRPr="00CC60F8">
        <w:tab/>
        <w:t xml:space="preserve">upozorňuje na čoraz väčšie ťažkosti v prístupe k financovaniu bývania, keďže domácnosti s nízkymi a so strednými príjmami majú čoraz ťažšie získavajú úver na bývanie vrátane vlastníctva nehnuteľnosti; vyzýva Komisiu a členské štáty, aby ďalej skúmali politiky zamerané na zabezpečenie spravodlivého a udržateľného prístupu k financovaniu bývania, najmä pre kupujúcich, ktorí si kupujú bývanie po prvýkrát, a pre kupujúcich s nízkymi a so strednými príjmami; zdôrazňuje, že je potrebné, aby orgány </w:t>
      </w:r>
      <w:proofErr w:type="spellStart"/>
      <w:r w:rsidRPr="00CC60F8">
        <w:t>makroprudenciálneho</w:t>
      </w:r>
      <w:proofErr w:type="spellEnd"/>
      <w:r w:rsidRPr="00CC60F8">
        <w:t xml:space="preserve"> dohľadu a orgány dohľadu vrátane Európskeho výboru pre systémové riziká a Európskej centrálnej banky zohľadnili tieto systémové riziká vo svojich monitorovacích rámcoch a hodnoteniach rizík; konštatuje, že smernica o kapitálových požiadavkách</w:t>
      </w:r>
      <w:r w:rsidRPr="00CC60F8">
        <w:rPr>
          <w:rStyle w:val="FootnoteReference"/>
        </w:rPr>
        <w:footnoteReference w:id="56"/>
      </w:r>
      <w:r w:rsidRPr="00CC60F8">
        <w:t xml:space="preserve"> umožňuje členským štátom zaviesť rezervy na krytie systémového rizika pre určité expozície a že niektoré z nich sa rozhodli zaviesť rezervy na krytie niektorých expozícií zabezpečených obytnými nehnuteľnosťami, čo zvyšuje náklady na financovanie nehnuteľného majetku určeného na bývanie; vyzýva Európsky orgán pre bankovníctvo, aby v zmysle svojich usmernení plne využil flexibilitu na </w:t>
      </w:r>
      <w:r w:rsidRPr="00CC60F8">
        <w:lastRenderedPageBreak/>
        <w:t>podporu hypoték na obytné nehnuteľnosti a zároveň zabezpečil finančnú stabilitu; vyzýva členské štáty, aby dôkladne posúdili primeranosť úrovne rezerv na krytie systémového rizika pre expozície zabezpečené obytnými nehnuteľnosťami; podporuje možnosť uvedenú v nariadení o kapitálových požiadavkách</w:t>
      </w:r>
      <w:r w:rsidRPr="00CC60F8">
        <w:rPr>
          <w:rStyle w:val="FootnoteReference"/>
        </w:rPr>
        <w:footnoteReference w:id="57"/>
      </w:r>
      <w:r w:rsidRPr="00CC60F8">
        <w:t xml:space="preserve"> využiť preferenčné obozretné zaobchádzanie pri expozíciách súvisiacich s nadobúdaním pozemkov, rozvojom a výstavbou, čím sa uľahčí prístup k financovaniu projektov rozvoja bývania; vyzýva Komisiu a členské štáty, aby zvýšili transparentnosť transakcií s nehnuteľnosťami a monitorovali prepojenia medzi realitnými fondmi a bankami a inými inštitucionálnymi investormi s cieľom identifikovať prípadné kanály nákazy a chrániť finančnú stabilitu; v tejto súvislosti víta preskúmanie </w:t>
      </w:r>
      <w:proofErr w:type="spellStart"/>
      <w:r w:rsidRPr="00CC60F8">
        <w:t>sekuritizačného</w:t>
      </w:r>
      <w:proofErr w:type="spellEnd"/>
      <w:r w:rsidRPr="00CC60F8">
        <w:t xml:space="preserve"> rámca EÚ, ktoré Komisia predložila 17. júna 2025 v snahe uvoľniť súvahy bánk a zvýšiť ich úverovú kapacitu; vyzýva Komisiu, aby posúdila vplyv nariadenia o kapitálových požiadavkách na malé stavebné firmy s cieľom zabezpečiť, aby sa s úvermi na bytové projekty zaobchádzalo primerane vzhľadom na to, že projekty s nižším systémovým rizikom sú často vopred predané, poistené alebo garantované verejnými orgánmi;</w:t>
      </w:r>
    </w:p>
    <w:p w14:paraId="685BFF95" w14:textId="77777777" w:rsidR="00895679" w:rsidRPr="00CC60F8" w:rsidRDefault="00895679" w:rsidP="004C456F">
      <w:pPr>
        <w:tabs>
          <w:tab w:val="left" w:pos="567"/>
        </w:tabs>
        <w:spacing w:after="240"/>
        <w:ind w:left="567" w:hanging="567"/>
      </w:pPr>
      <w:bookmarkStart w:id="11" w:name="_Hlk219800304"/>
      <w:r w:rsidRPr="00CC60F8">
        <w:t>43.</w:t>
      </w:r>
      <w:r w:rsidRPr="00CC60F8">
        <w:tab/>
        <w:t>zdôrazňuje význam ochrany finančnej stability a potrebu zabezpečiť, aby finančné nástroje prispievali k cenovej dostupnosti bývania; podčiarkuje úlohu Paktu stability a rastu na zabezpečenie finančnej stability v EÚ, ktorá je predpokladom rozšírenia ponuky bývania; zdôrazňuje, že všeobecná úniková doložka aj národná úniková doložka by mali zostať výnimočným a dočasným nástrojom; zdôrazňuje, že všetky verejné investície do bývania musia zostať v súlade s fiškálnymi pravidlami Únie;</w:t>
      </w:r>
      <w:bookmarkEnd w:id="11"/>
    </w:p>
    <w:p w14:paraId="2C68DEFB" w14:textId="77777777" w:rsidR="00895679" w:rsidRPr="00CC60F8" w:rsidRDefault="00895679" w:rsidP="004C456F">
      <w:pPr>
        <w:spacing w:after="240"/>
        <w:jc w:val="both"/>
      </w:pPr>
      <w:r w:rsidRPr="00CC60F8">
        <w:rPr>
          <w:i/>
        </w:rPr>
        <w:t>Verejná a súkromná spolupráca</w:t>
      </w:r>
    </w:p>
    <w:p w14:paraId="4E3F1395" w14:textId="77777777" w:rsidR="00895679" w:rsidRPr="00CC60F8" w:rsidRDefault="00895679" w:rsidP="004C456F">
      <w:pPr>
        <w:tabs>
          <w:tab w:val="left" w:pos="567"/>
        </w:tabs>
        <w:spacing w:after="240"/>
        <w:ind w:left="567" w:hanging="567"/>
      </w:pPr>
      <w:r w:rsidRPr="00CC60F8">
        <w:t>44.</w:t>
      </w:r>
      <w:r w:rsidRPr="00CC60F8">
        <w:tab/>
        <w:t xml:space="preserve">vyzýva na posilnenie a väčšiu transparentnosť mechanizmov spolupráce medzi verejným a súkromným sektorom na politike v oblasti bývania s cieľom mobilizovať dodatočné finančné zdroje prostredníctvom európskych rámcov spolufinancovania, ktoré spájajú verejné investície s kapacitou a inováciami súkromných a verejných subjektov; zdôrazňuje, že takéto partnerstvá môžu znásobiť vplyv verejných zdrojov a urýchliť rozvoj kvalitného a cenovo dostupného bývania; vyzýva verejné orgány, aby zabezpečili, že tieto partnerstvá budú v súlade s verejným záujmom a s dlhodobými cieľmi týkajúcimi sa cenovej dostupnosti; vyzýva verejné orgány, aby využili odborné znalosti súkromného sektora tým, že v prípade potreby ponúknu firmám a zainteresovaným stranám zapojeným do projektov reálne cenovo dostupného bývania cielené dlhodobé stimuly napríklad aj formou investovania miestnych orgánov a regionálnych samospráv do rozvoja infraštruktúry v mestských, prímestských, vidieckych či vyľudnených oblastiach; zdôrazňuje úlohu, ktorú v tejto súvislosti môžu zohrávať národné podporné banky a inštitúcie; nabáda Komisiu, aby zabezpečila, že stratégia „vlna obnovy“ a Európsky plán pre cenovo dostupné bývanie prinesú skutočné príležitosti na investície zo súkromného sektora a uľahčia fungovanie zodpovedných a transparentných verejno-súkromných partnerstiev v rámci rozsiahlych projektov obnovy miest a rozvoja infraštruktúry; zdôrazňuje, že opatrenia štátnej pomoci by mali byť navrhnuté tak, aby dopĺňali súkromné investície a predišlo sa ich vytláčaniu a zabezpečila sa dlhodobá finančná stabilita, pričom by sa malo zabezpečiť, aby podporné </w:t>
      </w:r>
      <w:r w:rsidRPr="00CC60F8">
        <w:lastRenderedPageBreak/>
        <w:t>opatrenia nadmerne nezaťažovali daňových poplatníkov a nenarušovali trhy;</w:t>
      </w:r>
    </w:p>
    <w:p w14:paraId="64DF1125" w14:textId="77777777" w:rsidR="00895679" w:rsidRPr="00CC60F8" w:rsidRDefault="00895679" w:rsidP="004C456F">
      <w:pPr>
        <w:spacing w:after="240"/>
        <w:rPr>
          <w:i/>
          <w:iCs/>
        </w:rPr>
      </w:pPr>
      <w:r w:rsidRPr="00CC60F8">
        <w:rPr>
          <w:i/>
        </w:rPr>
        <w:t>Verejné financovanie</w:t>
      </w:r>
    </w:p>
    <w:p w14:paraId="5CA1A65C" w14:textId="77777777" w:rsidR="00895679" w:rsidRPr="00CC60F8" w:rsidRDefault="00895679" w:rsidP="004C456F">
      <w:pPr>
        <w:pStyle w:val="NormalHanging12a"/>
      </w:pPr>
      <w:bookmarkStart w:id="12" w:name="_Hlk219972485"/>
      <w:r w:rsidRPr="00CC60F8">
        <w:t>45.</w:t>
      </w:r>
      <w:r w:rsidRPr="00CC60F8">
        <w:tab/>
        <w:t xml:space="preserve">zasadzuje sa za strategické, zodpovedné a efektívne privádzanie investícií do sektora bývania využitím príslušných fondov EÚ, ktoré umožnia dostať viac investícií do bývania konsolidáciou a vyčlenením finančnej podpory, ktorá je aktuálne rozptýlená vo viacerých programoch, ako sú fondy politiky súdržnosti, </w:t>
      </w:r>
      <w:proofErr w:type="spellStart"/>
      <w:r w:rsidRPr="00CC60F8">
        <w:t>InvestEU</w:t>
      </w:r>
      <w:proofErr w:type="spellEnd"/>
      <w:r w:rsidRPr="00CC60F8">
        <w:t xml:space="preserve"> alebo </w:t>
      </w:r>
      <w:proofErr w:type="spellStart"/>
      <w:r w:rsidRPr="00CC60F8">
        <w:t>NextGenerationEU</w:t>
      </w:r>
      <w:proofErr w:type="spellEnd"/>
      <w:r w:rsidRPr="00CC60F8">
        <w:t xml:space="preserve"> vrátane Mechanizmu na podporu obnovy a odolnosti, a tam, kde je to možné, zdôrazňuje úlohu EIB a národných podporných bánk a inštitúcií s ohľadom na právomoci členských štátov;</w:t>
      </w:r>
      <w:bookmarkEnd w:id="12"/>
      <w:r w:rsidRPr="00CC60F8">
        <w:t xml:space="preserve"> vyzýva Komisiu, aby vypracovala odporúčania k príslušným finančným mechanizmom, vďaka ktorým by členské štáty ponúkali úvery s dlhodobou splatnosťou na financovanie neodkladných projektov v oblasti bývania; nabáda členské štáty, aby presunuli nevyužité zdroje zo svojich národných plánov obnovy a odolnosti do finančných nástrojov a umožnili tak výstavbu a obnovu sociálnych, verejných, družstevných a cenovo dostupných obytných jednotiek s tým, že riadením týchto fondov poveria miestne a regionálne samosprávy; vyzýva Komisiu a členské štáty, aby zaviedli účinné, transparentné, inkluzívne a spravodlivé mechanizmy prideľovania finančných prostriedkov príjemcom z fondov a finančných nástrojov EÚ, ako sú miestne a regionálne orgány, s cieľom zaručiť hospodársku, sociálnu a územnú súdržnosť; poukazuje na to, že nerovnomerný hospodársky rozvoj v rôznych častiach Európy a následná ekonomická migrácia v rámci EÚ výrazne prispievajú k tlaku na ceny bývania; v tejto súvislosti zdôrazňuje význam politiky súdržnosti EÚ z hľadiska súčasného i budúceho regionálneho rozvoja; vyzýva na zriadenie zjednodušenej digitálnej platformy ako jednotného kontaktného miesta, ktorá by miestnym a regionálnym orgánom umožňovala priamy prístup k fondom EÚ na bývanie; vyzýva, aby súčasťou systémov financovania EÚ boli aj zjednodušené postupy vrátane mechanizmov predbežného financovania a grantov s cieľom zabezpečiť rovnaký prístup menším ekonomikám a obciam s obmedzenými administratívnymi kapacitami a urýchliť investície do sociálneho a cenovo dostupného bývania; podporuje národné úsilie v oblasti vlastníctva nehnuteľností, ktoré by domácnostiam umožnilo získať majetok, ktorý by mohli odovzdávať ďalej; naliehavo vyzýva členské štáty, aby uplatnili flexibilitu pri navrhovaní a realizácii systémov financovania nového bývania, ktorá by umožnila spravodlivý mix vo využívaní sociálneho a súkromného bývania; odporúča prijať silnejší program </w:t>
      </w:r>
      <w:proofErr w:type="spellStart"/>
      <w:r w:rsidRPr="00CC60F8">
        <w:t>InvestEU</w:t>
      </w:r>
      <w:proofErr w:type="spellEnd"/>
      <w:r w:rsidRPr="00CC60F8">
        <w:t xml:space="preserve"> na obdobie 2028 – 2034 s cieľom zvýšiť objem záruk podporovaných z rozpočtu EÚ na projekty dôstojného, udržateľného a cenovo dostupného bývania; </w:t>
      </w:r>
      <w:bookmarkStart w:id="13" w:name="_Hlk219969242"/>
      <w:bookmarkStart w:id="14" w:name="_Hlk219969182"/>
      <w:r w:rsidRPr="00CC60F8">
        <w:rPr>
          <w:snapToGrid w:val="0"/>
        </w:rPr>
        <w:t xml:space="preserve">vyzýva Komisiu, aby posilnila osobitné štruktúry bývania a ďalej preskúmala pridanú hodnotu vytvorenia európskej agentúry pre bývanie, ktorá by zhromažďovala a analyzovala príslušné údaje poskytované národnými štatistickými úradmi, </w:t>
      </w:r>
      <w:proofErr w:type="spellStart"/>
      <w:r w:rsidRPr="00CC60F8">
        <w:rPr>
          <w:snapToGrid w:val="0"/>
        </w:rPr>
        <w:t>Eurostatom</w:t>
      </w:r>
      <w:proofErr w:type="spellEnd"/>
      <w:r w:rsidRPr="00CC60F8">
        <w:rPr>
          <w:snapToGrid w:val="0"/>
        </w:rPr>
        <w:t xml:space="preserve"> a nadáciou </w:t>
      </w:r>
      <w:proofErr w:type="spellStart"/>
      <w:r w:rsidRPr="00CC60F8">
        <w:rPr>
          <w:snapToGrid w:val="0"/>
        </w:rPr>
        <w:t>Eurofound</w:t>
      </w:r>
      <w:proofErr w:type="spellEnd"/>
      <w:r w:rsidRPr="00CC60F8">
        <w:rPr>
          <w:snapToGrid w:val="0"/>
        </w:rPr>
        <w:t xml:space="preserve"> s úmyslom podporovať výmenu najlepších postupov, poskytovať odbornú pomoc a usmernenia členským štátom a regionálnym a miestnym orgánom a podporovať budovanie kapacít na všetkých úrovniach s cieľom maximalizovať synergické účinky a spoluprácu medzi rôznymi inštitúciami</w:t>
      </w:r>
      <w:bookmarkEnd w:id="13"/>
      <w:bookmarkEnd w:id="14"/>
      <w:r w:rsidRPr="00CC60F8">
        <w:rPr>
          <w:snapToGrid w:val="0"/>
        </w:rPr>
        <w:t>;</w:t>
      </w:r>
    </w:p>
    <w:p w14:paraId="4078032B" w14:textId="77777777" w:rsidR="00895679" w:rsidRPr="00CC60F8" w:rsidRDefault="00895679" w:rsidP="004C456F">
      <w:pPr>
        <w:pStyle w:val="NormalHanging12a"/>
        <w:rPr>
          <w:bCs/>
          <w:iCs/>
        </w:rPr>
      </w:pPr>
      <w:r w:rsidRPr="00CC60F8">
        <w:t>46.</w:t>
      </w:r>
      <w:r w:rsidRPr="00CC60F8">
        <w:tab/>
        <w:t xml:space="preserve">zdôrazňuje dôležitú úlohu, ktorú politika súdržnosti zohráva pri podpore hospodárskej, sociálnej a územnej súdržnosti v rámci EÚ, ako aj pri znižovaní rozdielov medzi regiónmi a predchádzaní fragmentácii a narúšaniu jednotného trhu; domnieva sa, že jeho potenciál podporovať výzvy v oblasti rozvoja miest a vidieka by sa mohol ďalej posilniť; vyzýva členské štáty, aby využili dostupnú flexibilitu a umožnili doplnenie cieľov v oblasti bývania do Európskeho fondu regionálneho rozvoja, Kohézneho fondu a Fondu na spravodlivú transformáciu; vyzýva na výraznejšiu finančnú podporu pre </w:t>
      </w:r>
      <w:r w:rsidRPr="00CC60F8">
        <w:lastRenderedPageBreak/>
        <w:t xml:space="preserve">miestne, regionálne a mestské orgány na rozvoj dôstojného, udržateľného a cenovo dostupného nájomného bývania a zároveň nabáda členské štáty, aby zabezpečili účinné a transparentné využívanie finančných prostriedkov EÚ na všetkých úrovniach riadenia na národnej, regionálnej a miestnej úrovni; zdôrazňuje, že tieto investície musia ísť ruka v ruke s dlhodobou cenovou dostupnosťou a zaručovať trvalý prínos pre komunity; zdôrazňuje, že verejná podpora projektov bývania by mala nadväzovať na stratégie mestského a regionálneho rozvoja založené na dobrej správe vecí verejných; vyzýva, aby sa pri investíciách z prostriedkov EÚ dodržiavali opatrenia týkajúce sa prístupnosti pre starších ľudí a osoby so zdravotným postihnutím a aby boli použité ako nástroj na posilnenie sociálnej súdržnosti; vyzýva Komisiu, aby členské štáty viedla k vypracovaniu a predloženiu národnej analýzy rozdielov v oblasti bývania a národného plánu ponuky bývania spolu s míľnikmi súvisiacimi s vydávaním povolení a opatreniami na zosúladenie financovania; vyzýva členské štáty, aby prijali viacročné ciele v oblasti poskytovania sociálneho bývania, a to aj pokiaľ ide o infraštruktúru a služby; vyzýva venovať osobitnú pozornosť projektom výstavby a obnovy v oblastiach postihnutých alebo potenciálne ohrozovaných prírodnými katastrofami a živelnými pohromami, pričom zdôrazňuje význam adaptácie a územného plánovania vrátane efektívneho využívania Európskeho fondu regionálneho rozvoja a ESF+ na financovanie podporných opatrení; zdôrazňuje, že je dôležité zabezpečiť, aby boli z Európskeho fondu regionálneho rozvoja a z Programu </w:t>
      </w:r>
      <w:proofErr w:type="spellStart"/>
      <w:r w:rsidRPr="00CC60F8">
        <w:t>InvestEU</w:t>
      </w:r>
      <w:proofErr w:type="spellEnd"/>
      <w:r w:rsidRPr="00CC60F8">
        <w:t xml:space="preserve"> poskytované adekvátne nástroje na modernizáciu existujúceho bytového fondu;</w:t>
      </w:r>
    </w:p>
    <w:p w14:paraId="571E6A1A" w14:textId="77777777" w:rsidR="00895679" w:rsidRPr="00CC60F8" w:rsidRDefault="00895679" w:rsidP="004C456F">
      <w:pPr>
        <w:pStyle w:val="NormalHanging12a"/>
        <w:rPr>
          <w:bCs/>
          <w:iCs/>
        </w:rPr>
      </w:pPr>
      <w:r w:rsidRPr="00CC60F8">
        <w:t>47.</w:t>
      </w:r>
      <w:r w:rsidRPr="00CC60F8">
        <w:tab/>
        <w:t>schvaľuje, že EIB zohráva úlohu pri stimulovaní verejného financovania a súkromného financovania sektora cenovo dostupného bývania; podporuje akčný plán skupiny EIB pre cenovo dostupné bývanie a jej zámer spolupracovať s Komisiou na riešení spoločných problémov pri umožňovaní prístupu k financovaniu dostupného bývania vrátane stimulovania investícií do inovatívnej výstavby s cieľom znížiť náklady a skrátiť čas výstavby; podporuje vytvorenie celoeurópskej investičnej platformy spolu s národnými podpornými bankami a inštitúciami, ktorej cieľom je zvýšiť financovanie dôstojného, udržateľného a cenovo dostupného bývania a v prípade potreby podporiť členské štáty pri vytváraní podporných politických rámcov, pričom sa zachová úloha EIB ako investičnej banky a udrží jej rating AAA; zdôrazňuje kľúčovú úlohu, ktorú môže EIB zohrávať v spolupráci s národnými podpornými bankami, Rozvojovou bankou Rady Európy a medzinárodnými finančnými inštitúciami pri sprostredkovaní investícií do podpory sociálnej súdržnosti na účely poskytnutia dôstojného, udržateľného a cenovo dostupného bývania; opätovne potvrdzuje, že to malo fungovať na základe modelu otvorenej architektúry, ktorý zaručí zmysluplné a efektívne zapojenie národných podporných bánk a inštitúcií; vyzýva Komisiu, aby podporovala úsilie národných podporných bánk a inštitúcií výmenou osvedčených postupov a urýchlenou implementáciou Európskeho plánu pre cenovo dostupné bývanie, pričom by mala vychádzať z ich dlhodobých odborných skúseností a regionálnych prepojení, pokiaľ ide o financovanie cenovo dostupného a sociálneho bývania; víta rôzne typy financovaných projektov, ako sú cenovo dostupné bývanie pre kľúčové profesie, študentské ubytovanie a miesta pre starších ľudí; zdôrazňuje, že prioritou investícií podporovaných EIB musí byť dlhodobá cenová dostupnosť; podporuje vytvorenie iniciatívy online portálu „</w:t>
      </w:r>
      <w:r w:rsidRPr="00CC60F8">
        <w:rPr>
          <w:i/>
          <w:iCs/>
        </w:rPr>
        <w:t xml:space="preserve">More </w:t>
      </w:r>
      <w:proofErr w:type="spellStart"/>
      <w:r w:rsidRPr="00CC60F8">
        <w:rPr>
          <w:i/>
          <w:iCs/>
        </w:rPr>
        <w:t>homes</w:t>
      </w:r>
      <w:proofErr w:type="spellEnd"/>
      <w:r w:rsidRPr="00CC60F8">
        <w:rPr>
          <w:i/>
          <w:iCs/>
        </w:rPr>
        <w:t>.</w:t>
      </w:r>
      <w:r w:rsidRPr="00CC60F8">
        <w:t xml:space="preserve"> </w:t>
      </w:r>
      <w:proofErr w:type="spellStart"/>
      <w:r w:rsidRPr="00CC60F8">
        <w:rPr>
          <w:i/>
          <w:iCs/>
        </w:rPr>
        <w:t>Better</w:t>
      </w:r>
      <w:proofErr w:type="spellEnd"/>
      <w:r w:rsidRPr="00CC60F8">
        <w:rPr>
          <w:i/>
          <w:iCs/>
        </w:rPr>
        <w:t xml:space="preserve"> </w:t>
      </w:r>
      <w:proofErr w:type="spellStart"/>
      <w:r w:rsidRPr="00CC60F8">
        <w:rPr>
          <w:i/>
          <w:iCs/>
        </w:rPr>
        <w:t>homes</w:t>
      </w:r>
      <w:proofErr w:type="spellEnd"/>
      <w:r w:rsidRPr="00CC60F8">
        <w:t xml:space="preserve">“ ako stavebného kameňa celoeurópskej investičnej platformy; myslí si, že národné podporné banky a inštitúcie by sa mali od začiatku podieľať na vývoji každého portálu alebo nástroja na úrovni EÚ; vyzýva EIB, aby preskúmala vytvorenie európskej platformy financovania zameranej na zvýšenie financovania a sekuritizácie dôstojného, udržateľného a cenovo dostupného </w:t>
      </w:r>
      <w:r w:rsidRPr="00CC60F8">
        <w:lastRenderedPageBreak/>
        <w:t>bývania; víta nový jednotný portál EIB pre bývanie, ktorý poskytuje poradenstvo v oblasti bývania a podporuje inovácie v odvetví stavebníctva; vyzýva EIB, aby rozšírila tak prístup k dlhodobým úverom s nízkymi úrokmi krytým zárukami EÚ, ako aj rozsah a geografický dosah jej finančnej podpory bývania, pričom zohľadní nielen kritériá energetickej účinnosti a udržateľnosti, ale aj potreby a priority miestnych komunít a tiež obnovu bytového fondu v celej Európe; poukazuje na to, že na rastúci dopyt po bývaní treba reagovať opatreniami zameranými na rozšírenie ponuky sociálneho, dôstojného, udržateľného a cenovo dostupného bývania;</w:t>
      </w:r>
    </w:p>
    <w:p w14:paraId="44D94D59" w14:textId="77777777" w:rsidR="00895679" w:rsidRPr="00CC60F8" w:rsidRDefault="00895679" w:rsidP="004C456F">
      <w:pPr>
        <w:pStyle w:val="NormalHanging12a"/>
        <w:rPr>
          <w:bCs/>
          <w:iCs/>
        </w:rPr>
      </w:pPr>
      <w:bookmarkStart w:id="15" w:name="_Hlk219897954"/>
      <w:r w:rsidRPr="00CC60F8">
        <w:t>48.</w:t>
      </w:r>
      <w:r w:rsidRPr="00CC60F8">
        <w:tab/>
        <w:t xml:space="preserve">vyzýva Komisiu, aby analyzovala dynamiku cien bývania využitím dostupných dôkazov o potenciálne neoprávnených špekuláciách a aby na základe tejto analýzy vyzvala členské štáty na prijatie možných adekvátnych opatrení; zdôrazňuje význam ochrany finančnej stability a potrebu zabezpečiť, aby finančné nástroje prispievali k </w:t>
      </w:r>
      <w:bookmarkStart w:id="16" w:name="_Hlk220533020"/>
      <w:r w:rsidRPr="00CC60F8">
        <w:t xml:space="preserve">zaručeniu dôstojného, udržateľného a cenovo dostupného bývania </w:t>
      </w:r>
      <w:bookmarkEnd w:id="16"/>
      <w:r w:rsidRPr="00CC60F8">
        <w:t xml:space="preserve">pre všetkých; vyzýva Komisiu a členské štáty, aby zvýšili transparentnosť transakcií s nehnuteľnosťami, a to aj zlepšením zberu údajov a možných nástrojov na úrovni EÚ; vyzýva Komisiu a členské štáty, aby si vymieňali údaje a najlepšie postupy v oblasti boja proti nekalým praktikám </w:t>
      </w:r>
      <w:proofErr w:type="spellStart"/>
      <w:r w:rsidRPr="00CC60F8">
        <w:t>financializácie</w:t>
      </w:r>
      <w:proofErr w:type="spellEnd"/>
      <w:r w:rsidRPr="00CC60F8">
        <w:t xml:space="preserve"> a špekulatívnym nákupom, a tým znížili pravdepodobnosť destabilizácie miestnych trhov s bývaním; vyzýva členské štáty, aby prijali opatrenia na stimulovanie opätovného využívania voľných a opustených obydlí, keďže je to nevyhnutné na zvýšenie ponuky, zabezpečenie cenovej dostupnosti a revitalizáciu komunít; zdôrazňuje, že verejné investície do bývania by mali slúžiť verejnému záujmu a tvoriť dlhodobú hodnotu; víta modely štátneho vlastníctva, v ktorých je bývanie naďalej spravované verejnými inštitúciami, čo by v určitých súvislostiach mohlo pomôcť pri prevencii nekalých praktík </w:t>
      </w:r>
      <w:proofErr w:type="spellStart"/>
      <w:r w:rsidRPr="00CC60F8">
        <w:t>financializácie</w:t>
      </w:r>
      <w:proofErr w:type="spellEnd"/>
      <w:r w:rsidRPr="00CC60F8">
        <w:t>, avšak zároveň zdôrazňuje, že projekty bývania, ktoré prechádzajú do súkromných rúk, sú takisto legitímne; pripomína, že členské štáty by mali mať možnosť slobodne sa rozhodnúť, ako budú tieto projekty riadiť v súlade so svojimi vnútroštátnymi politikami;</w:t>
      </w:r>
      <w:bookmarkEnd w:id="15"/>
    </w:p>
    <w:p w14:paraId="5F792A5E" w14:textId="77777777" w:rsidR="00895679" w:rsidRPr="00CC60F8" w:rsidRDefault="00895679" w:rsidP="004C456F">
      <w:pPr>
        <w:spacing w:after="240"/>
        <w:jc w:val="both"/>
        <w:rPr>
          <w:b/>
          <w:bCs/>
          <w:i/>
          <w:iCs/>
        </w:rPr>
      </w:pPr>
      <w:r w:rsidRPr="00CC60F8">
        <w:rPr>
          <w:b/>
          <w:i/>
        </w:rPr>
        <w:t>Podpora dopytu po bývaní</w:t>
      </w:r>
    </w:p>
    <w:p w14:paraId="465B4C96" w14:textId="77777777" w:rsidR="00895679" w:rsidRPr="00CC60F8" w:rsidRDefault="00895679" w:rsidP="004C456F">
      <w:pPr>
        <w:spacing w:after="240"/>
        <w:jc w:val="both"/>
      </w:pPr>
      <w:r w:rsidRPr="00CC60F8">
        <w:rPr>
          <w:i/>
        </w:rPr>
        <w:t>Mladí ľudia</w:t>
      </w:r>
    </w:p>
    <w:p w14:paraId="3795FAAC" w14:textId="77777777" w:rsidR="00895679" w:rsidRPr="00CC60F8" w:rsidRDefault="00895679" w:rsidP="004C456F">
      <w:pPr>
        <w:spacing w:after="240"/>
        <w:ind w:left="720" w:hanging="720"/>
      </w:pPr>
      <w:r w:rsidRPr="00CC60F8">
        <w:t>49.</w:t>
      </w:r>
      <w:r w:rsidRPr="00CC60F8">
        <w:tab/>
        <w:t>zdôrazňuje, že je potrebné venovať osobitnú pozornosť mladším a budúcim generáciám, najmä v oblastiach s nízkou mierou ekonomickej nezávislosti a tam, kde mladí ľudia dlhšie opúšťajú svoj rodinný domov; konštatuje, že mladí ľudia sú čoraz viac závislí od trhu s nájomným bývaním, ktoré je ich hlavnou formou bývania</w:t>
      </w:r>
      <w:r w:rsidRPr="00CC60F8">
        <w:rPr>
          <w:rStyle w:val="FootnoteReference"/>
        </w:rPr>
        <w:footnoteReference w:id="58"/>
      </w:r>
      <w:r w:rsidRPr="00CC60F8">
        <w:t xml:space="preserve">, a preto vyzýva na posilnenie práv nájomcov i vlastníckych práv a na uplatňovanie ochranných nástrojov, ktoré mladým generáciám zabezpečia stabilitu a cenovú dostupnosť; vyzýva Komisiu, aby zjednodušeným postupom preskúmala a podporila najlepšie postupy na regionálnej a miestnej úrovni, pokiaľ ide o iniciatívy v oblasti bývania pre mladých ľudí, vrátane programov pre tých, ktorí kupujú prvýkrát; vyzýva členské štáty a miestne orgány, aby podporovali opatrenia, ktoré mladým ľuďom umožnia prístup k úverom na bývanie, vrátane stimulov, ako sú znížené transakčné sadzby pre mladých kupujúcich a tých, ktorí kupujú prvýkrát; vyzýva na oslobodenie od transakčnej dane pre kupujúcich, ktorí nehnuteľnosť obývajú počas určitého </w:t>
      </w:r>
      <w:r w:rsidRPr="00CC60F8">
        <w:lastRenderedPageBreak/>
        <w:t>obdobia; podporuje poskytovanie úverov s nízkymi úrokmi pre mladých ľudí a tých, ktorí kupujú prvýkrát; zdôrazňuje, že poskytovanie cenovo dostupného bývania mladým ľuďom, ktorí vstupujú na trh práce, musí byť uznané ako strategický rozmer sociálnej politiky; vyzýva členské štáty, aby začlenili potreby bývania mladých ľudí do svojich národných programov reforiem v rámci európskeho semestra; vyzýva členské štáty, aby upravili právne predpisy v oblasti plánovania tak, aby umožnili mladým ľuďom stavať cenovo dostupné byty na rodinných pozemkoch a umožnili tak riešenia v oblasti vidieckeho a medzigeneračného bývania; vyzýva členské štáty, aby prijali osobitné iniciatívy, aj v rámci využívania fondov EÚ, na výstavbu a obnovu cenovo dostupného a sociálneho bývania pre mladých ľudí; vyzýva na zváženie stimulov, ako napríklad zliav na daniach alebo opatrení na podporu nájomcov, pre malých vlastníkov nehnuteľností, ktorí prenajímajú byty rodinám alebo mladým ľuďom na základe dlhodobých zmlúv, najmä v oblastiach s rastúcimi nákladmi na bývanie, ktoré sú spôsobené trhovými silami; pripomína, že ceny môžu znížiť aj iné finančné stimuly pre vlastníkov nehnuteľností, čím sa zvýši počet bytov dostupných na prenájom; zdôrazňuje význam zjednodušenia administratívnych a transakčných postupov vrátane dodatočných nákladov a nákladov súvisiacich s bývaním s cieľom zvýšiť transparentnosť, predvídateľnosť a dostupnosť, najmä pre mladých ľudí a tých, ktorí kupujú prvýkrát, v celej EÚ;</w:t>
      </w:r>
    </w:p>
    <w:p w14:paraId="622305C3" w14:textId="0327F938" w:rsidR="00C021BE" w:rsidRPr="00CC60F8" w:rsidRDefault="00E21C01" w:rsidP="004C456F">
      <w:pPr>
        <w:spacing w:after="240"/>
        <w:ind w:left="720" w:hanging="720"/>
      </w:pPr>
      <w:r w:rsidRPr="00CC60F8">
        <w:t>50</w:t>
      </w:r>
      <w:r w:rsidR="00C021BE" w:rsidRPr="00CC60F8">
        <w:t>.</w:t>
      </w:r>
      <w:r w:rsidR="00C021BE" w:rsidRPr="00CC60F8">
        <w:tab/>
        <w:t>naliehavo vyzýva Komisiu, aby predložila návrh odporúčania Rady na riešenie krízy bývania mladých ľudí s cieľom zlepšiť prístup mladých ľudí k primeranému a cenovo dostupnému bývaniu; zdôrazňuje, že na vykonávanie takéhoto odporúčania Rady by sa od členských štátov vyžadovalo, aby na dobrovoľnom základe predložili národné akčné plány, v ktorých stanovia konkrétne opatrenia a v prípade potreby nové politiky na riešenie problémov mladých ľudí s cenovou dostupnosťou a ich vylúčením z bývania;</w:t>
      </w:r>
    </w:p>
    <w:p w14:paraId="0FBE6CB5" w14:textId="2F9078AA" w:rsidR="00895679" w:rsidRPr="00CC60F8" w:rsidRDefault="00E21C01" w:rsidP="004C456F">
      <w:pPr>
        <w:spacing w:after="240"/>
        <w:ind w:left="720" w:hanging="720"/>
      </w:pPr>
      <w:r w:rsidRPr="00CC60F8">
        <w:t>51</w:t>
      </w:r>
      <w:r w:rsidR="00895679" w:rsidRPr="00CC60F8">
        <w:t>.</w:t>
      </w:r>
      <w:r w:rsidR="00895679" w:rsidRPr="00CC60F8">
        <w:tab/>
        <w:t xml:space="preserve">vyzýva Komisiu a členské štáty, aby garantovali študentom dôstojné, udržateľné a cenovo dostupné riešenia bývania; zdôrazňuje potrebu zlepšovať prístup k riešeniam nájomného bývania, podporovať vnútroštátnu mobilitu študentov, ktorí sa presťahujú do iného mesta, a získavanie skúseností v rámci programu Erasmus+, akademických výmen a stáží; vyzýva Komisiu, aby zaviedla európsky model študentského bývania, ktorý by presahoval rámec iba ubytovania, a podporoval aj blahobyt, komunitný život a osobnostný rast študentov; vyzýva členské štáty, aby vypracovali národné stratégie bývania, ktoré by zahŕňali ustanovenia týkajúce sa študentského bývania, a rozširovali fond verejného a súkromného študentského ubytovania; zdôrazňuje, že cenovo dostupné bývanie pre študentov musí byť považované za dôležitý rozmer politík v oblasti vzdelávania; vyzýva členské štáty, aby podporovali rozvoj cenovo dostupného študentského ubytovania v blízkosti vysokých škôl s cieľom uspokojiť rastúci dopyt; vyzýva EÚ, aby začlenila ubytovanie pre mladých ľudí do svojich investícií a politického programu, a to aj podporou financovania študentských centier a iných iniciatív v oblasti bývania mladých ľudí prostredníctvom verejno-súkromných partnerstiev; žiada, aby sa z fondov EÚ poskytli cielené stimuly na výstavbu cenovo dostupného a dôstojného študentského bývania; zdôrazňuje, že zabezpečenie cenovo dostupného prístupu ku kvalitnému študentskému bývaniu, ktoré ponúka vzdelávacie a komunitné služby, si vyžaduje inovatívne súkromné, verejné i spoločné rámce verejno-súkromného financovania, v ktorých verejná podpora dopĺňa príspevky súkromného sektora; zdôrazňuje, že politiky EÚ v oblasti bývania by mali byť v súlade s prierezovými cieľmi v oblasti životných zručností, občianskej angažovanosti a duševného zdravia, ako sa uvádza v oznámení „Únia zručností“ a v stratégii EÚ pre </w:t>
      </w:r>
      <w:r w:rsidR="00895679" w:rsidRPr="00CC60F8">
        <w:lastRenderedPageBreak/>
        <w:t>mládež na roky 2019 – 2027; odporúča pripraviť pilotný projekt na rozšírenie integrovaných modelov študentského bývania, ktoré kombinujú cenovo dostupné ubytovanie so vzdelávacími a komunitnými programami;</w:t>
      </w:r>
    </w:p>
    <w:p w14:paraId="495B2B4C" w14:textId="5471E8C0" w:rsidR="00C021BE" w:rsidRPr="00CC60F8" w:rsidRDefault="00E21C01" w:rsidP="004C456F">
      <w:pPr>
        <w:spacing w:after="240"/>
        <w:ind w:left="720" w:hanging="720"/>
      </w:pPr>
      <w:r w:rsidRPr="00CC60F8">
        <w:t>52</w:t>
      </w:r>
      <w:r w:rsidR="00C021BE" w:rsidRPr="00CC60F8">
        <w:t>.</w:t>
      </w:r>
      <w:r w:rsidR="00C021BE" w:rsidRPr="00CC60F8">
        <w:tab/>
        <w:t xml:space="preserve">pripomína záväzok predsedníčky Komisie </w:t>
      </w:r>
      <w:proofErr w:type="spellStart"/>
      <w:r w:rsidR="00C021BE" w:rsidRPr="00CC60F8">
        <w:t>Ursuly</w:t>
      </w:r>
      <w:proofErr w:type="spellEnd"/>
      <w:r w:rsidR="00C021BE" w:rsidRPr="00CC60F8">
        <w:t xml:space="preserve"> von der </w:t>
      </w:r>
      <w:proofErr w:type="spellStart"/>
      <w:r w:rsidR="00C021BE" w:rsidRPr="00CC60F8">
        <w:t>Leyenovej</w:t>
      </w:r>
      <w:proofErr w:type="spellEnd"/>
      <w:r w:rsidR="00C021BE" w:rsidRPr="00CC60F8">
        <w:t xml:space="preserve"> z roku 2019, a to zabezpečiť, aby každé dieťa v Európe ohrozené chudobou alebo sociálnym vylúčením vrátane </w:t>
      </w:r>
      <w:proofErr w:type="spellStart"/>
      <w:r w:rsidR="00C021BE" w:rsidRPr="00CC60F8">
        <w:t>bezdomovectva</w:t>
      </w:r>
      <w:proofErr w:type="spellEnd"/>
      <w:r w:rsidR="00C021BE" w:rsidRPr="00CC60F8">
        <w:t xml:space="preserve"> malo prístup k </w:t>
      </w:r>
      <w:proofErr w:type="spellStart"/>
      <w:r w:rsidR="00C021BE" w:rsidRPr="00CC60F8">
        <w:t>najzákladnejším</w:t>
      </w:r>
      <w:proofErr w:type="spellEnd"/>
      <w:r w:rsidR="00C021BE" w:rsidRPr="00CC60F8">
        <w:t xml:space="preserve"> právam, ako je zdravotná starostlivosť</w:t>
      </w:r>
      <w:r w:rsidR="008B56C9" w:rsidRPr="00CC60F8">
        <w:t>, bývanie</w:t>
      </w:r>
      <w:r w:rsidR="00C021BE" w:rsidRPr="00CC60F8">
        <w:t xml:space="preserve"> a vzdelanie, po ktorom nasledovalo prijatie odporúčania Rady (EÚ) 2021/1004 zo 14. júna 2021, ktorým sa zriaďuje Európska záruka pre deti</w:t>
      </w:r>
      <w:r w:rsidR="00C021BE" w:rsidRPr="00CC60F8">
        <w:rPr>
          <w:rStyle w:val="FootnoteReference"/>
        </w:rPr>
        <w:footnoteReference w:id="59"/>
      </w:r>
      <w:r w:rsidR="00C021BE" w:rsidRPr="00CC60F8">
        <w:t xml:space="preserve">; zdôrazňuje, že ciele Európskej záruky pre deti nemožno dosiahnuť bez ambiciózneho osobitného rozpočtu na úrovni EÚ a na vnútroštátnej úrovni; v tejto súvislosti opakuje svoju výzvu na vyčlenenie značného osobitného rozpočtu vo výške najmenej 20 miliárd EUR na Európsku záruku pre deti; zdôrazňuje, že je naliehavo potrebné, aby sa tento osobitný rozpočet vyčlenil v budúcom viacročnom finančnom rámci s cieľom reagovať na rastúci problém chudoby detí a sociálneho vylúčenia vrátane </w:t>
      </w:r>
      <w:proofErr w:type="spellStart"/>
      <w:r w:rsidR="00C021BE" w:rsidRPr="00CC60F8">
        <w:t>bezdomovectva</w:t>
      </w:r>
      <w:proofErr w:type="spellEnd"/>
      <w:r w:rsidR="00C021BE" w:rsidRPr="00CC60F8">
        <w:t>;</w:t>
      </w:r>
    </w:p>
    <w:p w14:paraId="175D1587" w14:textId="77777777" w:rsidR="00895679" w:rsidRPr="00CC60F8" w:rsidRDefault="00895679" w:rsidP="004C456F">
      <w:pPr>
        <w:spacing w:after="240"/>
        <w:jc w:val="both"/>
      </w:pPr>
      <w:r w:rsidRPr="00CC60F8">
        <w:rPr>
          <w:i/>
        </w:rPr>
        <w:t>Domácnosti s nízkymi a so strednými príjmami</w:t>
      </w:r>
    </w:p>
    <w:p w14:paraId="690F913D" w14:textId="30FAFA2C" w:rsidR="00895679" w:rsidRPr="00CC60F8" w:rsidRDefault="00E21C01" w:rsidP="004C456F">
      <w:pPr>
        <w:spacing w:after="240"/>
        <w:ind w:left="720" w:hanging="720"/>
      </w:pPr>
      <w:r w:rsidRPr="00CC60F8">
        <w:t>53</w:t>
      </w:r>
      <w:r w:rsidR="00895679" w:rsidRPr="00CC60F8">
        <w:t>.</w:t>
      </w:r>
      <w:r w:rsidR="00895679" w:rsidRPr="00CC60F8">
        <w:tab/>
        <w:t>vyzýva členské štáty, aby riešili ťažkosti s prístupom k bývaniu pre domácnosti s nízkymi a so strednými príjmami s osobitným dôrazom na strategických pracovníkov a základný personál vrátane učiteľov zdravotníckych pracovníkov, príslušníkov orgánov presadzovania práva, hasičov, sociálnych pracovníkov a opatrovateľov či iných zamestnancov kľúčových verejných služieb a aby pri tom zabezpečili vyvážené zmluvné rámce, ktoré ochránia tak zraniteľných nájomníkov, ako aj malých prenajímateľov; vyzýva členské štáty, aby ako najlepší postup zaviedli modely služobného bývania a venovali osobitnú pozornosť strategickým pracovníkom a základnému personálu; vyzýva na podporu všetkých možností cenovo dostupného bývania vrátane nájomného, štátneho, družstevného, ziskového a neziskového modelu, čím sa zabezpečí dlhodobá cenová dostupnosť a tiež stabilné a bezpečné podmienky prenájmu; naliehavo vyzýva členské štáty, aby preskúmali a v prípade potreby revidovali svoje kritériá cenovej dostupnosti tak, aby skutočne odrážali životné náklady a zabezpečili účinný prístup k dôstojnému, udržateľnému a cenovo dostupnému bývaniu pre domácnosti s nízkymi a so strednými príjmami;</w:t>
      </w:r>
    </w:p>
    <w:p w14:paraId="1543D004" w14:textId="275C3D75" w:rsidR="00895679" w:rsidRPr="00CC60F8" w:rsidRDefault="00E21C01" w:rsidP="00B17FD3">
      <w:pPr>
        <w:spacing w:after="240"/>
        <w:ind w:left="720" w:hanging="720"/>
      </w:pPr>
      <w:r w:rsidRPr="00CC60F8">
        <w:t>54</w:t>
      </w:r>
      <w:r w:rsidR="00895679" w:rsidRPr="00CC60F8">
        <w:t>.</w:t>
      </w:r>
      <w:r w:rsidR="00895679" w:rsidRPr="00CC60F8">
        <w:tab/>
        <w:t xml:space="preserve">víta verejné konzultácie, ktoré Komisia spustila 5. júna 2025, a berie na vedomie revíziu pravidiel štátnej pomoci pre služby všeobecného hospodárskeho záujmu v snahe uľahčiť rýchlejšie a efektívnejšie poskytovanie dôstojného, udržateľného a cenovo dostupného bývania a zároveň umožniť väčšiu flexibilitu vnútroštátnych investícií; zdôrazňuje, že členské štáty by v súlade so zásadou subsidiarity mali mať </w:t>
      </w:r>
      <w:proofErr w:type="spellStart"/>
      <w:r w:rsidR="00895679" w:rsidRPr="00CC60F8">
        <w:t>diskrečné</w:t>
      </w:r>
      <w:proofErr w:type="spellEnd"/>
      <w:r w:rsidR="00895679" w:rsidRPr="00CC60F8">
        <w:t xml:space="preserve"> právo podporiť toto úsilie podľa svojich miestnych, regionálnych alebo vnútroštátnych potrieb; zdôrazňuje význam </w:t>
      </w:r>
      <w:r w:rsidR="00895679" w:rsidRPr="00CC60F8">
        <w:rPr>
          <w:i/>
          <w:iCs/>
        </w:rPr>
        <w:t xml:space="preserve">ex </w:t>
      </w:r>
      <w:proofErr w:type="spellStart"/>
      <w:r w:rsidR="00895679" w:rsidRPr="00CC60F8">
        <w:rPr>
          <w:i/>
          <w:iCs/>
        </w:rPr>
        <w:t>ante</w:t>
      </w:r>
      <w:proofErr w:type="spellEnd"/>
      <w:r w:rsidR="00895679" w:rsidRPr="00CC60F8">
        <w:t xml:space="preserve"> posúdenia vplyvu všetkých navrhovaných zmien pravidiel služieb všeobecného hospodárskeho záujmu pre jednotlivé krajiny; zdôrazňuje, že akákoľvek revízia pravidiel štátnej pomoci by nemala byť na úkor investícií členských štátov do sociálneho bývania, ale mohla by umožniť väčšiu flexibilitu verejných investícií do bývania a zároveň rešpektovať rozmanitosť vnútroštátnych trhov; uznáva riziká, ktoré by sa mali zvážiť, vrátane možného vytláčania súkromných a verejných zdrojov, presunu investícií zo sociálneho bývania, súladu s judikatúrou EÚ a integrity jednotného trhu; pripomína pôvodný účel </w:t>
      </w:r>
      <w:r w:rsidR="00895679" w:rsidRPr="00CC60F8">
        <w:lastRenderedPageBreak/>
        <w:t>služieb všeobecného hospodárskeho záujmu, ako aj to, že rozšíriť rozsah pôsobnosti na širšie cieľové skupiny neznamená odkloniť zdroje od najzraniteľnejších skupín; obáva sa, že rozšírenie cieľovej skupiny sociálneho bývania podľa týchto pravidiel môže prehĺbiť narušenie trhu a narušiť spravodlivú hospodársku súťaž; zdôrazňuje, že je nevyhnutné zachovať starostlivú rovnováhu medzi riešením potrieb sociálneho bývania a zachovaním konkurencieschopných a efektívnych trhov s bývaním pre všetkých poskytovateľov služieb, verejných aj súkromných, v oblasti poskytovania cenovo dostupného bývania; zdôrazňuje potrebu zabezpečiť, aby akýkoľvek budúci rámec týkajúci sa cenovo dostupného bývania zostal otvorený a umožňoval účasť tak verejných, ako aj súkromných subjektov, čím sa zachovajú rovnaké podmienky a zabráni sa neprimeranému vylúčeniu z trhu;</w:t>
      </w:r>
    </w:p>
    <w:p w14:paraId="658FF0C8" w14:textId="77777777" w:rsidR="00895679" w:rsidRPr="00CC60F8" w:rsidRDefault="00895679" w:rsidP="004C456F">
      <w:pPr>
        <w:spacing w:after="240"/>
        <w:jc w:val="both"/>
      </w:pPr>
      <w:r w:rsidRPr="00CC60F8">
        <w:rPr>
          <w:i/>
        </w:rPr>
        <w:t>Rodiny</w:t>
      </w:r>
    </w:p>
    <w:p w14:paraId="5E1525DC" w14:textId="77646BD5" w:rsidR="00895679" w:rsidRPr="00CC60F8" w:rsidRDefault="00E21C01" w:rsidP="004C456F">
      <w:pPr>
        <w:spacing w:after="240"/>
        <w:ind w:left="720" w:hanging="720"/>
      </w:pPr>
      <w:bookmarkStart w:id="17" w:name="_Hlk221784735"/>
      <w:r w:rsidRPr="00CC60F8">
        <w:t>55</w:t>
      </w:r>
      <w:r w:rsidR="00895679" w:rsidRPr="00CC60F8">
        <w:t>.</w:t>
      </w:r>
      <w:r w:rsidR="00895679" w:rsidRPr="00CC60F8">
        <w:tab/>
        <w:t xml:space="preserve">domnieva sa, že je potrebné presadzovať európsky akčný plán na podporu rodín a venovať osobitnú pozornosť početným rodinám, rodinám s jedným rodičom a tým, ktoré sa ocitli v zraniteľných situáciách, a musia zápasiť s neistým bývaním; vyzýva Komisiu a členské štáty, aby začlenili potreby rodinného bývania do európskeho plánu pre cenovo dostupné bývanie a Európskej záruky pre deti a zabezpečili, aby žiadne dieťa nevyrastalo v nevhodnom bývaní; uznáva existenciu generačnej priepasti v oblasti bývania, keďže oneskorený prístup k bývaniu obmedzuje schopnosť mladších generácií žiť samostatne a robiť slobodné životné rozhodnutia a zhoršuje demografické problémy Európy; opätovne pripomína, že bývanie je kľúčovým faktorom podpory demografickej dynamiky a riešenia poklesu demografickej krivky, najmä v regiónoch, ktoré čelia úbytku a odlivu obyvateľstva; upozorňuje, že nevhodná politika bývania podkopáva demografický rast v EÚ; opätovne pripomína, že Európa je starnúci kontinent, čo predstavuje výzvu pre sektor bývania; žiada Komisiu, aby adaptáciu na starnutie doplnila do všetkých svojich politík súvisiacich s bývaním; vyzýva na vypracovanie takých politík bývania, ktoré zaručia včasný prístup k cenovo dostupnému bývaniu, znížia nezdravé bývanie a podporia stabilitu rodín vo všetkých fázach života;  nabáda členské štáty, aby do svojich národných stratégií v oblasti bývania a pripravovaných programov financovania EÚ začlenili demografické priority; vyzýva členské štáty, aby zaviedli cielené finančné stimuly pre rodiny s cieľom uľahčiť vlastníctvo bytov a dlhodobé nájomné zmluvy, a tým zmiernili ich finančnú záťaž, pozitívne ovplyvnili demografický vývoj a posilnili sociálnu stabilitu v Európe; vyzýva členské štáty, aby do rozvoja cielených programov bývania pre rodiny v plnej miere zapojili aj miestne a regionálne orgány; uznáva, že súkromné stavebné sporiteľne slúžia jednotlivcom a rodinám ako praktický a efektívny nástroj na investovanie do bývania a pri podpore väčšej dostupnosti hypotekárneho financovania; vyzýva členské štáty, aby uľahčili vykonávanie a podporu týchto opatrení v rámci širšieho úsilia o riešenie krízy v oblasti bývania; s veľkým znepokojením konštatuje, že preplnené alebo nestabilné bývanie ovplyvňuje výsledky detí vo vzdelávaní; požaduje výrazné posilnenie Európskej záruky pre deti na zabezpečenie prístupu k primeranému bývaniu a súvisiacim sociálnym potrebám; vyzýva na každoročné monitorovanie a podávanie správ o pokroku pri odstraňovaní chudoby detí v oblasti bývania v celej EÚ; </w:t>
      </w:r>
    </w:p>
    <w:bookmarkEnd w:id="17"/>
    <w:p w14:paraId="6C5A56C4" w14:textId="55D1F97D" w:rsidR="00895679" w:rsidRPr="00CC60F8" w:rsidRDefault="00E21C01" w:rsidP="004C456F">
      <w:pPr>
        <w:spacing w:after="240"/>
        <w:ind w:left="720" w:hanging="720"/>
      </w:pPr>
      <w:r w:rsidRPr="00CC60F8">
        <w:t>56</w:t>
      </w:r>
      <w:r w:rsidR="00895679" w:rsidRPr="00CC60F8">
        <w:t>.</w:t>
      </w:r>
      <w:r w:rsidR="00895679" w:rsidRPr="00CC60F8">
        <w:tab/>
        <w:t xml:space="preserve">zdôrazňuje, že je dôležité zabezpečiť dostupnosť prístupného bývania pre staršie osoby primeraného veku; uznáva problémy, ktorým čelia starší ľudia v súvislosti s nákladmi na údržbu a starostlivosť; upozorňuje na problémy, ktorým čelia starší majitelia domov, ktorí si nemôžu dovoliť rekonštruovať svoju nehnuteľnosť tak, aby </w:t>
      </w:r>
      <w:r w:rsidR="00895679" w:rsidRPr="00CC60F8">
        <w:lastRenderedPageBreak/>
        <w:t>spĺňala nové normy energetickej efektívnosti; vyzýva Komisiu a členské štáty, aby prijali cielené, dobrovoľné a nebyrokratické opatrenia na podporu zraniteľných vlastníkov nehnuteľností; nabáda členské štáty a miestne samosprávy, aby podporovali viacgeneračné bývanie, komunitné bývanie, iniciatívy spoločného bývania či iné inovatívne riešenia dlhodobej starostlivosti a života seniorov, ktoré môžu priniesť ekonomické a sociálne výhody a prispieť k zníženiu tlaku na systémy sociálnej starostlivosti a k posilneniu miestnych komunít; uznáva úlohu integrovaných komunít dôchodcov a modelov spoločného bývania seniorov, ktoré umožňujú starším ľuďom žiť dlhšie samostatne, a tým znižujú závislosť od dlhodobej starostlivosti;</w:t>
      </w:r>
    </w:p>
    <w:p w14:paraId="60BF81FB" w14:textId="735D13FD" w:rsidR="00895679" w:rsidRPr="00CC60F8" w:rsidRDefault="00E21C01" w:rsidP="004C456F">
      <w:pPr>
        <w:spacing w:after="240"/>
        <w:ind w:left="720" w:hanging="720"/>
      </w:pPr>
      <w:bookmarkStart w:id="18" w:name="_Hlk219391136"/>
      <w:r w:rsidRPr="00CC60F8">
        <w:t>57</w:t>
      </w:r>
      <w:r w:rsidR="00895679" w:rsidRPr="00CC60F8">
        <w:t>.</w:t>
      </w:r>
      <w:r w:rsidR="00895679" w:rsidRPr="00CC60F8">
        <w:tab/>
        <w:t>zdôrazňuje, že osobám postihnutým domácim násilím by členské štáty, ubytovacie agentúry a súkromný sektor mali poskytnúť primeranú pomoc, ako je napríklad dočasné núdzové ubytovanie v útulkoch a centrách starostlivosti,</w:t>
      </w:r>
      <w:r w:rsidR="00895679" w:rsidRPr="00CC60F8">
        <w:rPr>
          <w:rFonts w:asciiTheme="minorHAnsi" w:hAnsiTheme="minorHAnsi"/>
        </w:rPr>
        <w:t xml:space="preserve"> </w:t>
      </w:r>
      <w:r w:rsidR="00895679" w:rsidRPr="00CC60F8">
        <w:t>a že jednotlivcom by sa mali ponúknuť riešenia uplatnením zrýchlených administratívnych postupov; vyzýva Komisiu, aby aspekty rodovo motivovaného násilia doplnila do politiky EÚ v oblasti bývania;</w:t>
      </w:r>
      <w:bookmarkEnd w:id="18"/>
    </w:p>
    <w:p w14:paraId="2DEA5FDD" w14:textId="77777777" w:rsidR="00895679" w:rsidRPr="00CC60F8" w:rsidRDefault="00895679" w:rsidP="004C456F">
      <w:pPr>
        <w:spacing w:after="240"/>
        <w:rPr>
          <w:i/>
          <w:iCs/>
        </w:rPr>
      </w:pPr>
      <w:r w:rsidRPr="00CC60F8">
        <w:rPr>
          <w:i/>
        </w:rPr>
        <w:t>Ľudia so zdravotným postihnutím</w:t>
      </w:r>
    </w:p>
    <w:p w14:paraId="136C676C" w14:textId="4276B813" w:rsidR="00895679" w:rsidRPr="00CC60F8" w:rsidRDefault="00E21C01" w:rsidP="004C456F">
      <w:pPr>
        <w:spacing w:after="240"/>
        <w:ind w:left="720" w:hanging="720"/>
      </w:pPr>
      <w:r w:rsidRPr="00CC60F8">
        <w:t>58</w:t>
      </w:r>
      <w:r w:rsidR="00895679" w:rsidRPr="00CC60F8">
        <w:t>.</w:t>
      </w:r>
      <w:r w:rsidR="00895679" w:rsidRPr="00CC60F8">
        <w:tab/>
        <w:t>vyzýva Komisiu a členské štáty, aby venovali náležitú pozornosť otázke prístupnosti bývania pre osoby so zdravotným postihnutím; varuje pred veľmi nízkou ponukou prístupných obydlí a pred škodlivými účinkami, ktoré to má na sociálno-ekonomickú integráciu osôb so zdravotným postihnutím a ich schopnosť viesť nezávislý život; žiada, aby bol bytový fond prístupnejší pre osoby so zdravotným postihnutím; naliehavo vyzýva Komisiu, ako aj členské štáty, aby podstatne zvýšili ponuku prístupných obydlí a zaviedli mechanizmy zaručujúce dostatočný podiel prístupného bývania v novej výstavbe; vyzýva na úplnú implementáciu stratégie EÚ v oblasti práv osôb so zdravotným postihnutím na roky 2021 – 2030; zdôrazňuje, že prístupné bývanie je predpokladom plnohodnotného sociálneho zapojenia osôb so zdravotným postihnutím; vyzýva na súbor cielených a účinných opatrení zameraných na zabezpečenie úplného a dôsledného vykonávania požiadaviek týkajúcich sa prístupnosti bývania podľa Dohovoru OSN o právach osôb so zdravotným postihnutím; zdôrazňuje potrebu zabezpečiť poskytovanie a udržiavanie prístupného bývania, ako aj adekvátnych podporných služieb v komunite prispôsobených funkčným a kognitívnym schopnostiam jednotlivca vrátane podporovaného bývania; podporuje verejné, verejno-súkromné i súkromné družstevné iniciatívy v oblasti bývania vrátane bývania pre osoby so zdravotným postihnutím, v rámci ktorých komunity spoločne rozvíjajú a spravujú projekty bývania, ktoré podporujú sociálnu súdržnosť a zabezpečujú dlhodobú cenovú dostupnosť; vyzýva členské štáty, aby zabezpečili poskytovanie komplexných, dostupných a systémových komunitných služieb pre osoby so zdravotným postihnutím; zdôrazňuje, že podporné služby poskytované v mieste bydliska sú nevyhnutné na zabezpečenie nezávislého života a sociálneho začlenenia a na zabránenie tomu, aby boli osoby so zdravotným postihnutím nútené vyhľadať inštitucionálnu pomoc;</w:t>
      </w:r>
    </w:p>
    <w:p w14:paraId="40C84E4F" w14:textId="77777777" w:rsidR="00895679" w:rsidRPr="00CC60F8" w:rsidRDefault="00895679" w:rsidP="004C456F">
      <w:pPr>
        <w:spacing w:after="240"/>
        <w:rPr>
          <w:i/>
          <w:iCs/>
        </w:rPr>
      </w:pPr>
      <w:proofErr w:type="spellStart"/>
      <w:r w:rsidRPr="00CC60F8">
        <w:rPr>
          <w:i/>
        </w:rPr>
        <w:t>Bezdomovectvo</w:t>
      </w:r>
      <w:proofErr w:type="spellEnd"/>
    </w:p>
    <w:p w14:paraId="5F710FC1" w14:textId="5F808A97" w:rsidR="00895679" w:rsidRPr="00CC60F8" w:rsidRDefault="00E21C01" w:rsidP="004C456F">
      <w:pPr>
        <w:spacing w:after="240"/>
        <w:ind w:left="720" w:hanging="720"/>
      </w:pPr>
      <w:r w:rsidRPr="00CC60F8">
        <w:t>59</w:t>
      </w:r>
      <w:r w:rsidR="00895679" w:rsidRPr="00CC60F8">
        <w:t>.</w:t>
      </w:r>
      <w:r w:rsidR="00895679" w:rsidRPr="00CC60F8">
        <w:tab/>
        <w:t xml:space="preserve">zdôrazňuje, že </w:t>
      </w:r>
      <w:proofErr w:type="spellStart"/>
      <w:r w:rsidR="00895679" w:rsidRPr="00CC60F8">
        <w:t>bezdomovectvo</w:t>
      </w:r>
      <w:proofErr w:type="spellEnd"/>
      <w:r w:rsidR="00895679" w:rsidRPr="00CC60F8">
        <w:t xml:space="preserve"> je najvážnejšou formou chudoby a sociálneho vylúčenia; pripomína, že opatrenia v oblasti bezdomovstva sú primárne v právomoci členských štátov, kým EÚ by mala ich úsilie podporovať a koordinovať; vyzýva na posilnenie európskej platformy na boj proti </w:t>
      </w:r>
      <w:proofErr w:type="spellStart"/>
      <w:r w:rsidR="00895679" w:rsidRPr="00CC60F8">
        <w:t>bezdomovectvu</w:t>
      </w:r>
      <w:proofErr w:type="spellEnd"/>
      <w:r w:rsidR="00895679" w:rsidRPr="00CC60F8">
        <w:t xml:space="preserve"> s cieľom koordinovať a </w:t>
      </w:r>
      <w:r w:rsidR="00895679" w:rsidRPr="00CC60F8">
        <w:lastRenderedPageBreak/>
        <w:t xml:space="preserve">vymieňať si informácie a osvedčené postupy; žiada Komisiu, aby zabezpečila využitie synergií medzi stratégiou EÚ v oblasti boja proti chudobe, novým akčným plánom na realizáciu Európskeho piliera sociálnych práv, Európskou platformou na boj proti </w:t>
      </w:r>
      <w:proofErr w:type="spellStart"/>
      <w:r w:rsidR="00895679" w:rsidRPr="00CC60F8">
        <w:t>bezdomovectvu</w:t>
      </w:r>
      <w:proofErr w:type="spellEnd"/>
      <w:r w:rsidR="00895679" w:rsidRPr="00CC60F8">
        <w:t xml:space="preserve"> a Európskym plánom pre cenovo dostupné bývanie; vyzýva na ambiciózne a urýchlené zavedenie Európskej záruky pre deti v celej EÚ ako spôsob, ako predchádzať </w:t>
      </w:r>
      <w:proofErr w:type="spellStart"/>
      <w:r w:rsidR="00895679" w:rsidRPr="00CC60F8">
        <w:t>bezdomovectvu</w:t>
      </w:r>
      <w:proofErr w:type="spellEnd"/>
      <w:r w:rsidR="00895679" w:rsidRPr="00CC60F8">
        <w:t xml:space="preserve"> detí a riešiť ho; vyzýva Komisiu, aby zaisťovala technickú pomoc, budovanie kapacít, politickú podporu v oblasti </w:t>
      </w:r>
      <w:proofErr w:type="spellStart"/>
      <w:r w:rsidR="00895679" w:rsidRPr="00CC60F8">
        <w:t>bezdomovectva</w:t>
      </w:r>
      <w:proofErr w:type="spellEnd"/>
      <w:r w:rsidR="00895679" w:rsidRPr="00CC60F8">
        <w:t xml:space="preserve"> a monitorovala dosiahnutý pokrok; vyzýva Komisiu a národné štatistické úrady, aby posilnili zber a harmonizáciu údajov o bývaní; konštatuje, že stratégia „bývanie na prvom mieste“ sa v niektorých vnútroštátnych kontextoch ukázala ako užitočná pomoc, pričom jej vykonávanie naďalej zostáva v kompetencii jednotlivých členských štátov; vyzýva členské štáty, aby vypracovali a realizovali stratégie zamerané na bývanie s cieľom znížiť počet prípadov </w:t>
      </w:r>
      <w:proofErr w:type="spellStart"/>
      <w:r w:rsidR="00895679" w:rsidRPr="00CC60F8">
        <w:t>bezdomovectva</w:t>
      </w:r>
      <w:proofErr w:type="spellEnd"/>
      <w:r w:rsidR="00895679" w:rsidRPr="00CC60F8">
        <w:t xml:space="preserve"> a aby rozšírili intervencie založené na dôkazoch, akou je napríklad stratégia „bývanie na prvom mieste“; vyzýva členské štáty, aby ľuďom bez domova zaručili prístup k sociálnemu bývaniu; vyzýva členské štáty, aby pri vykonávaní Európskej záruky pre deti prijali vnútroštátne ciele na zabránenie vysťahovaniu detí v prípadoch, v ktorých jasne hrozí riziko </w:t>
      </w:r>
      <w:proofErr w:type="spellStart"/>
      <w:r w:rsidR="00895679" w:rsidRPr="00CC60F8">
        <w:t>bezdomovectva</w:t>
      </w:r>
      <w:proofErr w:type="spellEnd"/>
      <w:r w:rsidR="00895679" w:rsidRPr="00CC60F8">
        <w:t xml:space="preserve">; vyzýva členské štáty, aby riešili diskrimináciu ľudí bez domova; uznáva úlohu mimovládnych organizácií pri riešení </w:t>
      </w:r>
      <w:proofErr w:type="spellStart"/>
      <w:r w:rsidR="00895679" w:rsidRPr="00CC60F8">
        <w:t>bezdomovectva</w:t>
      </w:r>
      <w:proofErr w:type="spellEnd"/>
      <w:r w:rsidR="00895679" w:rsidRPr="00CC60F8">
        <w:t xml:space="preserve"> a podpore stability bývania;</w:t>
      </w:r>
    </w:p>
    <w:p w14:paraId="0F763DE7" w14:textId="77777777" w:rsidR="00895679" w:rsidRPr="00CC60F8" w:rsidRDefault="00895679" w:rsidP="004C456F">
      <w:pPr>
        <w:spacing w:after="240"/>
        <w:jc w:val="both"/>
        <w:rPr>
          <w:b/>
          <w:bCs/>
          <w:i/>
          <w:iCs/>
        </w:rPr>
      </w:pPr>
      <w:r w:rsidRPr="00CC60F8">
        <w:rPr>
          <w:b/>
          <w:i/>
        </w:rPr>
        <w:t>Výmena a analýza údajov</w:t>
      </w:r>
    </w:p>
    <w:p w14:paraId="463171C7" w14:textId="6151ACF4" w:rsidR="00895679" w:rsidRPr="00CC60F8" w:rsidRDefault="00E21C01" w:rsidP="004C456F">
      <w:pPr>
        <w:spacing w:after="240"/>
        <w:ind w:left="720" w:hanging="720"/>
      </w:pPr>
      <w:r w:rsidRPr="00CC60F8">
        <w:t>60</w:t>
      </w:r>
      <w:r w:rsidR="00895679" w:rsidRPr="00CC60F8">
        <w:t>.</w:t>
      </w:r>
      <w:r w:rsidR="00895679" w:rsidRPr="00CC60F8">
        <w:tab/>
        <w:t>trvá na tom, že každá intervencia na trhu musí vychádzať zo spoľahlivých údajov a dôkazov; zdôrazňuje úlohu verejných údajov pri tvorbe politiky bývania; víta prijatie nariadenia o európskej štatistike obyvateľov, domov a bytov</w:t>
      </w:r>
      <w:r w:rsidR="00895679" w:rsidRPr="00CC60F8">
        <w:rPr>
          <w:rStyle w:val="FootnoteReference"/>
        </w:rPr>
        <w:footnoteReference w:id="60"/>
      </w:r>
      <w:r w:rsidR="00895679" w:rsidRPr="00CC60F8">
        <w:t xml:space="preserve">, ktoré </w:t>
      </w:r>
      <w:proofErr w:type="spellStart"/>
      <w:r w:rsidR="00895679" w:rsidRPr="00CC60F8">
        <w:t>Eurostatu</w:t>
      </w:r>
      <w:proofErr w:type="spellEnd"/>
      <w:r w:rsidR="00895679" w:rsidRPr="00CC60F8">
        <w:t xml:space="preserve"> poskytne viac možností na zber údajov o podmienkach bývania a prístupe k bývaniu v celej EÚ; vyzýva Komisiu, aby v súvislosti s nedávno prijatým nariadením o európskej štatistike obyvateľov, domov a bytov začala nové pilotné projekty a štúdie uskutočniteľnosti zamerané na prístup k primeranému a cenovo dostupnému bývaniu pre osoby so zdravotným postihnutím; vyzýva </w:t>
      </w:r>
      <w:proofErr w:type="spellStart"/>
      <w:r w:rsidR="00895679" w:rsidRPr="00CC60F8">
        <w:t>Eurostat</w:t>
      </w:r>
      <w:proofErr w:type="spellEnd"/>
      <w:r w:rsidR="00895679" w:rsidRPr="00CC60F8">
        <w:t xml:space="preserve">, aby zbieral, analyzoval a vymieňal si údaje o bývaní na vnútroštátnej, regionálnej a miestnej úrovni využitím novovytvorenej osobitnej digitálnej platformy EÚ na podporu tvorby politiky založenej na dôkazoch, zlepšenie transparentnosti, monitorovanie voľných miest, ich nedostatočného obsadenia a potenciálu konverzie a aby monitorovaciemu stredisku EÚ pre budovy poskytoval doplňujúce informácie o kvalite obydlí a technických systémoch budov; vyzýva Komisiu, aby zbierala a zverejňovala údaje o prístupe k bývaniu a systémoch sociálneho bývania; vyzýva Komisiu, aby vypracovala výročnú európsku správu o bývaní s cieľom posúdiť situáciu v oblasti bývania v Európe, ktorá by mala zahŕňať údaje o cenovej dostupnosti, vývoji nájomného a cien, vlastníctve pôdy a nehnuteľností, istote vlastníctva, </w:t>
      </w:r>
      <w:proofErr w:type="spellStart"/>
      <w:r w:rsidR="00895679" w:rsidRPr="00CC60F8">
        <w:t>bezdomovectve</w:t>
      </w:r>
      <w:proofErr w:type="spellEnd"/>
      <w:r w:rsidR="00895679" w:rsidRPr="00CC60F8">
        <w:t xml:space="preserve"> a o vylúčení z bývania; žiada doplňujúce, pravidelné správy o prideľovaní a vplyve fondov EÚ v oblasti bývania; vyzýva členské štáty, aby od miestnych orgánov požadovali predkladanie pravidelných správ o kapacite infraštruktúry v súlade s projektmi bývania, aby monitorovali neobývané obydlia a zaviedli stimuly pre vlastníkov na obnovu a prenájom neobývané obydlia; vyzýva EÚ, aby zlepšila monitorovanie a v prípade </w:t>
      </w:r>
      <w:r w:rsidR="00895679" w:rsidRPr="00CC60F8">
        <w:lastRenderedPageBreak/>
        <w:t>potreby poskytla členským štátom nástroje na lepší dohľad nad trhom s nehnuteľnosťami určenými na bývanie; vyzýva Komisiu, aby v procese európskeho semestra a v odporúčaniach pre jednotlivé krajiny zabezpečila väčší dôraz na metriky cenovo dostupného, udržateľného a dôstojného bývania; žiada, aby sa pilotný projekt monitorovacieho strediska EÚ pre pôdu v plnej miere využil na vyplnenie medzier v údajoch s cieľom zlepšiť monitorovanie pôdy a identifikovať osvedčené postupy na podporu prístupu mladých ľudí k pôde; vyzýva členské štáty, aby zlepšili transparentnosť svojho trhu s pôdou a riešili problém prístupu niektorých skupín, ako napríklad mladých poľnohospodárov, k pôde; vyzýva Komisiu, aby vypracovala metodiku zberu a spracovania údajov o bývaní a definovala súbor spoločných ukazovateľov, a tým zaručila porovnateľnosť medzi členskými štátmi; žiada, aby sa výdavky na bývanie zohľadňovali pri meraní životných nákladov, kúpnej sily občanov a ich celkového blahobytu; vyzýva na zahrnutie nákladov na bývanie vo vlastnom obydlí do harmonizovaného indexu spotrebiteľských cien tak, aby sa v štatistikách inflácie lepšie odrážali skutočné náklady na bývanie;</w:t>
      </w:r>
    </w:p>
    <w:p w14:paraId="1FEAD393" w14:textId="0EC372AA" w:rsidR="005B6C4C" w:rsidRPr="00CC60F8" w:rsidRDefault="005B6C4C" w:rsidP="004C456F">
      <w:pPr>
        <w:widowControl/>
        <w:spacing w:after="240"/>
        <w:jc w:val="center"/>
      </w:pPr>
      <w:r w:rsidRPr="00CC60F8">
        <w:t>°</w:t>
      </w:r>
    </w:p>
    <w:p w14:paraId="15FB2B0C" w14:textId="5FAF1A7D" w:rsidR="005B6C4C" w:rsidRPr="00CC60F8" w:rsidRDefault="005B6C4C" w:rsidP="004C456F">
      <w:pPr>
        <w:widowControl/>
        <w:spacing w:after="240"/>
        <w:jc w:val="center"/>
      </w:pPr>
      <w:r w:rsidRPr="00CC60F8">
        <w:t>°     °</w:t>
      </w:r>
    </w:p>
    <w:p w14:paraId="2798BC3D" w14:textId="1564EE46" w:rsidR="00E365E1" w:rsidRPr="00CC60F8" w:rsidRDefault="00E21C01" w:rsidP="004C456F">
      <w:pPr>
        <w:spacing w:after="240"/>
        <w:ind w:left="567" w:hanging="567"/>
      </w:pPr>
      <w:r w:rsidRPr="00CC60F8">
        <w:t>61</w:t>
      </w:r>
      <w:r w:rsidR="00895679" w:rsidRPr="00CC60F8">
        <w:t>.</w:t>
      </w:r>
      <w:r w:rsidR="00895679" w:rsidRPr="00CC60F8">
        <w:tab/>
        <w:t>poveruje svoju predsedníčku, aby toto uznesenie postúpila Rade, Komisii, Európskej rade, vládam a parlamentom členských štátov, Európskemu hospodárskemu a sociálnemu výboru, Európskemu výboru regiónov a vedúcim regionálnych orgánov EÚ.</w:t>
      </w:r>
    </w:p>
    <w:sectPr w:rsidR="00E365E1" w:rsidRPr="00CC60F8" w:rsidSect="001743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2B517" w14:textId="77777777" w:rsidR="00C56FCF" w:rsidRPr="001743ED" w:rsidRDefault="00C56FCF">
      <w:r w:rsidRPr="001743ED">
        <w:separator/>
      </w:r>
    </w:p>
  </w:endnote>
  <w:endnote w:type="continuationSeparator" w:id="0">
    <w:p w14:paraId="55F327FC" w14:textId="77777777" w:rsidR="00C56FCF" w:rsidRPr="001743ED" w:rsidRDefault="00C56FCF">
      <w:r w:rsidRPr="001743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BE361" w14:textId="77777777" w:rsidR="00064002" w:rsidRPr="001743E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3DCA9" w14:textId="77777777" w:rsidR="00064002" w:rsidRPr="001743E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7E5D4" w14:textId="77777777" w:rsidR="00064002" w:rsidRPr="001743E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19542" w14:textId="77777777" w:rsidR="00C56FCF" w:rsidRPr="001743ED" w:rsidRDefault="00C56FCF">
      <w:r w:rsidRPr="001743ED">
        <w:separator/>
      </w:r>
    </w:p>
  </w:footnote>
  <w:footnote w:type="continuationSeparator" w:id="0">
    <w:p w14:paraId="5896B7E5" w14:textId="77777777" w:rsidR="00C56FCF" w:rsidRPr="001743ED" w:rsidRDefault="00C56FCF">
      <w:r w:rsidRPr="001743ED">
        <w:continuationSeparator/>
      </w:r>
    </w:p>
  </w:footnote>
  <w:footnote w:id="1">
    <w:p w14:paraId="5B4F3633" w14:textId="5F7016A2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 xml:space="preserve">Ú. v. EÚ C, C/2025/1982, 11.4.2025, ELI: </w:t>
      </w:r>
      <w:hyperlink r:id="rId1" w:history="1">
        <w:r w:rsidRPr="001743ED">
          <w:rPr>
            <w:rStyle w:val="Hyperlink"/>
            <w:sz w:val="24"/>
            <w:lang w:val="sk-SK"/>
          </w:rPr>
          <w:t>http://data.europa.eu/eli/C/2025/1982/oj</w:t>
        </w:r>
      </w:hyperlink>
      <w:r w:rsidRPr="001743ED">
        <w:rPr>
          <w:sz w:val="24"/>
          <w:lang w:val="sk-SK"/>
        </w:rPr>
        <w:t>.</w:t>
      </w:r>
    </w:p>
  </w:footnote>
  <w:footnote w:id="2">
    <w:p w14:paraId="08DF1A7F" w14:textId="187186A0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>Prijaté texty, P10_TA(2025)0187.</w:t>
      </w:r>
    </w:p>
  </w:footnote>
  <w:footnote w:id="3">
    <w:p w14:paraId="7208370D" w14:textId="644633D7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>Ú. v. </w:t>
      </w:r>
      <w:r w:rsidRPr="001743ED">
        <w:rPr>
          <w:sz w:val="24"/>
          <w:lang w:val="sk-SK"/>
        </w:rPr>
        <w:t xml:space="preserve">EÚ C, C/2025/3475, 16.7.2025, ELI: </w:t>
      </w:r>
      <w:hyperlink r:id="rId2" w:history="1">
        <w:r w:rsidRPr="001743ED">
          <w:rPr>
            <w:rStyle w:val="Hyperlink"/>
            <w:sz w:val="24"/>
            <w:lang w:val="sk-SK"/>
          </w:rPr>
          <w:t>http://data.europa.eu/eli/C/2025/3475/oj</w:t>
        </w:r>
      </w:hyperlink>
      <w:r w:rsidRPr="001743ED">
        <w:rPr>
          <w:sz w:val="24"/>
          <w:lang w:val="sk-SK"/>
        </w:rPr>
        <w:t xml:space="preserve">. </w:t>
      </w:r>
    </w:p>
  </w:footnote>
  <w:footnote w:id="4">
    <w:p w14:paraId="4034E16A" w14:textId="48D536D3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>Ú. v. </w:t>
      </w:r>
      <w:r w:rsidRPr="001743ED">
        <w:rPr>
          <w:sz w:val="24"/>
          <w:lang w:val="sk-SK"/>
        </w:rPr>
        <w:t>EÚ C, C/2024/3667, 26.6.2024, ELI: </w:t>
      </w:r>
      <w:hyperlink r:id="rId3" w:tgtFrame="_blank" w:tooltip="Umožňuje prístup k tomuto dokumentu prostredníctvom identifikátora URI používaného v rámci ELI." w:history="1">
        <w:r w:rsidRPr="001743ED">
          <w:rPr>
            <w:rStyle w:val="Hyperlink"/>
            <w:sz w:val="24"/>
            <w:lang w:val="sk-SK"/>
          </w:rPr>
          <w:t>http://data.europa.eu/eli/C/2024/3667/oj</w:t>
        </w:r>
      </w:hyperlink>
      <w:r w:rsidRPr="001743ED">
        <w:rPr>
          <w:sz w:val="24"/>
          <w:lang w:val="sk-SK"/>
        </w:rPr>
        <w:t xml:space="preserve">. </w:t>
      </w:r>
    </w:p>
  </w:footnote>
  <w:footnote w:id="5">
    <w:p w14:paraId="47B8645E" w14:textId="76DB2BC0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>Ú. v. </w:t>
      </w:r>
      <w:r w:rsidRPr="001743ED">
        <w:rPr>
          <w:sz w:val="24"/>
          <w:lang w:val="sk-SK"/>
        </w:rPr>
        <w:t xml:space="preserve">EÚ C, C/2025/771, 11.2.2025, ELI: </w:t>
      </w:r>
      <w:hyperlink r:id="rId4" w:history="1">
        <w:r w:rsidRPr="001743ED">
          <w:rPr>
            <w:rStyle w:val="Hyperlink"/>
            <w:sz w:val="24"/>
            <w:lang w:val="sk-SK"/>
          </w:rPr>
          <w:t>http://data.europa.eu/eli/C/2025/771/oj</w:t>
        </w:r>
      </w:hyperlink>
      <w:r w:rsidRPr="001743ED">
        <w:rPr>
          <w:sz w:val="24"/>
          <w:lang w:val="sk-SK"/>
        </w:rPr>
        <w:t xml:space="preserve">. </w:t>
      </w:r>
    </w:p>
  </w:footnote>
  <w:footnote w:id="6">
    <w:p w14:paraId="07EF4138" w14:textId="63F0E50E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 xml:space="preserve">Ú. v. </w:t>
      </w:r>
      <w:r w:rsidRPr="001743ED">
        <w:rPr>
          <w:sz w:val="24"/>
          <w:lang w:val="sk-SK"/>
        </w:rPr>
        <w:t xml:space="preserve">EÚ C, C/2026/26, 16.1.2026, ELI: </w:t>
      </w:r>
      <w:hyperlink r:id="rId5" w:history="1">
        <w:r w:rsidRPr="001743ED">
          <w:rPr>
            <w:rStyle w:val="Hyperlink"/>
            <w:sz w:val="24"/>
            <w:lang w:val="sk-SK"/>
          </w:rPr>
          <w:t>http://data.europa.eu/eli/C/2026/26/oj</w:t>
        </w:r>
      </w:hyperlink>
      <w:r w:rsidRPr="001743ED">
        <w:rPr>
          <w:sz w:val="24"/>
          <w:lang w:val="sk-SK"/>
        </w:rPr>
        <w:t xml:space="preserve">. </w:t>
      </w:r>
    </w:p>
  </w:footnote>
  <w:footnote w:id="7">
    <w:p w14:paraId="00A5B75F" w14:textId="5834396D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 xml:space="preserve">Rozsudok Súdneho dvora z 22. septembra 2020, </w:t>
      </w:r>
      <w:proofErr w:type="spellStart"/>
      <w:r w:rsidRPr="001743ED">
        <w:rPr>
          <w:sz w:val="24"/>
          <w:lang w:val="sk-SK"/>
        </w:rPr>
        <w:t>Cali</w:t>
      </w:r>
      <w:proofErr w:type="spellEnd"/>
      <w:r w:rsidRPr="001743ED">
        <w:rPr>
          <w:sz w:val="24"/>
          <w:lang w:val="sk-SK"/>
        </w:rPr>
        <w:t xml:space="preserve"> </w:t>
      </w:r>
      <w:proofErr w:type="spellStart"/>
      <w:r w:rsidRPr="001743ED">
        <w:rPr>
          <w:sz w:val="24"/>
          <w:lang w:val="sk-SK"/>
        </w:rPr>
        <w:t>Apartments</w:t>
      </w:r>
      <w:proofErr w:type="spellEnd"/>
      <w:r w:rsidRPr="001743ED">
        <w:rPr>
          <w:sz w:val="24"/>
          <w:lang w:val="sk-SK"/>
        </w:rPr>
        <w:t xml:space="preserve"> SCI a HX/</w:t>
      </w:r>
      <w:proofErr w:type="spellStart"/>
      <w:r w:rsidRPr="001743ED">
        <w:rPr>
          <w:sz w:val="24"/>
          <w:lang w:val="sk-SK"/>
        </w:rPr>
        <w:t>Procureur</w:t>
      </w:r>
      <w:proofErr w:type="spellEnd"/>
      <w:r w:rsidRPr="001743ED">
        <w:rPr>
          <w:sz w:val="24"/>
          <w:lang w:val="sk-SK"/>
        </w:rPr>
        <w:t xml:space="preserve"> </w:t>
      </w:r>
      <w:proofErr w:type="spellStart"/>
      <w:r w:rsidRPr="001743ED">
        <w:rPr>
          <w:sz w:val="24"/>
          <w:lang w:val="sk-SK"/>
        </w:rPr>
        <w:t>général</w:t>
      </w:r>
      <w:proofErr w:type="spellEnd"/>
      <w:r w:rsidRPr="001743ED">
        <w:rPr>
          <w:sz w:val="24"/>
          <w:lang w:val="sk-SK"/>
        </w:rPr>
        <w:t xml:space="preserve"> </w:t>
      </w:r>
      <w:proofErr w:type="spellStart"/>
      <w:r w:rsidRPr="001743ED">
        <w:rPr>
          <w:sz w:val="24"/>
          <w:lang w:val="sk-SK"/>
        </w:rPr>
        <w:t>près</w:t>
      </w:r>
      <w:proofErr w:type="spellEnd"/>
      <w:r w:rsidRPr="001743ED">
        <w:rPr>
          <w:sz w:val="24"/>
          <w:lang w:val="sk-SK"/>
        </w:rPr>
        <w:t xml:space="preserve"> la </w:t>
      </w:r>
      <w:proofErr w:type="spellStart"/>
      <w:r w:rsidRPr="001743ED">
        <w:rPr>
          <w:sz w:val="24"/>
          <w:lang w:val="sk-SK"/>
        </w:rPr>
        <w:t>cour</w:t>
      </w:r>
      <w:proofErr w:type="spellEnd"/>
      <w:r w:rsidRPr="001743ED">
        <w:rPr>
          <w:sz w:val="24"/>
          <w:lang w:val="sk-SK"/>
        </w:rPr>
        <w:t xml:space="preserve"> </w:t>
      </w:r>
      <w:proofErr w:type="spellStart"/>
      <w:r w:rsidRPr="001743ED">
        <w:rPr>
          <w:sz w:val="24"/>
          <w:lang w:val="sk-SK"/>
        </w:rPr>
        <w:t>d’appel</w:t>
      </w:r>
      <w:proofErr w:type="spellEnd"/>
      <w:r w:rsidRPr="001743ED">
        <w:rPr>
          <w:sz w:val="24"/>
          <w:lang w:val="sk-SK"/>
        </w:rPr>
        <w:t xml:space="preserve"> de </w:t>
      </w:r>
      <w:proofErr w:type="spellStart"/>
      <w:r w:rsidRPr="001743ED">
        <w:rPr>
          <w:sz w:val="24"/>
          <w:lang w:val="sk-SK"/>
        </w:rPr>
        <w:t>Paris</w:t>
      </w:r>
      <w:proofErr w:type="spellEnd"/>
      <w:r w:rsidRPr="001743ED">
        <w:rPr>
          <w:sz w:val="24"/>
          <w:lang w:val="sk-SK"/>
        </w:rPr>
        <w:t xml:space="preserve"> a </w:t>
      </w:r>
      <w:proofErr w:type="spellStart"/>
      <w:r w:rsidRPr="001743ED">
        <w:rPr>
          <w:sz w:val="24"/>
          <w:lang w:val="sk-SK"/>
        </w:rPr>
        <w:t>Ville</w:t>
      </w:r>
      <w:proofErr w:type="spellEnd"/>
      <w:r w:rsidRPr="001743ED">
        <w:rPr>
          <w:sz w:val="24"/>
          <w:lang w:val="sk-SK"/>
        </w:rPr>
        <w:t xml:space="preserve"> de </w:t>
      </w:r>
      <w:proofErr w:type="spellStart"/>
      <w:r w:rsidRPr="001743ED">
        <w:rPr>
          <w:sz w:val="24"/>
          <w:lang w:val="sk-SK"/>
        </w:rPr>
        <w:t>Paris</w:t>
      </w:r>
      <w:proofErr w:type="spellEnd"/>
      <w:r w:rsidRPr="001743ED">
        <w:rPr>
          <w:sz w:val="24"/>
          <w:lang w:val="sk-SK"/>
        </w:rPr>
        <w:t>, C-724/18 a C-727/18, ECLI:EU:C:2020:743.</w:t>
      </w:r>
    </w:p>
  </w:footnote>
  <w:footnote w:id="8">
    <w:p w14:paraId="70786990" w14:textId="21BE77BB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 xml:space="preserve">Ú. v. </w:t>
      </w:r>
      <w:r w:rsidRPr="001743ED">
        <w:rPr>
          <w:sz w:val="24"/>
          <w:lang w:val="sk-SK"/>
        </w:rPr>
        <w:t>EÚ L, 2024/1275, 8.5.2024, ELI: </w:t>
      </w:r>
      <w:hyperlink r:id="rId6" w:tgtFrame="_blank" w:tooltip="Umožňuje prístup k tomuto dokumentu prostredníctvom identifikátora URI používaného v rámci ELI." w:history="1">
        <w:r w:rsidRPr="001743ED">
          <w:rPr>
            <w:rStyle w:val="Hyperlink"/>
            <w:sz w:val="24"/>
            <w:lang w:val="sk-SK"/>
          </w:rPr>
          <w:t>http://data.europa.eu/eli/dir/2024/1275/oj</w:t>
        </w:r>
      </w:hyperlink>
      <w:r w:rsidRPr="001743ED">
        <w:rPr>
          <w:sz w:val="24"/>
          <w:lang w:val="sk-SK"/>
        </w:rPr>
        <w:t xml:space="preserve">. </w:t>
      </w:r>
    </w:p>
  </w:footnote>
  <w:footnote w:id="9">
    <w:p w14:paraId="5676A00A" w14:textId="6ADB0545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 xml:space="preserve">Ú. v. </w:t>
      </w:r>
      <w:r w:rsidRPr="001743ED">
        <w:rPr>
          <w:sz w:val="24"/>
          <w:lang w:val="sk-SK"/>
        </w:rPr>
        <w:t xml:space="preserve">EÚ L, 2024/1028, 29.4.2024, ELI: </w:t>
      </w:r>
      <w:hyperlink r:id="rId7" w:history="1">
        <w:r w:rsidRPr="001743ED">
          <w:rPr>
            <w:rStyle w:val="Hyperlink"/>
            <w:sz w:val="24"/>
            <w:lang w:val="sk-SK"/>
          </w:rPr>
          <w:t>http://data.europa.eu/eli/reg/2024/1028/oj</w:t>
        </w:r>
      </w:hyperlink>
      <w:r w:rsidRPr="001743ED">
        <w:rPr>
          <w:sz w:val="24"/>
          <w:lang w:val="sk-SK"/>
        </w:rPr>
        <w:t>.</w:t>
      </w:r>
    </w:p>
  </w:footnote>
  <w:footnote w:id="10">
    <w:p w14:paraId="1FE68636" w14:textId="3AA86D78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 xml:space="preserve">Ú. v. EÚ C 456, 10.11.2021, s. 145. </w:t>
      </w:r>
    </w:p>
  </w:footnote>
  <w:footnote w:id="11">
    <w:p w14:paraId="69B792A4" w14:textId="432F63CA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>Ú. v. EÚ C 108, 26.3.2021, s. 8.</w:t>
      </w:r>
    </w:p>
  </w:footnote>
  <w:footnote w:id="12">
    <w:p w14:paraId="4281934A" w14:textId="78AE257F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>Ú. v. EÚ C 429, 11.12.2020, s. 93.</w:t>
      </w:r>
    </w:p>
  </w:footnote>
  <w:footnote w:id="13">
    <w:p w14:paraId="7FFC656E" w14:textId="2546415A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>Ú. v. </w:t>
      </w:r>
      <w:r w:rsidRPr="001743ED">
        <w:rPr>
          <w:sz w:val="24"/>
          <w:lang w:val="sk-SK"/>
        </w:rPr>
        <w:t>EÚ C, C/2025/285, 24.1.2025, ELI: </w:t>
      </w:r>
      <w:hyperlink r:id="rId8" w:tgtFrame="_blank" w:tooltip="Umožňuje prístup k tomuto dokumentu prostredníctvom identifikátora URI používaného v rámci ELI." w:history="1">
        <w:r w:rsidRPr="001743ED">
          <w:rPr>
            <w:rStyle w:val="Hyperlink"/>
            <w:sz w:val="24"/>
            <w:lang w:val="sk-SK"/>
          </w:rPr>
          <w:t>http://data.europa.eu/eli/C/2025/285/oj</w:t>
        </w:r>
      </w:hyperlink>
      <w:r w:rsidRPr="001743ED">
        <w:rPr>
          <w:sz w:val="24"/>
          <w:lang w:val="sk-SK"/>
        </w:rPr>
        <w:t>.</w:t>
      </w:r>
    </w:p>
  </w:footnote>
  <w:footnote w:id="14">
    <w:p w14:paraId="10CC2E37" w14:textId="7BF053B5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proofErr w:type="spellStart"/>
      <w:r w:rsidRPr="001743ED">
        <w:rPr>
          <w:sz w:val="24"/>
          <w:lang w:val="sk-SK"/>
        </w:rPr>
        <w:t>Eurostat</w:t>
      </w:r>
      <w:proofErr w:type="spellEnd"/>
      <w:r w:rsidRPr="001743ED">
        <w:rPr>
          <w:sz w:val="24"/>
          <w:lang w:val="sk-SK"/>
        </w:rPr>
        <w:t xml:space="preserve">, </w:t>
      </w:r>
      <w:proofErr w:type="spellStart"/>
      <w:r w:rsidRPr="001743ED">
        <w:rPr>
          <w:sz w:val="24"/>
          <w:lang w:val="sk-SK"/>
        </w:rPr>
        <w:t>Housing</w:t>
      </w:r>
      <w:proofErr w:type="spellEnd"/>
      <w:r w:rsidRPr="001743ED">
        <w:rPr>
          <w:sz w:val="24"/>
          <w:lang w:val="sk-SK"/>
        </w:rPr>
        <w:t xml:space="preserve"> in </w:t>
      </w:r>
      <w:proofErr w:type="spellStart"/>
      <w:r w:rsidRPr="001743ED">
        <w:rPr>
          <w:sz w:val="24"/>
          <w:lang w:val="sk-SK"/>
        </w:rPr>
        <w:t>Europe</w:t>
      </w:r>
      <w:proofErr w:type="spellEnd"/>
      <w:r w:rsidRPr="001743ED">
        <w:rPr>
          <w:sz w:val="24"/>
          <w:lang w:val="sk-SK"/>
        </w:rPr>
        <w:t xml:space="preserve"> – 2024 </w:t>
      </w:r>
      <w:proofErr w:type="spellStart"/>
      <w:r w:rsidRPr="001743ED">
        <w:rPr>
          <w:sz w:val="24"/>
          <w:lang w:val="sk-SK"/>
        </w:rPr>
        <w:t>edition</w:t>
      </w:r>
      <w:proofErr w:type="spellEnd"/>
      <w:r w:rsidRPr="001743ED">
        <w:rPr>
          <w:sz w:val="24"/>
          <w:lang w:val="sk-SK"/>
        </w:rPr>
        <w:t xml:space="preserve">, webové sídlo </w:t>
      </w:r>
      <w:proofErr w:type="spellStart"/>
      <w:r w:rsidRPr="001743ED">
        <w:rPr>
          <w:sz w:val="24"/>
          <w:lang w:val="sk-SK"/>
        </w:rPr>
        <w:t>Eurostatu</w:t>
      </w:r>
      <w:proofErr w:type="spellEnd"/>
      <w:r w:rsidRPr="001743ED">
        <w:rPr>
          <w:sz w:val="24"/>
          <w:lang w:val="sk-SK"/>
        </w:rPr>
        <w:t xml:space="preserve">, </w:t>
      </w:r>
      <w:hyperlink r:id="rId9" w:history="1">
        <w:r w:rsidRPr="001743ED">
          <w:rPr>
            <w:rStyle w:val="Hyperlink"/>
            <w:sz w:val="24"/>
            <w:lang w:val="sk-SK"/>
          </w:rPr>
          <w:t>https://ec.europa.eu/eurostat/web/interactive-publications/housing-2024</w:t>
        </w:r>
      </w:hyperlink>
      <w:r w:rsidRPr="001743ED">
        <w:rPr>
          <w:sz w:val="24"/>
          <w:lang w:val="sk-SK"/>
        </w:rPr>
        <w:t xml:space="preserve">. </w:t>
      </w:r>
    </w:p>
  </w:footnote>
  <w:footnote w:id="15">
    <w:p w14:paraId="0415B433" w14:textId="174E5711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 xml:space="preserve">Ú. v. EÚ L 223, 22.6.2021, s. </w:t>
      </w:r>
      <w:r w:rsidRPr="001743ED">
        <w:rPr>
          <w:sz w:val="24"/>
          <w:lang w:val="sk-SK"/>
        </w:rPr>
        <w:t xml:space="preserve">14, ELI: </w:t>
      </w:r>
      <w:hyperlink r:id="rId10" w:history="1">
        <w:r w:rsidRPr="001743ED">
          <w:rPr>
            <w:rStyle w:val="Hyperlink"/>
            <w:sz w:val="24"/>
            <w:lang w:val="sk-SK"/>
          </w:rPr>
          <w:t>http://data.europa.eu/eli/reco/2021/1004/oj</w:t>
        </w:r>
      </w:hyperlink>
      <w:r w:rsidRPr="001743ED">
        <w:rPr>
          <w:sz w:val="24"/>
          <w:lang w:val="sk-SK"/>
        </w:rPr>
        <w:t>.</w:t>
      </w:r>
    </w:p>
  </w:footnote>
  <w:footnote w:id="16">
    <w:p w14:paraId="4FAEAF31" w14:textId="409015C7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>Ú. v. EÚ C 425, 20.10.2021, s. 2.</w:t>
      </w:r>
    </w:p>
  </w:footnote>
  <w:footnote w:id="17">
    <w:p w14:paraId="7B83BA26" w14:textId="0A34C91B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>Ú. v. EÚ C 15, 12.1.2022, s. 125.</w:t>
      </w:r>
    </w:p>
  </w:footnote>
  <w:footnote w:id="18">
    <w:p w14:paraId="07892B5C" w14:textId="6B48EA0F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 xml:space="preserve">Ú. v. </w:t>
      </w:r>
      <w:r w:rsidRPr="001743ED">
        <w:rPr>
          <w:sz w:val="24"/>
          <w:lang w:val="sk-SK"/>
        </w:rPr>
        <w:t xml:space="preserve">EÚ L 23, </w:t>
      </w:r>
      <w:r w:rsidR="00BF285F">
        <w:rPr>
          <w:sz w:val="24"/>
          <w:lang w:val="sk-SK"/>
        </w:rPr>
        <w:t xml:space="preserve">27.1.2010, </w:t>
      </w:r>
      <w:r w:rsidRPr="001743ED">
        <w:rPr>
          <w:sz w:val="24"/>
          <w:lang w:val="sk-SK"/>
        </w:rPr>
        <w:t xml:space="preserve">s. 35, ELI: </w:t>
      </w:r>
      <w:hyperlink r:id="rId11" w:history="1">
        <w:r w:rsidRPr="001743ED">
          <w:rPr>
            <w:rStyle w:val="Hyperlink"/>
            <w:sz w:val="24"/>
            <w:lang w:val="sk-SK"/>
          </w:rPr>
          <w:t>http://data.europa.eu/eli/dec/2010/48(1)/oj</w:t>
        </w:r>
      </w:hyperlink>
      <w:r w:rsidRPr="001743ED">
        <w:rPr>
          <w:sz w:val="24"/>
          <w:lang w:val="sk-SK"/>
        </w:rPr>
        <w:t xml:space="preserve">. </w:t>
      </w:r>
    </w:p>
  </w:footnote>
  <w:footnote w:id="19">
    <w:p w14:paraId="34511D19" w14:textId="7C0A5D14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 xml:space="preserve">Európsky hospodársky a sociálny výbor, </w:t>
      </w:r>
      <w:proofErr w:type="spellStart"/>
      <w:r w:rsidRPr="001743ED">
        <w:rPr>
          <w:i/>
          <w:iCs/>
          <w:sz w:val="24"/>
          <w:lang w:val="sk-SK"/>
        </w:rPr>
        <w:t>Secure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access</w:t>
      </w:r>
      <w:proofErr w:type="spellEnd"/>
      <w:r w:rsidRPr="001743ED">
        <w:rPr>
          <w:i/>
          <w:iCs/>
          <w:sz w:val="24"/>
          <w:lang w:val="sk-SK"/>
        </w:rPr>
        <w:t xml:space="preserve"> to </w:t>
      </w:r>
      <w:proofErr w:type="spellStart"/>
      <w:r w:rsidRPr="001743ED">
        <w:rPr>
          <w:i/>
          <w:iCs/>
          <w:sz w:val="24"/>
          <w:lang w:val="sk-SK"/>
        </w:rPr>
        <w:t>social</w:t>
      </w:r>
      <w:proofErr w:type="spellEnd"/>
      <w:r w:rsidRPr="001743ED">
        <w:rPr>
          <w:i/>
          <w:iCs/>
          <w:sz w:val="24"/>
          <w:lang w:val="sk-SK"/>
        </w:rPr>
        <w:t xml:space="preserve"> and </w:t>
      </w:r>
      <w:proofErr w:type="spellStart"/>
      <w:r w:rsidRPr="001743ED">
        <w:rPr>
          <w:i/>
          <w:iCs/>
          <w:sz w:val="24"/>
          <w:lang w:val="sk-SK"/>
        </w:rPr>
        <w:t>affordable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housing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for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all</w:t>
      </w:r>
      <w:proofErr w:type="spellEnd"/>
      <w:r w:rsidRPr="001743ED">
        <w:rPr>
          <w:sz w:val="24"/>
          <w:lang w:val="sk-SK"/>
        </w:rPr>
        <w:t xml:space="preserve"> (Bezpečný prístup k sociálnemu a cenovo dostupnému bývaniu pre všetkých), 2024.</w:t>
      </w:r>
    </w:p>
  </w:footnote>
  <w:footnote w:id="20">
    <w:p w14:paraId="26D61629" w14:textId="3C6982CA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 xml:space="preserve">Európska komisia: </w:t>
      </w:r>
      <w:proofErr w:type="spellStart"/>
      <w:r w:rsidRPr="001743ED">
        <w:rPr>
          <w:sz w:val="24"/>
          <w:lang w:val="sk-SK"/>
        </w:rPr>
        <w:t>European</w:t>
      </w:r>
      <w:proofErr w:type="spellEnd"/>
      <w:r w:rsidRPr="001743ED">
        <w:rPr>
          <w:sz w:val="24"/>
          <w:lang w:val="sk-SK"/>
        </w:rPr>
        <w:t xml:space="preserve"> </w:t>
      </w:r>
      <w:proofErr w:type="spellStart"/>
      <w:r w:rsidRPr="001743ED">
        <w:rPr>
          <w:sz w:val="24"/>
          <w:lang w:val="sk-SK"/>
        </w:rPr>
        <w:t>Construction</w:t>
      </w:r>
      <w:proofErr w:type="spellEnd"/>
      <w:r w:rsidRPr="001743ED">
        <w:rPr>
          <w:sz w:val="24"/>
          <w:lang w:val="sk-SK"/>
        </w:rPr>
        <w:t xml:space="preserve"> </w:t>
      </w:r>
      <w:proofErr w:type="spellStart"/>
      <w:r w:rsidRPr="001743ED">
        <w:rPr>
          <w:sz w:val="24"/>
          <w:lang w:val="sk-SK"/>
        </w:rPr>
        <w:t>Sector</w:t>
      </w:r>
      <w:proofErr w:type="spellEnd"/>
      <w:r w:rsidRPr="001743ED">
        <w:rPr>
          <w:sz w:val="24"/>
          <w:lang w:val="sk-SK"/>
        </w:rPr>
        <w:t xml:space="preserve"> </w:t>
      </w:r>
      <w:proofErr w:type="spellStart"/>
      <w:r w:rsidRPr="001743ED">
        <w:rPr>
          <w:sz w:val="24"/>
          <w:lang w:val="sk-SK"/>
        </w:rPr>
        <w:t>Observatory</w:t>
      </w:r>
      <w:proofErr w:type="spellEnd"/>
      <w:r w:rsidRPr="001743ED">
        <w:rPr>
          <w:sz w:val="24"/>
          <w:lang w:val="sk-SK"/>
        </w:rPr>
        <w:t xml:space="preserve">, </w:t>
      </w:r>
      <w:proofErr w:type="spellStart"/>
      <w:r w:rsidRPr="001743ED">
        <w:rPr>
          <w:i/>
          <w:iCs/>
          <w:sz w:val="24"/>
          <w:lang w:val="sk-SK"/>
        </w:rPr>
        <w:t>Housing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affordability</w:t>
      </w:r>
      <w:proofErr w:type="spellEnd"/>
      <w:r w:rsidRPr="001743ED">
        <w:rPr>
          <w:i/>
          <w:iCs/>
          <w:sz w:val="24"/>
          <w:lang w:val="sk-SK"/>
        </w:rPr>
        <w:t xml:space="preserve"> and </w:t>
      </w:r>
      <w:proofErr w:type="spellStart"/>
      <w:r w:rsidRPr="001743ED">
        <w:rPr>
          <w:i/>
          <w:iCs/>
          <w:sz w:val="24"/>
          <w:lang w:val="sk-SK"/>
        </w:rPr>
        <w:t>sustainability</w:t>
      </w:r>
      <w:proofErr w:type="spellEnd"/>
      <w:r w:rsidRPr="001743ED">
        <w:rPr>
          <w:i/>
          <w:iCs/>
          <w:sz w:val="24"/>
          <w:lang w:val="sk-SK"/>
        </w:rPr>
        <w:t xml:space="preserve"> in </w:t>
      </w:r>
      <w:proofErr w:type="spellStart"/>
      <w:r w:rsidRPr="001743ED">
        <w:rPr>
          <w:i/>
          <w:iCs/>
          <w:sz w:val="24"/>
          <w:lang w:val="sk-SK"/>
        </w:rPr>
        <w:t>the</w:t>
      </w:r>
      <w:proofErr w:type="spellEnd"/>
      <w:r w:rsidRPr="001743ED">
        <w:rPr>
          <w:i/>
          <w:iCs/>
          <w:sz w:val="24"/>
          <w:lang w:val="sk-SK"/>
        </w:rPr>
        <w:t xml:space="preserve"> EU</w:t>
      </w:r>
      <w:r w:rsidRPr="001743ED">
        <w:rPr>
          <w:sz w:val="24"/>
          <w:lang w:val="sk-SK"/>
        </w:rPr>
        <w:t xml:space="preserve"> (Cenová dostupnosť a udržateľnosť bývania v EÚ), november 2019.</w:t>
      </w:r>
    </w:p>
  </w:footnote>
  <w:footnote w:id="21">
    <w:p w14:paraId="7E1CE0B5" w14:textId="3421BABF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>Európsky parlament, „Rastúce náklady na bývanie v EÚ: fakty (</w:t>
      </w:r>
      <w:proofErr w:type="spellStart"/>
      <w:r w:rsidRPr="001743ED">
        <w:rPr>
          <w:sz w:val="24"/>
          <w:lang w:val="sk-SK"/>
        </w:rPr>
        <w:t>infografika</w:t>
      </w:r>
      <w:proofErr w:type="spellEnd"/>
      <w:r w:rsidRPr="001743ED">
        <w:rPr>
          <w:sz w:val="24"/>
          <w:lang w:val="sk-SK"/>
        </w:rPr>
        <w:t>)“, webové sídlo Európskeho parlamentu, 17. októbra 2024.</w:t>
      </w:r>
    </w:p>
  </w:footnote>
  <w:footnote w:id="22">
    <w:p w14:paraId="34E57A56" w14:textId="3D005533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proofErr w:type="spellStart"/>
      <w:r w:rsidRPr="001743ED">
        <w:rPr>
          <w:sz w:val="24"/>
          <w:lang w:val="sk-SK"/>
        </w:rPr>
        <w:t>Eurostat</w:t>
      </w:r>
      <w:proofErr w:type="spellEnd"/>
      <w:r w:rsidRPr="001743ED">
        <w:rPr>
          <w:sz w:val="24"/>
          <w:lang w:val="sk-SK"/>
        </w:rPr>
        <w:t xml:space="preserve">, „Štatistika cien bývania – index cien nehnuteľností“, webové sídlo </w:t>
      </w:r>
      <w:proofErr w:type="spellStart"/>
      <w:r w:rsidRPr="001743ED">
        <w:rPr>
          <w:sz w:val="24"/>
          <w:lang w:val="sk-SK"/>
        </w:rPr>
        <w:t>Eurostatu</w:t>
      </w:r>
      <w:proofErr w:type="spellEnd"/>
      <w:r w:rsidRPr="001743ED">
        <w:rPr>
          <w:sz w:val="24"/>
          <w:lang w:val="sk-SK"/>
        </w:rPr>
        <w:t xml:space="preserve">, október 2025, </w:t>
      </w:r>
      <w:hyperlink r:id="rId12" w:history="1">
        <w:r w:rsidRPr="001743ED">
          <w:rPr>
            <w:rStyle w:val="Hyperlink"/>
            <w:sz w:val="24"/>
            <w:lang w:val="sk-SK"/>
          </w:rPr>
          <w:t>https://ec.europa.eu/eurostat/web/products-euro-indicators/w/2-03102025-bp</w:t>
        </w:r>
      </w:hyperlink>
      <w:r w:rsidRPr="001743ED">
        <w:rPr>
          <w:sz w:val="24"/>
          <w:lang w:val="sk-SK"/>
        </w:rPr>
        <w:t>.</w:t>
      </w:r>
    </w:p>
  </w:footnote>
  <w:footnote w:id="23">
    <w:p w14:paraId="62931560" w14:textId="08C92768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proofErr w:type="spellStart"/>
      <w:r w:rsidRPr="001743ED">
        <w:rPr>
          <w:sz w:val="24"/>
          <w:lang w:val="sk-SK"/>
        </w:rPr>
        <w:t>Eurofound</w:t>
      </w:r>
      <w:proofErr w:type="spellEnd"/>
      <w:r w:rsidRPr="001743ED">
        <w:rPr>
          <w:sz w:val="24"/>
          <w:lang w:val="sk-SK"/>
        </w:rPr>
        <w:t xml:space="preserve">, Minimálne mzdy v roku 2025: prehľad za aktuálny rok, webové sídlo nadácie </w:t>
      </w:r>
      <w:proofErr w:type="spellStart"/>
      <w:r w:rsidRPr="001743ED">
        <w:rPr>
          <w:sz w:val="24"/>
          <w:lang w:val="sk-SK"/>
        </w:rPr>
        <w:t>Eurofound</w:t>
      </w:r>
      <w:proofErr w:type="spellEnd"/>
      <w:r w:rsidRPr="001743ED">
        <w:rPr>
          <w:sz w:val="24"/>
          <w:lang w:val="sk-SK"/>
        </w:rPr>
        <w:t xml:space="preserve">, júl 2025, </w:t>
      </w:r>
      <w:hyperlink r:id="rId13" w:history="1">
        <w:r w:rsidRPr="001743ED">
          <w:rPr>
            <w:rStyle w:val="Hyperlink"/>
            <w:sz w:val="24"/>
            <w:lang w:val="sk-SK"/>
          </w:rPr>
          <w:t>https://www.eurofound.europa.eu/en/publications/all/minimum-wages-2025-annual-review</w:t>
        </w:r>
      </w:hyperlink>
      <w:r w:rsidRPr="001743ED">
        <w:rPr>
          <w:sz w:val="24"/>
          <w:lang w:val="sk-SK"/>
        </w:rPr>
        <w:t>.</w:t>
      </w:r>
    </w:p>
  </w:footnote>
  <w:footnote w:id="24">
    <w:p w14:paraId="3FA7DF70" w14:textId="265E4BA0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proofErr w:type="spellStart"/>
      <w:r w:rsidRPr="001743ED">
        <w:rPr>
          <w:sz w:val="24"/>
          <w:lang w:val="sk-SK"/>
        </w:rPr>
        <w:t>Eurostat</w:t>
      </w:r>
      <w:proofErr w:type="spellEnd"/>
      <w:r w:rsidRPr="001743ED">
        <w:rPr>
          <w:sz w:val="24"/>
          <w:lang w:val="sk-SK"/>
        </w:rPr>
        <w:t xml:space="preserve">, „Prehľad indexu stavebných povolení“, webové sídlo </w:t>
      </w:r>
      <w:proofErr w:type="spellStart"/>
      <w:r w:rsidRPr="001743ED">
        <w:rPr>
          <w:sz w:val="24"/>
          <w:lang w:val="sk-SK"/>
        </w:rPr>
        <w:t>Eurostatu</w:t>
      </w:r>
      <w:proofErr w:type="spellEnd"/>
      <w:r w:rsidRPr="001743ED">
        <w:rPr>
          <w:sz w:val="24"/>
          <w:lang w:val="sk-SK"/>
        </w:rPr>
        <w:t>, apríl 2025.</w:t>
      </w:r>
    </w:p>
  </w:footnote>
  <w:footnote w:id="25">
    <w:p w14:paraId="2633A42E" w14:textId="20D684B5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 xml:space="preserve">Európska komisia, Urýchlenie udeľovania povolení pre energiu z obnoviteľných zdrojov. </w:t>
      </w:r>
      <w:r w:rsidRPr="001743ED">
        <w:rPr>
          <w:sz w:val="24"/>
          <w:lang w:val="sk-SK"/>
        </w:rPr>
        <w:t xml:space="preserve">Vlajkový projekt technickej podpory v roku 2023 – Nástroj technickej podpory“, webové sídlo Európskej komisie, október 2025, </w:t>
      </w:r>
      <w:hyperlink r:id="rId14" w:history="1">
        <w:r w:rsidRPr="001743ED">
          <w:rPr>
            <w:rStyle w:val="Hyperlink"/>
            <w:sz w:val="24"/>
            <w:lang w:val="sk-SK"/>
          </w:rPr>
          <w:t>https://reforms-investments.ec.europa.eu/accelerating-permitting-renewable-energy_en</w:t>
        </w:r>
      </w:hyperlink>
      <w:r w:rsidRPr="001743ED">
        <w:rPr>
          <w:sz w:val="24"/>
          <w:lang w:val="sk-SK"/>
        </w:rPr>
        <w:t xml:space="preserve">. </w:t>
      </w:r>
    </w:p>
  </w:footnote>
  <w:footnote w:id="26">
    <w:p w14:paraId="262E400B" w14:textId="0802BA1D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 xml:space="preserve">OECD, </w:t>
      </w:r>
      <w:proofErr w:type="spellStart"/>
      <w:r w:rsidRPr="001743ED">
        <w:rPr>
          <w:i/>
          <w:iCs/>
          <w:sz w:val="24"/>
          <w:lang w:val="sk-SK"/>
        </w:rPr>
        <w:t>Brick</w:t>
      </w:r>
      <w:proofErr w:type="spellEnd"/>
      <w:r w:rsidRPr="001743ED">
        <w:rPr>
          <w:i/>
          <w:iCs/>
          <w:sz w:val="24"/>
          <w:lang w:val="sk-SK"/>
        </w:rPr>
        <w:t xml:space="preserve"> by </w:t>
      </w:r>
      <w:proofErr w:type="spellStart"/>
      <w:r w:rsidRPr="001743ED">
        <w:rPr>
          <w:i/>
          <w:iCs/>
          <w:sz w:val="24"/>
          <w:lang w:val="sk-SK"/>
        </w:rPr>
        <w:t>Brick</w:t>
      </w:r>
      <w:proofErr w:type="spellEnd"/>
      <w:r w:rsidRPr="001743ED">
        <w:rPr>
          <w:sz w:val="24"/>
          <w:lang w:val="sk-SK"/>
        </w:rPr>
        <w:t xml:space="preserve">: </w:t>
      </w:r>
      <w:proofErr w:type="spellStart"/>
      <w:r w:rsidRPr="001743ED">
        <w:rPr>
          <w:i/>
          <w:iCs/>
          <w:sz w:val="24"/>
          <w:lang w:val="sk-SK"/>
        </w:rPr>
        <w:t>Building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Better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Housing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Policies</w:t>
      </w:r>
      <w:proofErr w:type="spellEnd"/>
      <w:r w:rsidRPr="001743ED">
        <w:rPr>
          <w:sz w:val="24"/>
          <w:lang w:val="sk-SK"/>
        </w:rPr>
        <w:t xml:space="preserve"> (Tehla za tehlou: budovanie lepších politík bývania), OECD </w:t>
      </w:r>
      <w:proofErr w:type="spellStart"/>
      <w:r w:rsidRPr="001743ED">
        <w:rPr>
          <w:sz w:val="24"/>
          <w:lang w:val="sk-SK"/>
        </w:rPr>
        <w:t>Publishing</w:t>
      </w:r>
      <w:proofErr w:type="spellEnd"/>
      <w:r w:rsidRPr="001743ED">
        <w:rPr>
          <w:sz w:val="24"/>
          <w:lang w:val="sk-SK"/>
        </w:rPr>
        <w:t>, Paríž, 2021.</w:t>
      </w:r>
    </w:p>
  </w:footnote>
  <w:footnote w:id="27">
    <w:p w14:paraId="575BBCD6" w14:textId="0DC43083" w:rsidR="00895679" w:rsidRPr="001743ED" w:rsidRDefault="00895679" w:rsidP="001743ED">
      <w:pPr>
        <w:pStyle w:val="Normal6a"/>
        <w:spacing w:after="0"/>
        <w:ind w:left="567" w:hanging="567"/>
      </w:pPr>
      <w:r w:rsidRPr="001743ED">
        <w:rPr>
          <w:rStyle w:val="FootnoteReference"/>
          <w:szCs w:val="20"/>
        </w:rPr>
        <w:footnoteRef/>
      </w:r>
      <w:r w:rsidR="001743ED" w:rsidRPr="001743ED">
        <w:t xml:space="preserve"> </w:t>
      </w:r>
      <w:r w:rsidR="001743ED" w:rsidRPr="001743ED">
        <w:tab/>
      </w:r>
      <w:proofErr w:type="spellStart"/>
      <w:r w:rsidRPr="001743ED">
        <w:t>Eurostat</w:t>
      </w:r>
      <w:proofErr w:type="spellEnd"/>
      <w:r w:rsidRPr="001743ED">
        <w:t xml:space="preserve">, „Cieľ udržateľného rozvoja č. 7 – Dostupná a čistá energia“, webové sídlo </w:t>
      </w:r>
      <w:proofErr w:type="spellStart"/>
      <w:r w:rsidRPr="001743ED">
        <w:t>Eurostatu</w:t>
      </w:r>
      <w:proofErr w:type="spellEnd"/>
      <w:r w:rsidRPr="001743ED">
        <w:t>, apríl 2025.</w:t>
      </w:r>
    </w:p>
  </w:footnote>
  <w:footnote w:id="28">
    <w:p w14:paraId="75684B96" w14:textId="39F422B1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>Smernica Európskeho parlamentu a Rady (EÚ) 2024/1275 z 24. apríla 2024 o energetickej hospodárnosti budov (Ú. v. </w:t>
      </w:r>
      <w:r w:rsidRPr="001743ED">
        <w:rPr>
          <w:sz w:val="24"/>
          <w:lang w:val="sk-SK"/>
        </w:rPr>
        <w:t xml:space="preserve">EÚ L, 2024/1275, 8.5.2024, ELI: </w:t>
      </w:r>
      <w:hyperlink r:id="rId15" w:history="1">
        <w:r w:rsidRPr="001743ED">
          <w:rPr>
            <w:rStyle w:val="Hyperlink"/>
            <w:sz w:val="24"/>
            <w:lang w:val="sk-SK"/>
          </w:rPr>
          <w:t>http://data.europa.eu/eli/dir/2024/1275/oj</w:t>
        </w:r>
      </w:hyperlink>
      <w:r w:rsidRPr="001743ED">
        <w:rPr>
          <w:sz w:val="24"/>
          <w:lang w:val="sk-SK"/>
        </w:rPr>
        <w:t>).</w:t>
      </w:r>
    </w:p>
  </w:footnote>
  <w:footnote w:id="29">
    <w:p w14:paraId="3D289E45" w14:textId="6BC7CFFD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>Smernica Európskeho parlamentu a Rady (EÚ) 2023/1791 z 13. septembra 2023 o energetickej efektívnosti a o zmene nariadenia (EÚ) 2023/955 (Ú. v. EÚ L 231, 20.9.2023, s. </w:t>
      </w:r>
      <w:r w:rsidRPr="001743ED">
        <w:rPr>
          <w:sz w:val="24"/>
          <w:lang w:val="sk-SK"/>
        </w:rPr>
        <w:t xml:space="preserve">1, ELI: </w:t>
      </w:r>
      <w:hyperlink r:id="rId16" w:history="1">
        <w:r w:rsidRPr="001743ED">
          <w:rPr>
            <w:rStyle w:val="Hyperlink"/>
            <w:sz w:val="24"/>
            <w:lang w:val="sk-SK"/>
          </w:rPr>
          <w:t>http://data.europa.eu/eli/dir/2023/1791/oj</w:t>
        </w:r>
      </w:hyperlink>
      <w:r w:rsidRPr="001743ED">
        <w:rPr>
          <w:sz w:val="24"/>
          <w:lang w:val="sk-SK"/>
        </w:rPr>
        <w:t>).</w:t>
      </w:r>
    </w:p>
  </w:footnote>
  <w:footnote w:id="30">
    <w:p w14:paraId="5A4CA2BE" w14:textId="20067307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 xml:space="preserve">OECD, </w:t>
      </w:r>
      <w:proofErr w:type="spellStart"/>
      <w:r w:rsidRPr="001743ED">
        <w:rPr>
          <w:i/>
          <w:iCs/>
          <w:sz w:val="24"/>
          <w:lang w:val="sk-SK"/>
        </w:rPr>
        <w:t>The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Political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Economy</w:t>
      </w:r>
      <w:proofErr w:type="spellEnd"/>
      <w:r w:rsidRPr="001743ED">
        <w:rPr>
          <w:i/>
          <w:iCs/>
          <w:sz w:val="24"/>
          <w:lang w:val="sk-SK"/>
        </w:rPr>
        <w:t xml:space="preserve"> of </w:t>
      </w:r>
      <w:proofErr w:type="spellStart"/>
      <w:r w:rsidRPr="001743ED">
        <w:rPr>
          <w:i/>
          <w:iCs/>
          <w:sz w:val="24"/>
          <w:lang w:val="sk-SK"/>
        </w:rPr>
        <w:t>Property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Tax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Reform</w:t>
      </w:r>
      <w:proofErr w:type="spellEnd"/>
      <w:r w:rsidRPr="001743ED">
        <w:rPr>
          <w:sz w:val="24"/>
          <w:lang w:val="sk-SK"/>
        </w:rPr>
        <w:t xml:space="preserve">, (Politická ekonómia reformy dane z nehnuteľností), pracovný dokument OECD o fiškálnom federalizme č. </w:t>
      </w:r>
      <w:r w:rsidRPr="001743ED">
        <w:rPr>
          <w:sz w:val="24"/>
          <w:lang w:val="sk-SK"/>
        </w:rPr>
        <w:t xml:space="preserve">18, webové sídlo OECD, apríl 2014, </w:t>
      </w:r>
      <w:hyperlink r:id="rId17" w:history="1">
        <w:r w:rsidRPr="001743ED">
          <w:rPr>
            <w:rStyle w:val="Hyperlink"/>
            <w:sz w:val="24"/>
            <w:lang w:val="sk-SK"/>
          </w:rPr>
          <w:t>https://www.oecd.org/en/publications/the-political-economy-of-property-tax-reform_5jz5pzvzv6r7-en.html</w:t>
        </w:r>
      </w:hyperlink>
      <w:r w:rsidRPr="001743ED">
        <w:rPr>
          <w:sz w:val="24"/>
          <w:lang w:val="sk-SK"/>
        </w:rPr>
        <w:t xml:space="preserve">; MMF, </w:t>
      </w:r>
      <w:proofErr w:type="spellStart"/>
      <w:r w:rsidRPr="001743ED">
        <w:rPr>
          <w:i/>
          <w:iCs/>
          <w:sz w:val="24"/>
          <w:lang w:val="sk-SK"/>
        </w:rPr>
        <w:t>Taxing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Immable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Property</w:t>
      </w:r>
      <w:proofErr w:type="spellEnd"/>
      <w:r w:rsidRPr="001743ED">
        <w:rPr>
          <w:sz w:val="24"/>
          <w:lang w:val="sk-SK"/>
        </w:rPr>
        <w:t xml:space="preserve">: </w:t>
      </w:r>
      <w:proofErr w:type="spellStart"/>
      <w:r w:rsidRPr="001743ED">
        <w:rPr>
          <w:i/>
          <w:iCs/>
          <w:sz w:val="24"/>
          <w:lang w:val="sk-SK"/>
        </w:rPr>
        <w:t>Income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Potential</w:t>
      </w:r>
      <w:proofErr w:type="spellEnd"/>
      <w:r w:rsidRPr="001743ED">
        <w:rPr>
          <w:i/>
          <w:iCs/>
          <w:sz w:val="24"/>
          <w:lang w:val="sk-SK"/>
        </w:rPr>
        <w:t xml:space="preserve"> and </w:t>
      </w:r>
      <w:proofErr w:type="spellStart"/>
      <w:r w:rsidRPr="001743ED">
        <w:rPr>
          <w:i/>
          <w:iCs/>
          <w:sz w:val="24"/>
          <w:lang w:val="sk-SK"/>
        </w:rPr>
        <w:t>Implementation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Challenges</w:t>
      </w:r>
      <w:proofErr w:type="spellEnd"/>
      <w:r w:rsidRPr="001743ED">
        <w:rPr>
          <w:sz w:val="24"/>
          <w:lang w:val="sk-SK"/>
        </w:rPr>
        <w:t xml:space="preserve"> (Zdanenie nehnuteľného majetku: potenciál príjmov a výzvy pri implementácii), elektronická knižnica MMF, máj 2013, </w:t>
      </w:r>
      <w:hyperlink r:id="rId18" w:history="1">
        <w:r w:rsidRPr="001743ED">
          <w:rPr>
            <w:rStyle w:val="Hyperlink"/>
            <w:sz w:val="24"/>
            <w:lang w:val="sk-SK"/>
          </w:rPr>
          <w:t>https://www.imf.org/en/publications/wp/issues/2016/12/31/taxing-immovable-property-revenue-potential-and-implementation-challenges-40594</w:t>
        </w:r>
      </w:hyperlink>
      <w:r w:rsidRPr="001743ED">
        <w:rPr>
          <w:sz w:val="24"/>
          <w:lang w:val="sk-SK"/>
        </w:rPr>
        <w:t>.</w:t>
      </w:r>
    </w:p>
  </w:footnote>
  <w:footnote w:id="31">
    <w:p w14:paraId="490C3F85" w14:textId="2E445F56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proofErr w:type="spellStart"/>
      <w:r w:rsidRPr="001743ED">
        <w:rPr>
          <w:sz w:val="24"/>
          <w:lang w:val="sk-SK"/>
        </w:rPr>
        <w:t>Eurostat</w:t>
      </w:r>
      <w:proofErr w:type="spellEnd"/>
      <w:r w:rsidRPr="001743ED">
        <w:rPr>
          <w:sz w:val="24"/>
          <w:lang w:val="sk-SK"/>
        </w:rPr>
        <w:t xml:space="preserve">: Vysvetlenie štatistík, „Prehľad indexov cien stavebných výrobcov a stavebných nákladov“, webové sídlo </w:t>
      </w:r>
      <w:proofErr w:type="spellStart"/>
      <w:r w:rsidRPr="001743ED">
        <w:rPr>
          <w:sz w:val="24"/>
          <w:lang w:val="sk-SK"/>
        </w:rPr>
        <w:t>Eurostatu</w:t>
      </w:r>
      <w:proofErr w:type="spellEnd"/>
      <w:r w:rsidRPr="001743ED">
        <w:rPr>
          <w:sz w:val="24"/>
          <w:lang w:val="sk-SK"/>
        </w:rPr>
        <w:t>, október 2024.</w:t>
      </w:r>
    </w:p>
  </w:footnote>
  <w:footnote w:id="32">
    <w:p w14:paraId="75EDABC0" w14:textId="708EE23C" w:rsidR="00895679" w:rsidRPr="001743ED" w:rsidRDefault="00895679" w:rsidP="001743ED">
      <w:pPr>
        <w:pStyle w:val="FootnoteText"/>
        <w:ind w:left="567" w:hanging="567"/>
        <w:rPr>
          <w:bCs/>
          <w:iCs/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 xml:space="preserve">Skupina Európskej investičnej banky, </w:t>
      </w:r>
      <w:proofErr w:type="spellStart"/>
      <w:r w:rsidRPr="001743ED">
        <w:rPr>
          <w:i/>
          <w:iCs/>
          <w:sz w:val="24"/>
          <w:lang w:val="sk-SK"/>
        </w:rPr>
        <w:t>Invested</w:t>
      </w:r>
      <w:proofErr w:type="spellEnd"/>
      <w:r w:rsidRPr="001743ED">
        <w:rPr>
          <w:i/>
          <w:iCs/>
          <w:sz w:val="24"/>
          <w:lang w:val="sk-SK"/>
        </w:rPr>
        <w:t xml:space="preserve"> in </w:t>
      </w:r>
      <w:proofErr w:type="spellStart"/>
      <w:r w:rsidRPr="001743ED">
        <w:rPr>
          <w:i/>
          <w:iCs/>
          <w:sz w:val="24"/>
          <w:lang w:val="sk-SK"/>
        </w:rPr>
        <w:t>housing</w:t>
      </w:r>
      <w:proofErr w:type="spellEnd"/>
      <w:r w:rsidRPr="001743ED">
        <w:rPr>
          <w:i/>
          <w:iCs/>
          <w:sz w:val="24"/>
          <w:lang w:val="sk-SK"/>
        </w:rPr>
        <w:t xml:space="preserve"> – </w:t>
      </w:r>
      <w:proofErr w:type="spellStart"/>
      <w:r w:rsidRPr="001743ED">
        <w:rPr>
          <w:i/>
          <w:iCs/>
          <w:sz w:val="24"/>
          <w:lang w:val="sk-SK"/>
        </w:rPr>
        <w:t>How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innovation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is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improving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construction</w:t>
      </w:r>
      <w:proofErr w:type="spellEnd"/>
      <w:r w:rsidRPr="001743ED">
        <w:rPr>
          <w:sz w:val="24"/>
          <w:lang w:val="sk-SK"/>
        </w:rPr>
        <w:t xml:space="preserve"> (Investície do bývania – ako inovácie zlepšujú výstavbu), webové sídlo skupiny Európskej investičnej banky, jún 2025, </w:t>
      </w:r>
      <w:hyperlink r:id="rId19" w:history="1">
        <w:r w:rsidRPr="001743ED">
          <w:rPr>
            <w:rStyle w:val="Hyperlink"/>
            <w:sz w:val="24"/>
            <w:lang w:val="sk-SK"/>
          </w:rPr>
          <w:t>https://www.eib.org/en/essays/innovation-construction-affordable-sustainable-housing</w:t>
        </w:r>
      </w:hyperlink>
      <w:r w:rsidRPr="001743ED">
        <w:rPr>
          <w:sz w:val="24"/>
          <w:lang w:val="sk-SK"/>
        </w:rPr>
        <w:t>.</w:t>
      </w:r>
    </w:p>
  </w:footnote>
  <w:footnote w:id="33">
    <w:p w14:paraId="39E2EE2B" w14:textId="2EC7E0C5" w:rsidR="00895679" w:rsidRPr="001743ED" w:rsidRDefault="00895679" w:rsidP="001743ED">
      <w:pPr>
        <w:pStyle w:val="FootnoteText"/>
        <w:ind w:left="567" w:hanging="567"/>
        <w:rPr>
          <w:bCs/>
          <w:iCs/>
          <w:sz w:val="24"/>
          <w:lang w:val="sk-SK"/>
        </w:rPr>
      </w:pPr>
      <w:r w:rsidRPr="001743ED">
        <w:rPr>
          <w:rStyle w:val="FootnoteReference"/>
          <w:bCs/>
          <w:iCs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proofErr w:type="spellStart"/>
      <w:r w:rsidRPr="001743ED">
        <w:rPr>
          <w:sz w:val="24"/>
          <w:lang w:val="sk-SK"/>
        </w:rPr>
        <w:t>Eurostat</w:t>
      </w:r>
      <w:proofErr w:type="spellEnd"/>
      <w:r w:rsidRPr="001743ED">
        <w:rPr>
          <w:sz w:val="24"/>
          <w:lang w:val="sk-SK"/>
        </w:rPr>
        <w:t xml:space="preserve">, „Životné podmienky v Európe – bývanie“, webové sídlo </w:t>
      </w:r>
      <w:proofErr w:type="spellStart"/>
      <w:r w:rsidRPr="001743ED">
        <w:rPr>
          <w:sz w:val="24"/>
          <w:lang w:val="sk-SK"/>
        </w:rPr>
        <w:t>Eurostatu</w:t>
      </w:r>
      <w:proofErr w:type="spellEnd"/>
      <w:r w:rsidRPr="001743ED">
        <w:rPr>
          <w:sz w:val="24"/>
          <w:lang w:val="sk-SK"/>
        </w:rPr>
        <w:t xml:space="preserve">, november 2025, </w:t>
      </w:r>
      <w:hyperlink r:id="rId20" w:history="1">
        <w:r w:rsidRPr="001743ED">
          <w:rPr>
            <w:rStyle w:val="Hyperlink"/>
            <w:sz w:val="24"/>
            <w:lang w:val="sk-SK"/>
          </w:rPr>
          <w:t>https://ec.europa.eu/eurostat/statistics-explained/index.php?title=Living_conditions_in_Europe_-_housing</w:t>
        </w:r>
      </w:hyperlink>
      <w:r w:rsidRPr="001743ED">
        <w:rPr>
          <w:sz w:val="24"/>
          <w:lang w:val="sk-SK"/>
        </w:rPr>
        <w:t>.</w:t>
      </w:r>
    </w:p>
  </w:footnote>
  <w:footnote w:id="34">
    <w:p w14:paraId="51D7C68E" w14:textId="2AD65966" w:rsidR="00895679" w:rsidRPr="001743ED" w:rsidRDefault="00895679" w:rsidP="001743ED">
      <w:pPr>
        <w:pStyle w:val="FootnoteText"/>
        <w:ind w:left="567" w:hanging="567"/>
        <w:rPr>
          <w:bCs/>
          <w:iCs/>
          <w:sz w:val="24"/>
          <w:lang w:val="sk-SK"/>
        </w:rPr>
      </w:pPr>
      <w:r w:rsidRPr="001743ED">
        <w:rPr>
          <w:rStyle w:val="FootnoteReference"/>
          <w:bCs/>
          <w:iCs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>Európska nadácia pre zlepšovanie životných a pracovných podmienok (</w:t>
      </w:r>
      <w:proofErr w:type="spellStart"/>
      <w:r w:rsidRPr="001743ED">
        <w:rPr>
          <w:sz w:val="24"/>
          <w:lang w:val="sk-SK"/>
        </w:rPr>
        <w:t>Eurofound</w:t>
      </w:r>
      <w:proofErr w:type="spellEnd"/>
      <w:r w:rsidRPr="001743ED">
        <w:rPr>
          <w:sz w:val="24"/>
          <w:lang w:val="sk-SK"/>
        </w:rPr>
        <w:t xml:space="preserve">), </w:t>
      </w:r>
      <w:proofErr w:type="spellStart"/>
      <w:r w:rsidRPr="001743ED">
        <w:rPr>
          <w:i/>
          <w:iCs/>
          <w:sz w:val="24"/>
          <w:lang w:val="sk-SK"/>
        </w:rPr>
        <w:t>Living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conditions</w:t>
      </w:r>
      <w:proofErr w:type="spellEnd"/>
      <w:r w:rsidRPr="001743ED">
        <w:rPr>
          <w:i/>
          <w:iCs/>
          <w:sz w:val="24"/>
          <w:lang w:val="sk-SK"/>
        </w:rPr>
        <w:t xml:space="preserve"> and </w:t>
      </w:r>
      <w:proofErr w:type="spellStart"/>
      <w:r w:rsidRPr="001743ED">
        <w:rPr>
          <w:i/>
          <w:iCs/>
          <w:sz w:val="24"/>
          <w:lang w:val="sk-SK"/>
        </w:rPr>
        <w:t>quality</w:t>
      </w:r>
      <w:proofErr w:type="spellEnd"/>
      <w:r w:rsidRPr="001743ED">
        <w:rPr>
          <w:i/>
          <w:iCs/>
          <w:sz w:val="24"/>
          <w:lang w:val="sk-SK"/>
        </w:rPr>
        <w:t xml:space="preserve"> of </w:t>
      </w:r>
      <w:proofErr w:type="spellStart"/>
      <w:r w:rsidRPr="001743ED">
        <w:rPr>
          <w:i/>
          <w:iCs/>
          <w:sz w:val="24"/>
          <w:lang w:val="sk-SK"/>
        </w:rPr>
        <w:t>life</w:t>
      </w:r>
      <w:proofErr w:type="spellEnd"/>
      <w:r w:rsidRPr="001743ED">
        <w:rPr>
          <w:i/>
          <w:iCs/>
          <w:sz w:val="24"/>
          <w:lang w:val="sk-SK"/>
        </w:rPr>
        <w:t xml:space="preserve"> - </w:t>
      </w:r>
      <w:proofErr w:type="spellStart"/>
      <w:r w:rsidRPr="001743ED">
        <w:rPr>
          <w:i/>
          <w:iCs/>
          <w:sz w:val="24"/>
          <w:lang w:val="sk-SK"/>
        </w:rPr>
        <w:t>Unaffordable</w:t>
      </w:r>
      <w:proofErr w:type="spellEnd"/>
      <w:r w:rsidRPr="001743ED">
        <w:rPr>
          <w:i/>
          <w:iCs/>
          <w:sz w:val="24"/>
          <w:lang w:val="sk-SK"/>
        </w:rPr>
        <w:t xml:space="preserve"> and </w:t>
      </w:r>
      <w:proofErr w:type="spellStart"/>
      <w:r w:rsidRPr="001743ED">
        <w:rPr>
          <w:i/>
          <w:iCs/>
          <w:sz w:val="24"/>
          <w:lang w:val="sk-SK"/>
        </w:rPr>
        <w:t>inadequate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housing</w:t>
      </w:r>
      <w:proofErr w:type="spellEnd"/>
      <w:r w:rsidRPr="001743ED">
        <w:rPr>
          <w:i/>
          <w:iCs/>
          <w:sz w:val="24"/>
          <w:lang w:val="sk-SK"/>
        </w:rPr>
        <w:t xml:space="preserve"> in </w:t>
      </w:r>
      <w:proofErr w:type="spellStart"/>
      <w:r w:rsidRPr="001743ED">
        <w:rPr>
          <w:i/>
          <w:iCs/>
          <w:sz w:val="24"/>
          <w:lang w:val="sk-SK"/>
        </w:rPr>
        <w:t>Europe</w:t>
      </w:r>
      <w:proofErr w:type="spellEnd"/>
      <w:r w:rsidRPr="001743ED">
        <w:rPr>
          <w:sz w:val="24"/>
          <w:lang w:val="sk-SK"/>
        </w:rPr>
        <w:t xml:space="preserve"> (Životné podmienky a kvalita života – cenovo nedostupné a neprimerané bývanie v Európe), 2023, s. </w:t>
      </w:r>
      <w:r w:rsidRPr="001743ED">
        <w:rPr>
          <w:sz w:val="24"/>
          <w:lang w:val="sk-SK"/>
        </w:rPr>
        <w:t xml:space="preserve">20, </w:t>
      </w:r>
      <w:hyperlink r:id="rId21" w:history="1">
        <w:r w:rsidRPr="001743ED">
          <w:rPr>
            <w:rStyle w:val="Hyperlink"/>
            <w:sz w:val="24"/>
            <w:lang w:val="sk-SK"/>
          </w:rPr>
          <w:t>https://www.eurofound.europa.eu/en/publications/all/unaffordable-and-inadequate-housing-europe</w:t>
        </w:r>
      </w:hyperlink>
      <w:r w:rsidRPr="001743ED">
        <w:rPr>
          <w:sz w:val="24"/>
          <w:lang w:val="sk-SK"/>
        </w:rPr>
        <w:t>.</w:t>
      </w:r>
    </w:p>
  </w:footnote>
  <w:footnote w:id="35">
    <w:p w14:paraId="5DE914BE" w14:textId="6A5A7F06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 xml:space="preserve">Európsky orgán práce, </w:t>
      </w:r>
      <w:r w:rsidRPr="001743ED">
        <w:rPr>
          <w:i/>
          <w:iCs/>
          <w:sz w:val="24"/>
          <w:lang w:val="sk-SK"/>
        </w:rPr>
        <w:t xml:space="preserve">Report on </w:t>
      </w:r>
      <w:proofErr w:type="spellStart"/>
      <w:r w:rsidRPr="001743ED">
        <w:rPr>
          <w:i/>
          <w:iCs/>
          <w:sz w:val="24"/>
          <w:lang w:val="sk-SK"/>
        </w:rPr>
        <w:t>labour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shortages</w:t>
      </w:r>
      <w:proofErr w:type="spellEnd"/>
      <w:r w:rsidRPr="001743ED">
        <w:rPr>
          <w:i/>
          <w:iCs/>
          <w:sz w:val="24"/>
          <w:lang w:val="sk-SK"/>
        </w:rPr>
        <w:t xml:space="preserve"> and </w:t>
      </w:r>
      <w:proofErr w:type="spellStart"/>
      <w:r w:rsidRPr="001743ED">
        <w:rPr>
          <w:i/>
          <w:iCs/>
          <w:sz w:val="24"/>
          <w:lang w:val="sk-SK"/>
        </w:rPr>
        <w:t>surpluses</w:t>
      </w:r>
      <w:proofErr w:type="spellEnd"/>
      <w:r w:rsidRPr="001743ED">
        <w:rPr>
          <w:i/>
          <w:iCs/>
          <w:sz w:val="24"/>
          <w:lang w:val="sk-SK"/>
        </w:rPr>
        <w:t xml:space="preserve"> 2023</w:t>
      </w:r>
      <w:r w:rsidRPr="001743ED">
        <w:rPr>
          <w:sz w:val="24"/>
          <w:lang w:val="sk-SK"/>
        </w:rPr>
        <w:t>, (Správa o nedostatku a prebytku pracovnej sily za rok 2023), máj 2024, s. 51.</w:t>
      </w:r>
    </w:p>
  </w:footnote>
  <w:footnote w:id="36">
    <w:p w14:paraId="51CDB116" w14:textId="10DD891F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proofErr w:type="spellStart"/>
      <w:r w:rsidRPr="001743ED">
        <w:rPr>
          <w:sz w:val="24"/>
          <w:lang w:val="sk-SK"/>
        </w:rPr>
        <w:t>Eurofound</w:t>
      </w:r>
      <w:proofErr w:type="spellEnd"/>
      <w:r w:rsidRPr="001743ED">
        <w:rPr>
          <w:sz w:val="24"/>
          <w:lang w:val="sk-SK"/>
        </w:rPr>
        <w:t xml:space="preserve">, </w:t>
      </w:r>
      <w:proofErr w:type="spellStart"/>
      <w:r w:rsidRPr="001743ED">
        <w:rPr>
          <w:i/>
          <w:iCs/>
          <w:sz w:val="24"/>
          <w:lang w:val="sk-SK"/>
        </w:rPr>
        <w:t>Building</w:t>
      </w:r>
      <w:proofErr w:type="spellEnd"/>
      <w:r w:rsidRPr="001743ED">
        <w:rPr>
          <w:i/>
          <w:iCs/>
          <w:sz w:val="24"/>
          <w:lang w:val="sk-SK"/>
        </w:rPr>
        <w:t xml:space="preserve"> on </w:t>
      </w:r>
      <w:proofErr w:type="spellStart"/>
      <w:r w:rsidRPr="001743ED">
        <w:rPr>
          <w:i/>
          <w:iCs/>
          <w:sz w:val="24"/>
          <w:lang w:val="sk-SK"/>
        </w:rPr>
        <w:t>growth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potential</w:t>
      </w:r>
      <w:proofErr w:type="spellEnd"/>
      <w:r w:rsidRPr="001743ED">
        <w:rPr>
          <w:i/>
          <w:iCs/>
          <w:sz w:val="24"/>
          <w:lang w:val="sk-SK"/>
        </w:rPr>
        <w:t>:</w:t>
      </w:r>
      <w:r w:rsidRPr="001743ED">
        <w:rPr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Preparing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the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construction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sector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for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the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twin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transitions</w:t>
      </w:r>
      <w:proofErr w:type="spellEnd"/>
      <w:r w:rsidRPr="001743ED">
        <w:rPr>
          <w:sz w:val="24"/>
          <w:lang w:val="sk-SK"/>
        </w:rPr>
        <w:t xml:space="preserve"> (Budovanie rastového potenciálu: príprava odvetvia stavebníctva na dvojakú transformáciu), december 2025, </w:t>
      </w:r>
      <w:hyperlink r:id="rId22" w:history="1">
        <w:r w:rsidRPr="001743ED">
          <w:rPr>
            <w:rStyle w:val="Hyperlink"/>
            <w:sz w:val="24"/>
            <w:lang w:val="sk-SK"/>
          </w:rPr>
          <w:t>https://www.eurofound.europa.eu/en/publications/all/building-on-growth-potential-preparing-the-construction-sector-for-the-twin-transitions</w:t>
        </w:r>
      </w:hyperlink>
      <w:r w:rsidRPr="001743ED">
        <w:rPr>
          <w:sz w:val="24"/>
          <w:lang w:val="sk-SK"/>
        </w:rPr>
        <w:t>.</w:t>
      </w:r>
    </w:p>
  </w:footnote>
  <w:footnote w:id="37">
    <w:p w14:paraId="5B0F80B1" w14:textId="08A1160F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proofErr w:type="spellStart"/>
      <w:r w:rsidRPr="001743ED">
        <w:rPr>
          <w:sz w:val="24"/>
          <w:lang w:val="sk-SK"/>
        </w:rPr>
        <w:t>Eurostat</w:t>
      </w:r>
      <w:proofErr w:type="spellEnd"/>
      <w:r w:rsidRPr="001743ED">
        <w:rPr>
          <w:sz w:val="24"/>
          <w:lang w:val="sk-SK"/>
        </w:rPr>
        <w:t xml:space="preserve">, „Kľúčové údaje o európskych podnikoch – stavebníctvo“, webové sídlo </w:t>
      </w:r>
      <w:proofErr w:type="spellStart"/>
      <w:r w:rsidRPr="001743ED">
        <w:rPr>
          <w:sz w:val="24"/>
          <w:lang w:val="sk-SK"/>
        </w:rPr>
        <w:t>Eurostatu</w:t>
      </w:r>
      <w:proofErr w:type="spellEnd"/>
      <w:r w:rsidRPr="001743ED">
        <w:rPr>
          <w:sz w:val="24"/>
          <w:lang w:val="sk-SK"/>
        </w:rPr>
        <w:t xml:space="preserve">, jún 2022, </w:t>
      </w:r>
      <w:hyperlink r:id="rId23" w:history="1">
        <w:r w:rsidRPr="001743ED">
          <w:rPr>
            <w:rStyle w:val="Hyperlink"/>
            <w:sz w:val="24"/>
            <w:lang w:val="sk-SK"/>
          </w:rPr>
          <w:t>https://ec.europa.eu/eurostat/cache/htmlpub/key-figures-on-european-business-2022/construction.html</w:t>
        </w:r>
      </w:hyperlink>
      <w:r w:rsidRPr="001743ED">
        <w:rPr>
          <w:sz w:val="24"/>
          <w:lang w:val="sk-SK"/>
        </w:rPr>
        <w:t>.</w:t>
      </w:r>
    </w:p>
  </w:footnote>
  <w:footnote w:id="38">
    <w:p w14:paraId="438A7CE3" w14:textId="66391C14" w:rsidR="00895679" w:rsidRPr="001743ED" w:rsidRDefault="00895679" w:rsidP="006452A4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proofErr w:type="spellStart"/>
      <w:r w:rsidRPr="001743ED">
        <w:rPr>
          <w:sz w:val="24"/>
          <w:lang w:val="sk-SK"/>
        </w:rPr>
        <w:t>SMEunited</w:t>
      </w:r>
      <w:proofErr w:type="spellEnd"/>
      <w:r w:rsidRPr="001743ED">
        <w:rPr>
          <w:sz w:val="24"/>
          <w:lang w:val="sk-SK"/>
        </w:rPr>
        <w:t xml:space="preserve">, </w:t>
      </w:r>
      <w:proofErr w:type="spellStart"/>
      <w:r w:rsidRPr="001743ED">
        <w:rPr>
          <w:i/>
          <w:iCs/>
          <w:sz w:val="24"/>
          <w:lang w:val="sk-SK"/>
        </w:rPr>
        <w:t>Construction</w:t>
      </w:r>
      <w:proofErr w:type="spellEnd"/>
      <w:r w:rsidRPr="001743ED">
        <w:rPr>
          <w:sz w:val="24"/>
          <w:lang w:val="sk-SK"/>
        </w:rPr>
        <w:t xml:space="preserve"> (Stavebníctvo), webové sídlo </w:t>
      </w:r>
      <w:proofErr w:type="spellStart"/>
      <w:r w:rsidRPr="001743ED">
        <w:rPr>
          <w:sz w:val="24"/>
          <w:lang w:val="sk-SK"/>
        </w:rPr>
        <w:t>SMEunited</w:t>
      </w:r>
      <w:proofErr w:type="spellEnd"/>
      <w:r w:rsidRPr="001743ED">
        <w:rPr>
          <w:sz w:val="24"/>
          <w:lang w:val="sk-SK"/>
        </w:rPr>
        <w:t xml:space="preserve">, </w:t>
      </w:r>
      <w:hyperlink r:id="rId24" w:history="1">
        <w:r w:rsidRPr="001743ED">
          <w:rPr>
            <w:rStyle w:val="Hyperlink"/>
            <w:sz w:val="24"/>
            <w:lang w:val="sk-SK"/>
          </w:rPr>
          <w:t>https://www.smeunited.eu/policies/sectors/construction</w:t>
        </w:r>
      </w:hyperlink>
      <w:r w:rsidRPr="001743ED">
        <w:rPr>
          <w:sz w:val="24"/>
          <w:lang w:val="sk-SK"/>
        </w:rPr>
        <w:t>.</w:t>
      </w:r>
    </w:p>
  </w:footnote>
  <w:footnote w:id="39">
    <w:p w14:paraId="32E5D76C" w14:textId="68D99BA7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proofErr w:type="spellStart"/>
      <w:r w:rsidRPr="001743ED">
        <w:rPr>
          <w:sz w:val="24"/>
          <w:lang w:val="sk-SK"/>
        </w:rPr>
        <w:t>Eurostat</w:t>
      </w:r>
      <w:proofErr w:type="spellEnd"/>
      <w:r w:rsidRPr="001743ED">
        <w:rPr>
          <w:sz w:val="24"/>
          <w:lang w:val="sk-SK"/>
        </w:rPr>
        <w:t xml:space="preserve">, „Vek odchodu z rodičovského domu v roku 2023 je stabilný“, webové sídlo </w:t>
      </w:r>
      <w:proofErr w:type="spellStart"/>
      <w:r w:rsidRPr="001743ED">
        <w:rPr>
          <w:sz w:val="24"/>
          <w:lang w:val="sk-SK"/>
        </w:rPr>
        <w:t>Eurostatu</w:t>
      </w:r>
      <w:proofErr w:type="spellEnd"/>
      <w:r w:rsidRPr="001743ED">
        <w:rPr>
          <w:sz w:val="24"/>
          <w:lang w:val="sk-SK"/>
        </w:rPr>
        <w:t>, 30. septembra 2024.</w:t>
      </w:r>
    </w:p>
  </w:footnote>
  <w:footnote w:id="40">
    <w:p w14:paraId="36862499" w14:textId="39EA57AE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proofErr w:type="spellStart"/>
      <w:r w:rsidRPr="001743ED">
        <w:rPr>
          <w:sz w:val="24"/>
          <w:lang w:val="sk-SK"/>
        </w:rPr>
        <w:t>Eurostat</w:t>
      </w:r>
      <w:proofErr w:type="spellEnd"/>
      <w:r w:rsidRPr="001743ED">
        <w:rPr>
          <w:sz w:val="24"/>
          <w:lang w:val="sk-SK"/>
        </w:rPr>
        <w:t xml:space="preserve">, „Podiel mladých dospelých vo veku 18 – 34 rokov žijúcich s rodičmi podľa vlastného súčasného ekonomického statusu“, webové sídlo </w:t>
      </w:r>
      <w:proofErr w:type="spellStart"/>
      <w:r w:rsidRPr="001743ED">
        <w:rPr>
          <w:sz w:val="24"/>
          <w:lang w:val="sk-SK"/>
        </w:rPr>
        <w:t>Eurostatu</w:t>
      </w:r>
      <w:proofErr w:type="spellEnd"/>
      <w:r w:rsidRPr="001743ED">
        <w:rPr>
          <w:sz w:val="24"/>
          <w:lang w:val="sk-SK"/>
        </w:rPr>
        <w:t>, júl 2025.</w:t>
      </w:r>
    </w:p>
  </w:footnote>
  <w:footnote w:id="41">
    <w:p w14:paraId="5336DDAB" w14:textId="21330813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proofErr w:type="spellStart"/>
      <w:r w:rsidRPr="001743ED">
        <w:rPr>
          <w:sz w:val="24"/>
          <w:lang w:val="sk-SK"/>
        </w:rPr>
        <w:t>Eurostat</w:t>
      </w:r>
      <w:proofErr w:type="spellEnd"/>
      <w:r w:rsidRPr="001743ED">
        <w:rPr>
          <w:sz w:val="24"/>
          <w:lang w:val="sk-SK"/>
        </w:rPr>
        <w:t>, „Kľúčové údaje o životných podmienkach v Európe“, september 2025</w:t>
      </w:r>
    </w:p>
  </w:footnote>
  <w:footnote w:id="42">
    <w:p w14:paraId="7AE2CC06" w14:textId="74600076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proofErr w:type="spellStart"/>
      <w:r w:rsidRPr="001743ED">
        <w:rPr>
          <w:sz w:val="24"/>
          <w:lang w:val="sk-SK"/>
        </w:rPr>
        <w:t>Eurostat</w:t>
      </w:r>
      <w:proofErr w:type="spellEnd"/>
      <w:r w:rsidRPr="001743ED">
        <w:rPr>
          <w:sz w:val="24"/>
          <w:lang w:val="sk-SK"/>
        </w:rPr>
        <w:t xml:space="preserve">, „Podiel mladých dospelých vo veku 18 – 34 rokov žijúcich s rodičmi podľa vlastného súčasného ekonomického statusu“, webové sídlo </w:t>
      </w:r>
      <w:proofErr w:type="spellStart"/>
      <w:r w:rsidRPr="001743ED">
        <w:rPr>
          <w:sz w:val="24"/>
          <w:lang w:val="sk-SK"/>
        </w:rPr>
        <w:t>Eurostatu</w:t>
      </w:r>
      <w:proofErr w:type="spellEnd"/>
      <w:r w:rsidRPr="001743ED">
        <w:rPr>
          <w:sz w:val="24"/>
          <w:lang w:val="sk-SK"/>
        </w:rPr>
        <w:t>, júl 2025.</w:t>
      </w:r>
    </w:p>
  </w:footnote>
  <w:footnote w:id="43">
    <w:p w14:paraId="69B9F963" w14:textId="3E678723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proofErr w:type="spellStart"/>
      <w:r w:rsidRPr="001743ED">
        <w:rPr>
          <w:sz w:val="24"/>
          <w:lang w:val="sk-SK"/>
        </w:rPr>
        <w:t>Eurostudent</w:t>
      </w:r>
      <w:proofErr w:type="spellEnd"/>
      <w:r w:rsidRPr="001743ED">
        <w:rPr>
          <w:sz w:val="24"/>
          <w:lang w:val="sk-SK"/>
        </w:rPr>
        <w:t xml:space="preserve"> VIII, </w:t>
      </w:r>
      <w:proofErr w:type="spellStart"/>
      <w:r w:rsidRPr="001743ED">
        <w:rPr>
          <w:i/>
          <w:iCs/>
          <w:sz w:val="24"/>
          <w:lang w:val="sk-SK"/>
        </w:rPr>
        <w:t>Housing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situation</w:t>
      </w:r>
      <w:proofErr w:type="spellEnd"/>
      <w:r w:rsidRPr="001743ED">
        <w:rPr>
          <w:i/>
          <w:iCs/>
          <w:sz w:val="24"/>
          <w:lang w:val="sk-SK"/>
        </w:rPr>
        <w:t>:</w:t>
      </w:r>
      <w:r w:rsidRPr="001743ED">
        <w:rPr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living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away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from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home</w:t>
      </w:r>
      <w:proofErr w:type="spellEnd"/>
      <w:r w:rsidRPr="001743ED">
        <w:rPr>
          <w:sz w:val="24"/>
          <w:lang w:val="sk-SK"/>
        </w:rPr>
        <w:t xml:space="preserve"> (Situácia v oblasti bývania: bývanie mimo domova), 2021 – 2024.</w:t>
      </w:r>
    </w:p>
  </w:footnote>
  <w:footnote w:id="44">
    <w:p w14:paraId="1EA14ADF" w14:textId="46BD35D2" w:rsidR="00895679" w:rsidRPr="001743ED" w:rsidRDefault="00895679" w:rsidP="001743ED">
      <w:pPr>
        <w:ind w:left="567" w:hanging="567"/>
      </w:pPr>
      <w:r w:rsidRPr="001743ED">
        <w:rPr>
          <w:rStyle w:val="FootnoteReference"/>
        </w:rPr>
        <w:footnoteRef/>
      </w:r>
      <w:r w:rsidR="001743ED" w:rsidRPr="001743ED">
        <w:t xml:space="preserve"> </w:t>
      </w:r>
      <w:r w:rsidR="001743ED" w:rsidRPr="001743ED">
        <w:tab/>
      </w:r>
      <w:proofErr w:type="spellStart"/>
      <w:r w:rsidRPr="001743ED">
        <w:t>Declós</w:t>
      </w:r>
      <w:proofErr w:type="spellEnd"/>
      <w:r w:rsidRPr="001743ED">
        <w:t xml:space="preserve">, C., </w:t>
      </w:r>
      <w:proofErr w:type="spellStart"/>
      <w:r w:rsidRPr="001743ED">
        <w:rPr>
          <w:i/>
          <w:iCs/>
        </w:rPr>
        <w:t>From</w:t>
      </w:r>
      <w:proofErr w:type="spellEnd"/>
      <w:r w:rsidRPr="001743ED">
        <w:rPr>
          <w:i/>
          <w:iCs/>
        </w:rPr>
        <w:t xml:space="preserve"> </w:t>
      </w:r>
      <w:proofErr w:type="spellStart"/>
      <w:r w:rsidRPr="001743ED">
        <w:rPr>
          <w:i/>
          <w:iCs/>
        </w:rPr>
        <w:t>market</w:t>
      </w:r>
      <w:proofErr w:type="spellEnd"/>
      <w:r w:rsidRPr="001743ED">
        <w:rPr>
          <w:i/>
          <w:iCs/>
        </w:rPr>
        <w:t xml:space="preserve"> </w:t>
      </w:r>
      <w:proofErr w:type="spellStart"/>
      <w:r w:rsidRPr="001743ED">
        <w:rPr>
          <w:i/>
          <w:iCs/>
        </w:rPr>
        <w:t>good</w:t>
      </w:r>
      <w:proofErr w:type="spellEnd"/>
      <w:r w:rsidRPr="001743ED">
        <w:rPr>
          <w:i/>
          <w:iCs/>
        </w:rPr>
        <w:t xml:space="preserve"> to </w:t>
      </w:r>
      <w:proofErr w:type="spellStart"/>
      <w:r w:rsidRPr="001743ED">
        <w:rPr>
          <w:i/>
          <w:iCs/>
        </w:rPr>
        <w:t>social</w:t>
      </w:r>
      <w:proofErr w:type="spellEnd"/>
      <w:r w:rsidRPr="001743ED">
        <w:rPr>
          <w:i/>
          <w:iCs/>
        </w:rPr>
        <w:t xml:space="preserve"> </w:t>
      </w:r>
      <w:proofErr w:type="spellStart"/>
      <w:r w:rsidRPr="001743ED">
        <w:rPr>
          <w:i/>
          <w:iCs/>
        </w:rPr>
        <w:t>right</w:t>
      </w:r>
      <w:proofErr w:type="spellEnd"/>
      <w:r w:rsidRPr="001743ED">
        <w:rPr>
          <w:i/>
          <w:iCs/>
        </w:rPr>
        <w:t>?</w:t>
      </w:r>
      <w:r w:rsidRPr="001743ED">
        <w:t xml:space="preserve"> </w:t>
      </w:r>
      <w:proofErr w:type="spellStart"/>
      <w:r w:rsidRPr="001743ED">
        <w:rPr>
          <w:i/>
          <w:iCs/>
        </w:rPr>
        <w:t>Shifting</w:t>
      </w:r>
      <w:proofErr w:type="spellEnd"/>
      <w:r w:rsidRPr="001743ED">
        <w:rPr>
          <w:i/>
          <w:iCs/>
        </w:rPr>
        <w:t xml:space="preserve"> </w:t>
      </w:r>
      <w:proofErr w:type="spellStart"/>
      <w:r w:rsidRPr="001743ED">
        <w:rPr>
          <w:i/>
          <w:iCs/>
        </w:rPr>
        <w:t>approaches</w:t>
      </w:r>
      <w:proofErr w:type="spellEnd"/>
      <w:r w:rsidRPr="001743ED">
        <w:rPr>
          <w:i/>
          <w:iCs/>
        </w:rPr>
        <w:t xml:space="preserve"> to </w:t>
      </w:r>
      <w:proofErr w:type="spellStart"/>
      <w:r w:rsidRPr="001743ED">
        <w:rPr>
          <w:i/>
          <w:iCs/>
        </w:rPr>
        <w:t>housing</w:t>
      </w:r>
      <w:proofErr w:type="spellEnd"/>
      <w:r w:rsidRPr="001743ED">
        <w:rPr>
          <w:i/>
          <w:iCs/>
        </w:rPr>
        <w:t xml:space="preserve"> in </w:t>
      </w:r>
      <w:proofErr w:type="spellStart"/>
      <w:r w:rsidRPr="001743ED">
        <w:rPr>
          <w:i/>
          <w:iCs/>
        </w:rPr>
        <w:t>Europe</w:t>
      </w:r>
      <w:proofErr w:type="spellEnd"/>
      <w:r w:rsidRPr="001743ED">
        <w:t xml:space="preserve"> (Od trhového dobra k sociálnemu právu? Zmena prístupu k bývaniu v Európe.), Centrum medzinárodných záležitostí v Barcelone, 30. septembra 2021, </w:t>
      </w:r>
      <w:hyperlink r:id="rId25" w:history="1">
        <w:r w:rsidRPr="001743ED">
          <w:rPr>
            <w:rStyle w:val="Hyperlink"/>
          </w:rPr>
          <w:t>https://www.cidob.org/en/events/market-good-social-right-shifting-approaches-housing-europe</w:t>
        </w:r>
      </w:hyperlink>
      <w:r w:rsidRPr="001743ED">
        <w:t>.</w:t>
      </w:r>
    </w:p>
  </w:footnote>
  <w:footnote w:id="45">
    <w:p w14:paraId="2CC202D0" w14:textId="51C564A7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>Program OSN pre ľudské sídla (UN-</w:t>
      </w:r>
      <w:proofErr w:type="spellStart"/>
      <w:r w:rsidRPr="001743ED">
        <w:rPr>
          <w:sz w:val="24"/>
          <w:lang w:val="sk-SK"/>
        </w:rPr>
        <w:t>Habitat</w:t>
      </w:r>
      <w:proofErr w:type="spellEnd"/>
      <w:r w:rsidRPr="001743ED">
        <w:rPr>
          <w:sz w:val="24"/>
          <w:lang w:val="sk-SK"/>
        </w:rPr>
        <w:t xml:space="preserve">), </w:t>
      </w:r>
      <w:proofErr w:type="spellStart"/>
      <w:r w:rsidRPr="001743ED">
        <w:rPr>
          <w:i/>
          <w:iCs/>
          <w:sz w:val="24"/>
          <w:lang w:val="sk-SK"/>
        </w:rPr>
        <w:t>Capacity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Development</w:t>
      </w:r>
      <w:proofErr w:type="spellEnd"/>
      <w:r w:rsidRPr="001743ED">
        <w:rPr>
          <w:i/>
          <w:iCs/>
          <w:sz w:val="24"/>
          <w:lang w:val="sk-SK"/>
        </w:rPr>
        <w:t xml:space="preserve"> on </w:t>
      </w:r>
      <w:proofErr w:type="spellStart"/>
      <w:r w:rsidRPr="001743ED">
        <w:rPr>
          <w:i/>
          <w:iCs/>
          <w:sz w:val="24"/>
          <w:lang w:val="sk-SK"/>
        </w:rPr>
        <w:t>SDGs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Indicators</w:t>
      </w:r>
      <w:proofErr w:type="spellEnd"/>
      <w:r w:rsidRPr="001743ED">
        <w:rPr>
          <w:i/>
          <w:iCs/>
          <w:sz w:val="24"/>
          <w:lang w:val="sk-SK"/>
        </w:rPr>
        <w:t xml:space="preserve">, Monitoring and </w:t>
      </w:r>
      <w:proofErr w:type="spellStart"/>
      <w:r w:rsidRPr="001743ED">
        <w:rPr>
          <w:i/>
          <w:iCs/>
          <w:sz w:val="24"/>
          <w:lang w:val="sk-SK"/>
        </w:rPr>
        <w:t>Reporting</w:t>
      </w:r>
      <w:proofErr w:type="spellEnd"/>
      <w:r w:rsidRPr="001743ED">
        <w:rPr>
          <w:i/>
          <w:iCs/>
          <w:sz w:val="24"/>
          <w:lang w:val="sk-SK"/>
        </w:rPr>
        <w:t xml:space="preserve"> – </w:t>
      </w:r>
      <w:proofErr w:type="spellStart"/>
      <w:r w:rsidRPr="001743ED">
        <w:rPr>
          <w:i/>
          <w:iCs/>
          <w:sz w:val="24"/>
          <w:lang w:val="sk-SK"/>
        </w:rPr>
        <w:t>Indicator</w:t>
      </w:r>
      <w:proofErr w:type="spellEnd"/>
      <w:r w:rsidRPr="001743ED">
        <w:rPr>
          <w:i/>
          <w:iCs/>
          <w:sz w:val="24"/>
          <w:lang w:val="sk-SK"/>
        </w:rPr>
        <w:t xml:space="preserve"> 11.1.1</w:t>
      </w:r>
      <w:r w:rsidRPr="001743ED">
        <w:rPr>
          <w:sz w:val="24"/>
          <w:lang w:val="sk-SK"/>
        </w:rPr>
        <w:t xml:space="preserve"> (Rozvoj kapacít v oblasti ukazovateľov cieľov udržateľného rozvoja, monitorovanie a podávanie správ – ukazovateľ 11.1.1): Adekvátne bývanie a zlepšovanie podmienok v </w:t>
      </w:r>
      <w:proofErr w:type="spellStart"/>
      <w:r w:rsidRPr="001743ED">
        <w:rPr>
          <w:sz w:val="24"/>
          <w:lang w:val="sk-SK"/>
        </w:rPr>
        <w:t>slumoch</w:t>
      </w:r>
      <w:proofErr w:type="spellEnd"/>
      <w:r w:rsidRPr="001743ED">
        <w:rPr>
          <w:sz w:val="24"/>
          <w:lang w:val="sk-SK"/>
        </w:rPr>
        <w:t>“, webové sídlo UN-</w:t>
      </w:r>
      <w:proofErr w:type="spellStart"/>
      <w:r w:rsidRPr="001743ED">
        <w:rPr>
          <w:sz w:val="24"/>
          <w:lang w:val="sk-SK"/>
        </w:rPr>
        <w:t>Habitat</w:t>
      </w:r>
      <w:proofErr w:type="spellEnd"/>
      <w:r w:rsidRPr="001743ED">
        <w:rPr>
          <w:sz w:val="24"/>
          <w:lang w:val="sk-SK"/>
        </w:rPr>
        <w:t>, apríl 2022.</w:t>
      </w:r>
    </w:p>
  </w:footnote>
  <w:footnote w:id="46">
    <w:p w14:paraId="29F2A913" w14:textId="2547EA7E" w:rsidR="00895679" w:rsidRPr="001743ED" w:rsidRDefault="00895679" w:rsidP="001743ED">
      <w:pPr>
        <w:pStyle w:val="FootnoteText"/>
        <w:ind w:left="567" w:hanging="567"/>
        <w:rPr>
          <w:bCs/>
          <w:iCs/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proofErr w:type="spellStart"/>
      <w:r w:rsidRPr="001743ED">
        <w:rPr>
          <w:sz w:val="24"/>
          <w:lang w:val="sk-SK"/>
        </w:rPr>
        <w:t>Eurostat</w:t>
      </w:r>
      <w:proofErr w:type="spellEnd"/>
      <w:r w:rsidRPr="001743ED">
        <w:rPr>
          <w:sz w:val="24"/>
          <w:lang w:val="sk-SK"/>
        </w:rPr>
        <w:t xml:space="preserve">. Štatistika zdravotného postihnutia – podmienky bývania, jún 2025. https://ec.europa.eu/eurostat/statistics- explained/index.php?title=Disability_statistics_-_housing_conditions. </w:t>
      </w:r>
    </w:p>
  </w:footnote>
  <w:footnote w:id="47">
    <w:p w14:paraId="5D4D0AA1" w14:textId="1961DE5D" w:rsidR="00895679" w:rsidRPr="001743ED" w:rsidRDefault="00895679" w:rsidP="001743ED">
      <w:pPr>
        <w:pStyle w:val="FootnoteText"/>
        <w:ind w:left="567" w:hanging="567"/>
        <w:rPr>
          <w:bCs/>
          <w:iCs/>
          <w:sz w:val="24"/>
          <w:lang w:val="sk-SK"/>
        </w:rPr>
      </w:pPr>
      <w:r w:rsidRPr="001743ED">
        <w:rPr>
          <w:rStyle w:val="FootnoteReference"/>
          <w:bCs/>
          <w:iCs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proofErr w:type="spellStart"/>
      <w:r w:rsidRPr="001743ED">
        <w:rPr>
          <w:sz w:val="24"/>
          <w:lang w:val="sk-SK"/>
        </w:rPr>
        <w:t>Eurostat</w:t>
      </w:r>
      <w:proofErr w:type="spellEnd"/>
      <w:r w:rsidRPr="001743ED">
        <w:rPr>
          <w:sz w:val="24"/>
          <w:lang w:val="sk-SK"/>
        </w:rPr>
        <w:t xml:space="preserve">, </w:t>
      </w:r>
      <w:proofErr w:type="spellStart"/>
      <w:r w:rsidRPr="001743ED">
        <w:rPr>
          <w:i/>
          <w:iCs/>
          <w:sz w:val="24"/>
          <w:lang w:val="sk-SK"/>
        </w:rPr>
        <w:t>Statistics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Explained</w:t>
      </w:r>
      <w:proofErr w:type="spellEnd"/>
      <w:r w:rsidRPr="001743ED">
        <w:rPr>
          <w:i/>
          <w:iCs/>
          <w:sz w:val="24"/>
          <w:lang w:val="sk-SK"/>
        </w:rPr>
        <w:t xml:space="preserve"> - </w:t>
      </w:r>
      <w:proofErr w:type="spellStart"/>
      <w:r w:rsidRPr="001743ED">
        <w:rPr>
          <w:i/>
          <w:iCs/>
          <w:sz w:val="24"/>
          <w:lang w:val="sk-SK"/>
        </w:rPr>
        <w:t>Comparative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price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levels</w:t>
      </w:r>
      <w:proofErr w:type="spellEnd"/>
      <w:r w:rsidRPr="001743ED">
        <w:rPr>
          <w:i/>
          <w:iCs/>
          <w:sz w:val="24"/>
          <w:lang w:val="sk-SK"/>
        </w:rPr>
        <w:t xml:space="preserve"> of </w:t>
      </w:r>
      <w:proofErr w:type="spellStart"/>
      <w:r w:rsidRPr="001743ED">
        <w:rPr>
          <w:i/>
          <w:iCs/>
          <w:sz w:val="24"/>
          <w:lang w:val="sk-SK"/>
        </w:rPr>
        <w:t>consumer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goods</w:t>
      </w:r>
      <w:proofErr w:type="spellEnd"/>
      <w:r w:rsidRPr="001743ED">
        <w:rPr>
          <w:i/>
          <w:iCs/>
          <w:sz w:val="24"/>
          <w:lang w:val="sk-SK"/>
        </w:rPr>
        <w:t xml:space="preserve"> and </w:t>
      </w:r>
      <w:proofErr w:type="spellStart"/>
      <w:r w:rsidRPr="001743ED">
        <w:rPr>
          <w:i/>
          <w:iCs/>
          <w:sz w:val="24"/>
          <w:lang w:val="sk-SK"/>
        </w:rPr>
        <w:t>services</w:t>
      </w:r>
      <w:proofErr w:type="spellEnd"/>
      <w:r w:rsidRPr="001743ED">
        <w:rPr>
          <w:sz w:val="24"/>
          <w:lang w:val="sk-SK"/>
        </w:rPr>
        <w:t xml:space="preserve"> (Vysvetlené štatistiky – porovnanie cenových úrovní spotrebného tovaru a služieb), december 2025, </w:t>
      </w:r>
      <w:hyperlink r:id="rId26" w:history="1">
        <w:r w:rsidRPr="001743ED">
          <w:rPr>
            <w:rStyle w:val="Hyperlink"/>
            <w:sz w:val="24"/>
            <w:lang w:val="sk-SK"/>
          </w:rPr>
          <w:t>https://ec.europa.eu/eurostat/statistics-explained/index.php?title=Comparative_price_levels_of_consumer_goods_and_services</w:t>
        </w:r>
      </w:hyperlink>
      <w:r w:rsidRPr="001743ED">
        <w:rPr>
          <w:sz w:val="24"/>
          <w:lang w:val="sk-SK"/>
        </w:rPr>
        <w:t>.</w:t>
      </w:r>
    </w:p>
  </w:footnote>
  <w:footnote w:id="48">
    <w:p w14:paraId="6F9D9C53" w14:textId="3AD2A892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>Smernica Rady 2006/112/ES z 28. novembra 2006 o spoločnom systéme dane z pridanej hodnoty (Ú. v. EÚ L 347, 11.12.2006, s. </w:t>
      </w:r>
      <w:r w:rsidRPr="001743ED">
        <w:rPr>
          <w:sz w:val="24"/>
          <w:lang w:val="sk-SK"/>
        </w:rPr>
        <w:t xml:space="preserve">1, ELI: </w:t>
      </w:r>
      <w:hyperlink r:id="rId27" w:history="1">
        <w:r w:rsidRPr="001743ED">
          <w:rPr>
            <w:rStyle w:val="Hyperlink"/>
            <w:sz w:val="24"/>
            <w:lang w:val="sk-SK"/>
          </w:rPr>
          <w:t>http://data.europa.eu/eli/dir/2006/112/oj</w:t>
        </w:r>
      </w:hyperlink>
      <w:r w:rsidRPr="001743ED">
        <w:rPr>
          <w:sz w:val="24"/>
          <w:lang w:val="sk-SK"/>
        </w:rPr>
        <w:t>).</w:t>
      </w:r>
    </w:p>
  </w:footnote>
  <w:footnote w:id="49">
    <w:p w14:paraId="0C831431" w14:textId="2A07383C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>Nariadenie Európskeho parlamentu a Rady (EÚ) 2024/3110 z 27. novembra 2024, ktorým sa stanovujú harmonizované pravidlá uvádzania stavebných výrobkov na trh a zrušuje nariadenie (EÚ) č. 305/2011 (Ú. v. </w:t>
      </w:r>
      <w:r w:rsidRPr="001743ED">
        <w:rPr>
          <w:sz w:val="24"/>
          <w:lang w:val="sk-SK"/>
        </w:rPr>
        <w:t xml:space="preserve">EÚ L, 2024/3110, 18.12.2024, ELI: </w:t>
      </w:r>
      <w:hyperlink r:id="rId28" w:history="1">
        <w:r w:rsidRPr="001743ED">
          <w:rPr>
            <w:rStyle w:val="Hyperlink"/>
            <w:sz w:val="24"/>
            <w:lang w:val="sk-SK"/>
          </w:rPr>
          <w:t>http://data.europa.eu/eli/reg/2024/3110/oj</w:t>
        </w:r>
      </w:hyperlink>
      <w:r w:rsidRPr="001743ED">
        <w:rPr>
          <w:sz w:val="24"/>
          <w:lang w:val="sk-SK"/>
        </w:rPr>
        <w:t>).</w:t>
      </w:r>
    </w:p>
  </w:footnote>
  <w:footnote w:id="50">
    <w:p w14:paraId="1BAA4EFB" w14:textId="47E26159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>Smernica Európskeho parlamentu a Rady 2005/36/ES zo 7. septembra 2005 o uznávaní odborných kvalifikácií (Ú. v. EÚ L 255, 30.9.2005, s. </w:t>
      </w:r>
      <w:r w:rsidRPr="001743ED">
        <w:rPr>
          <w:sz w:val="24"/>
          <w:lang w:val="sk-SK"/>
        </w:rPr>
        <w:t xml:space="preserve">22, ELI: </w:t>
      </w:r>
      <w:hyperlink r:id="rId29" w:history="1">
        <w:r w:rsidRPr="001743ED">
          <w:rPr>
            <w:rStyle w:val="Hyperlink"/>
            <w:sz w:val="24"/>
            <w:lang w:val="sk-SK"/>
          </w:rPr>
          <w:t>http://data.europa.eu/eli/dir/2005/36/oj</w:t>
        </w:r>
      </w:hyperlink>
      <w:r w:rsidRPr="001743ED">
        <w:rPr>
          <w:sz w:val="24"/>
          <w:lang w:val="sk-SK"/>
        </w:rPr>
        <w:t>).</w:t>
      </w:r>
    </w:p>
  </w:footnote>
  <w:footnote w:id="51">
    <w:p w14:paraId="6FA4A8FB" w14:textId="4A73673D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 xml:space="preserve">Európska komisia, „Nová digitálna platforma pre vyhlásenia o vyslaných pracovníkoch“, webové sídlo Európskej komisie, november 2024, </w:t>
      </w:r>
      <w:hyperlink r:id="rId30" w:history="1">
        <w:r w:rsidRPr="001743ED">
          <w:rPr>
            <w:rStyle w:val="Hyperlink"/>
            <w:sz w:val="24"/>
            <w:lang w:val="sk-SK"/>
          </w:rPr>
          <w:t>https://commission.europa.eu/news-and-media/news/new-digital-platform-declaring-posted-workers-2024-11-14_sk</w:t>
        </w:r>
      </w:hyperlink>
      <w:r w:rsidRPr="001743ED">
        <w:rPr>
          <w:sz w:val="24"/>
          <w:lang w:val="sk-SK"/>
        </w:rPr>
        <w:t>.</w:t>
      </w:r>
    </w:p>
  </w:footnote>
  <w:footnote w:id="52">
    <w:p w14:paraId="1AF38F0F" w14:textId="37A12872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 xml:space="preserve">Smernica Európskeho parlamentu a Rady 2014/24/EÚ z 26. februára 2014 o verejnom obstarávaní a o zrušení smernice 2004/18/ES (Ú. v. EÚ L 94, 28.3.2014, s. </w:t>
      </w:r>
      <w:r w:rsidRPr="001743ED">
        <w:rPr>
          <w:sz w:val="24"/>
          <w:lang w:val="sk-SK"/>
        </w:rPr>
        <w:t xml:space="preserve">65, ELI: </w:t>
      </w:r>
      <w:hyperlink r:id="rId31" w:history="1">
        <w:r w:rsidRPr="001743ED">
          <w:rPr>
            <w:rStyle w:val="Hyperlink"/>
            <w:sz w:val="24"/>
            <w:lang w:val="sk-SK"/>
          </w:rPr>
          <w:t>http://data.europa.eu/eli/dir/2014/24/oj</w:t>
        </w:r>
      </w:hyperlink>
      <w:r w:rsidRPr="001743ED">
        <w:rPr>
          <w:sz w:val="24"/>
          <w:lang w:val="sk-SK"/>
        </w:rPr>
        <w:t>).</w:t>
      </w:r>
    </w:p>
  </w:footnote>
  <w:footnote w:id="53">
    <w:p w14:paraId="0CC3FF41" w14:textId="677DBEE7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 xml:space="preserve">Európska komisia, „Prejav predsedníčky von der </w:t>
      </w:r>
      <w:proofErr w:type="spellStart"/>
      <w:r w:rsidRPr="001743ED">
        <w:rPr>
          <w:sz w:val="24"/>
          <w:lang w:val="sk-SK"/>
        </w:rPr>
        <w:t>Leyenovej</w:t>
      </w:r>
      <w:proofErr w:type="spellEnd"/>
      <w:r w:rsidRPr="001743ED">
        <w:rPr>
          <w:sz w:val="24"/>
          <w:lang w:val="sk-SK"/>
        </w:rPr>
        <w:t xml:space="preserve"> o stave Únie za rok 2025“, webové sídlo Európskej komisie, 10. septembra 2025.</w:t>
      </w:r>
    </w:p>
  </w:footnote>
  <w:footnote w:id="54">
    <w:p w14:paraId="56241B0E" w14:textId="6325E9B6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>Nariadenie Európskeho parlamentu a Rady (EÚ) 2024/1028 z 11. apríla 2024 o zbere a poskytovaní údajov týkajúcich sa služieb krátkodobého prenájmu ubytovania a o zmene nariadenia (EÚ) 2018/1724 (Ú. v. </w:t>
      </w:r>
      <w:r w:rsidRPr="001743ED">
        <w:rPr>
          <w:sz w:val="24"/>
          <w:lang w:val="sk-SK"/>
        </w:rPr>
        <w:t xml:space="preserve">EÚ L, 2024/1028, 29.4.2024, ELI: </w:t>
      </w:r>
      <w:hyperlink r:id="rId32" w:history="1">
        <w:r w:rsidRPr="001743ED">
          <w:rPr>
            <w:rStyle w:val="Hyperlink"/>
            <w:sz w:val="24"/>
            <w:lang w:val="sk-SK"/>
          </w:rPr>
          <w:t>http://data.europa.eu/eli/reg/2024/1028/oj</w:t>
        </w:r>
      </w:hyperlink>
      <w:r w:rsidRPr="001743ED">
        <w:rPr>
          <w:sz w:val="24"/>
          <w:lang w:val="sk-SK"/>
        </w:rPr>
        <w:t>).</w:t>
      </w:r>
    </w:p>
  </w:footnote>
  <w:footnote w:id="55">
    <w:p w14:paraId="422EDC00" w14:textId="1D5817F3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 xml:space="preserve">Rozsudok Súdneho dvora z 22. septembra 2020, </w:t>
      </w:r>
      <w:proofErr w:type="spellStart"/>
      <w:r w:rsidRPr="001743ED">
        <w:rPr>
          <w:sz w:val="24"/>
          <w:lang w:val="sk-SK"/>
        </w:rPr>
        <w:t>Cali</w:t>
      </w:r>
      <w:proofErr w:type="spellEnd"/>
      <w:r w:rsidRPr="001743ED">
        <w:rPr>
          <w:sz w:val="24"/>
          <w:lang w:val="sk-SK"/>
        </w:rPr>
        <w:t xml:space="preserve"> </w:t>
      </w:r>
      <w:proofErr w:type="spellStart"/>
      <w:r w:rsidRPr="001743ED">
        <w:rPr>
          <w:sz w:val="24"/>
          <w:lang w:val="sk-SK"/>
        </w:rPr>
        <w:t>Apartments</w:t>
      </w:r>
      <w:proofErr w:type="spellEnd"/>
      <w:r w:rsidRPr="001743ED">
        <w:rPr>
          <w:sz w:val="24"/>
          <w:lang w:val="sk-SK"/>
        </w:rPr>
        <w:t xml:space="preserve"> SCI a HX/</w:t>
      </w:r>
      <w:proofErr w:type="spellStart"/>
      <w:r w:rsidRPr="001743ED">
        <w:rPr>
          <w:sz w:val="24"/>
          <w:lang w:val="sk-SK"/>
        </w:rPr>
        <w:t>Procureur</w:t>
      </w:r>
      <w:proofErr w:type="spellEnd"/>
      <w:r w:rsidRPr="001743ED">
        <w:rPr>
          <w:sz w:val="24"/>
          <w:lang w:val="sk-SK"/>
        </w:rPr>
        <w:t xml:space="preserve"> </w:t>
      </w:r>
      <w:proofErr w:type="spellStart"/>
      <w:r w:rsidRPr="001743ED">
        <w:rPr>
          <w:sz w:val="24"/>
          <w:lang w:val="sk-SK"/>
        </w:rPr>
        <w:t>général</w:t>
      </w:r>
      <w:proofErr w:type="spellEnd"/>
      <w:r w:rsidRPr="001743ED">
        <w:rPr>
          <w:sz w:val="24"/>
          <w:lang w:val="sk-SK"/>
        </w:rPr>
        <w:t xml:space="preserve"> </w:t>
      </w:r>
      <w:proofErr w:type="spellStart"/>
      <w:r w:rsidRPr="001743ED">
        <w:rPr>
          <w:sz w:val="24"/>
          <w:lang w:val="sk-SK"/>
        </w:rPr>
        <w:t>près</w:t>
      </w:r>
      <w:proofErr w:type="spellEnd"/>
      <w:r w:rsidRPr="001743ED">
        <w:rPr>
          <w:sz w:val="24"/>
          <w:lang w:val="sk-SK"/>
        </w:rPr>
        <w:t xml:space="preserve"> la </w:t>
      </w:r>
      <w:proofErr w:type="spellStart"/>
      <w:r w:rsidRPr="001743ED">
        <w:rPr>
          <w:sz w:val="24"/>
          <w:lang w:val="sk-SK"/>
        </w:rPr>
        <w:t>cour</w:t>
      </w:r>
      <w:proofErr w:type="spellEnd"/>
      <w:r w:rsidRPr="001743ED">
        <w:rPr>
          <w:sz w:val="24"/>
          <w:lang w:val="sk-SK"/>
        </w:rPr>
        <w:t xml:space="preserve"> </w:t>
      </w:r>
      <w:proofErr w:type="spellStart"/>
      <w:r w:rsidRPr="001743ED">
        <w:rPr>
          <w:sz w:val="24"/>
          <w:lang w:val="sk-SK"/>
        </w:rPr>
        <w:t>d’appel</w:t>
      </w:r>
      <w:proofErr w:type="spellEnd"/>
      <w:r w:rsidRPr="001743ED">
        <w:rPr>
          <w:sz w:val="24"/>
          <w:lang w:val="sk-SK"/>
        </w:rPr>
        <w:t xml:space="preserve"> de </w:t>
      </w:r>
      <w:proofErr w:type="spellStart"/>
      <w:r w:rsidRPr="001743ED">
        <w:rPr>
          <w:sz w:val="24"/>
          <w:lang w:val="sk-SK"/>
        </w:rPr>
        <w:t>Paris</w:t>
      </w:r>
      <w:proofErr w:type="spellEnd"/>
      <w:r w:rsidRPr="001743ED">
        <w:rPr>
          <w:sz w:val="24"/>
          <w:lang w:val="sk-SK"/>
        </w:rPr>
        <w:t xml:space="preserve"> a </w:t>
      </w:r>
      <w:proofErr w:type="spellStart"/>
      <w:r w:rsidRPr="001743ED">
        <w:rPr>
          <w:sz w:val="24"/>
          <w:lang w:val="sk-SK"/>
        </w:rPr>
        <w:t>Ville</w:t>
      </w:r>
      <w:proofErr w:type="spellEnd"/>
      <w:r w:rsidRPr="001743ED">
        <w:rPr>
          <w:sz w:val="24"/>
          <w:lang w:val="sk-SK"/>
        </w:rPr>
        <w:t xml:space="preserve"> de </w:t>
      </w:r>
      <w:proofErr w:type="spellStart"/>
      <w:r w:rsidRPr="001743ED">
        <w:rPr>
          <w:sz w:val="24"/>
          <w:lang w:val="sk-SK"/>
        </w:rPr>
        <w:t>Paris</w:t>
      </w:r>
      <w:proofErr w:type="spellEnd"/>
      <w:r w:rsidRPr="001743ED">
        <w:rPr>
          <w:sz w:val="24"/>
          <w:lang w:val="sk-SK"/>
        </w:rPr>
        <w:t>, spojené veci C-724/18 a C-727/18, ECLI:EU:C:2020:743.</w:t>
      </w:r>
    </w:p>
  </w:footnote>
  <w:footnote w:id="56">
    <w:p w14:paraId="1ABAC5C4" w14:textId="053775FA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 xml:space="preserve">Smernica Európskeho parlamentu a Rady 2013/36/EÚ z 26. júna 2013 o prístupe k činnosti úverových inštitúcií a </w:t>
      </w:r>
      <w:proofErr w:type="spellStart"/>
      <w:r w:rsidRPr="001743ED">
        <w:rPr>
          <w:sz w:val="24"/>
          <w:lang w:val="sk-SK"/>
        </w:rPr>
        <w:t>prudenciálnom</w:t>
      </w:r>
      <w:proofErr w:type="spellEnd"/>
      <w:r w:rsidRPr="001743ED">
        <w:rPr>
          <w:sz w:val="24"/>
          <w:lang w:val="sk-SK"/>
        </w:rPr>
        <w:t xml:space="preserve"> dohľade nad úverovými inštitúciami a investičnými spoločnosťami, o zmene smernice 2002/87/ES a o zrušení smerníc 2006/48/ES a 2006/49/ES (Ú. v. EÚ L 176, 27.6.2013, s. </w:t>
      </w:r>
      <w:r w:rsidRPr="001743ED">
        <w:rPr>
          <w:sz w:val="24"/>
          <w:lang w:val="sk-SK"/>
        </w:rPr>
        <w:t xml:space="preserve">338, ELI: </w:t>
      </w:r>
      <w:hyperlink r:id="rId33" w:history="1">
        <w:r w:rsidRPr="001743ED">
          <w:rPr>
            <w:rStyle w:val="Hyperlink"/>
            <w:sz w:val="24"/>
            <w:lang w:val="sk-SK"/>
          </w:rPr>
          <w:t>http://data.europa.eu/eli/dir/2013/36/oj</w:t>
        </w:r>
      </w:hyperlink>
      <w:r w:rsidRPr="001743ED">
        <w:rPr>
          <w:sz w:val="24"/>
          <w:lang w:val="sk-SK"/>
        </w:rPr>
        <w:t>).</w:t>
      </w:r>
    </w:p>
  </w:footnote>
  <w:footnote w:id="57">
    <w:p w14:paraId="0A41BAE9" w14:textId="40F57140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>Nariadenie Európskeho parlamentu a Rady (EÚ) č. 575/2013 z 26. júna 2013 o </w:t>
      </w:r>
      <w:proofErr w:type="spellStart"/>
      <w:r w:rsidRPr="001743ED">
        <w:rPr>
          <w:sz w:val="24"/>
          <w:lang w:val="sk-SK"/>
        </w:rPr>
        <w:t>prudenciálnych</w:t>
      </w:r>
      <w:proofErr w:type="spellEnd"/>
      <w:r w:rsidRPr="001743ED">
        <w:rPr>
          <w:sz w:val="24"/>
          <w:lang w:val="sk-SK"/>
        </w:rPr>
        <w:t xml:space="preserve"> požiadavkách na úverové inštitúcie a investičné spoločnosti a o zmene nariadenia (EÚ) č. 648/2012 (Ú. v. EÚ L 176, 27.6.2013, s. </w:t>
      </w:r>
      <w:r w:rsidRPr="001743ED">
        <w:rPr>
          <w:sz w:val="24"/>
          <w:lang w:val="sk-SK"/>
        </w:rPr>
        <w:t xml:space="preserve">1, ELI: </w:t>
      </w:r>
      <w:hyperlink r:id="rId34" w:history="1">
        <w:r w:rsidRPr="001743ED">
          <w:rPr>
            <w:rStyle w:val="Hyperlink"/>
            <w:sz w:val="24"/>
            <w:lang w:val="sk-SK"/>
          </w:rPr>
          <w:t>http://data.europa.eu/eli/reg/2013/575/oj</w:t>
        </w:r>
      </w:hyperlink>
      <w:r w:rsidRPr="001743ED">
        <w:rPr>
          <w:sz w:val="24"/>
          <w:lang w:val="sk-SK"/>
        </w:rPr>
        <w:t>).</w:t>
      </w:r>
    </w:p>
  </w:footnote>
  <w:footnote w:id="58">
    <w:p w14:paraId="16AC33CB" w14:textId="4B6AC6AA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>Paz-</w:t>
      </w:r>
      <w:proofErr w:type="spellStart"/>
      <w:r w:rsidRPr="001743ED">
        <w:rPr>
          <w:sz w:val="24"/>
          <w:lang w:val="sk-SK"/>
        </w:rPr>
        <w:t>Pardo</w:t>
      </w:r>
      <w:proofErr w:type="spellEnd"/>
      <w:r w:rsidRPr="001743ED">
        <w:rPr>
          <w:sz w:val="24"/>
          <w:lang w:val="sk-SK"/>
        </w:rPr>
        <w:t xml:space="preserve">, G., </w:t>
      </w:r>
      <w:proofErr w:type="spellStart"/>
      <w:r w:rsidRPr="001743ED">
        <w:rPr>
          <w:i/>
          <w:iCs/>
          <w:sz w:val="24"/>
          <w:lang w:val="sk-SK"/>
        </w:rPr>
        <w:t>Younger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generations</w:t>
      </w:r>
      <w:proofErr w:type="spellEnd"/>
      <w:r w:rsidRPr="001743ED">
        <w:rPr>
          <w:i/>
          <w:iCs/>
          <w:sz w:val="24"/>
          <w:lang w:val="sk-SK"/>
        </w:rPr>
        <w:t xml:space="preserve"> and </w:t>
      </w:r>
      <w:proofErr w:type="spellStart"/>
      <w:r w:rsidRPr="001743ED">
        <w:rPr>
          <w:i/>
          <w:iCs/>
          <w:sz w:val="24"/>
          <w:lang w:val="sk-SK"/>
        </w:rPr>
        <w:t>the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lost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dream</w:t>
      </w:r>
      <w:proofErr w:type="spellEnd"/>
      <w:r w:rsidRPr="001743ED">
        <w:rPr>
          <w:i/>
          <w:iCs/>
          <w:sz w:val="24"/>
          <w:lang w:val="sk-SK"/>
        </w:rPr>
        <w:t xml:space="preserve"> of </w:t>
      </w:r>
      <w:proofErr w:type="spellStart"/>
      <w:r w:rsidRPr="001743ED">
        <w:rPr>
          <w:i/>
          <w:iCs/>
          <w:sz w:val="24"/>
          <w:lang w:val="sk-SK"/>
        </w:rPr>
        <w:t>home</w:t>
      </w:r>
      <w:proofErr w:type="spellEnd"/>
      <w:r w:rsidRPr="001743ED">
        <w:rPr>
          <w:i/>
          <w:iCs/>
          <w:sz w:val="24"/>
          <w:lang w:val="sk-SK"/>
        </w:rPr>
        <w:t xml:space="preserve"> </w:t>
      </w:r>
      <w:proofErr w:type="spellStart"/>
      <w:r w:rsidRPr="001743ED">
        <w:rPr>
          <w:i/>
          <w:iCs/>
          <w:sz w:val="24"/>
          <w:lang w:val="sk-SK"/>
        </w:rPr>
        <w:t>ownership</w:t>
      </w:r>
      <w:proofErr w:type="spellEnd"/>
      <w:r w:rsidRPr="001743ED">
        <w:rPr>
          <w:sz w:val="24"/>
          <w:lang w:val="sk-SK"/>
        </w:rPr>
        <w:t xml:space="preserve"> (Mladšie generácie a stratený sen o vlastníctve bývania), webové sídlo Európskej centrálnej banky, 26. </w:t>
      </w:r>
      <w:r w:rsidRPr="001743ED">
        <w:rPr>
          <w:sz w:val="24"/>
          <w:lang w:val="sk-SK"/>
        </w:rPr>
        <w:t xml:space="preserve">január 2022, </w:t>
      </w:r>
      <w:hyperlink r:id="rId35" w:history="1">
        <w:r w:rsidRPr="001743ED">
          <w:rPr>
            <w:rStyle w:val="Hyperlink"/>
            <w:sz w:val="24"/>
            <w:lang w:val="sk-SK"/>
          </w:rPr>
          <w:t>https://www.ecb.europa.eu/press/research-publications/resbull/2022/html/ecb.rb220126~4542d3cea0.en.html</w:t>
        </w:r>
      </w:hyperlink>
      <w:r w:rsidRPr="001743ED">
        <w:rPr>
          <w:sz w:val="24"/>
          <w:lang w:val="sk-SK"/>
        </w:rPr>
        <w:t>.</w:t>
      </w:r>
    </w:p>
  </w:footnote>
  <w:footnote w:id="59">
    <w:p w14:paraId="46910DFF" w14:textId="0F56CBF4" w:rsidR="00C021BE" w:rsidRPr="00CC60F8" w:rsidRDefault="00C021BE" w:rsidP="00CC60F8">
      <w:pPr>
        <w:pStyle w:val="FootnoteText"/>
        <w:ind w:left="567" w:hanging="567"/>
        <w:rPr>
          <w:sz w:val="24"/>
          <w:szCs w:val="24"/>
          <w:lang w:val="fi-FI"/>
        </w:rPr>
      </w:pPr>
      <w:r w:rsidRPr="00CC60F8">
        <w:rPr>
          <w:rStyle w:val="FootnoteReference"/>
          <w:sz w:val="24"/>
          <w:szCs w:val="24"/>
        </w:rPr>
        <w:footnoteRef/>
      </w:r>
      <w:r w:rsidRPr="00CC60F8">
        <w:rPr>
          <w:sz w:val="24"/>
          <w:szCs w:val="24"/>
          <w:lang w:val="sk-SK"/>
        </w:rPr>
        <w:t xml:space="preserve"> </w:t>
      </w:r>
      <w:r w:rsidRPr="00CC60F8">
        <w:rPr>
          <w:sz w:val="24"/>
          <w:szCs w:val="24"/>
          <w:lang w:val="sk-SK"/>
        </w:rPr>
        <w:tab/>
        <w:t xml:space="preserve">Ú. v. EÚ L 223, 22.6.2021, s. </w:t>
      </w:r>
      <w:r w:rsidRPr="00CC60F8">
        <w:rPr>
          <w:sz w:val="24"/>
          <w:szCs w:val="24"/>
          <w:lang w:val="sk-SK"/>
        </w:rPr>
        <w:t xml:space="preserve">14, ELI: </w:t>
      </w:r>
      <w:hyperlink r:id="rId36" w:history="1">
        <w:r w:rsidRPr="00CC60F8">
          <w:rPr>
            <w:rStyle w:val="Hyperlink"/>
            <w:sz w:val="24"/>
            <w:szCs w:val="24"/>
            <w:lang w:val="fi-FI"/>
          </w:rPr>
          <w:t>http://data.europa.eu/eli/reco/2021/1004/oj</w:t>
        </w:r>
      </w:hyperlink>
      <w:r w:rsidRPr="00CC60F8">
        <w:rPr>
          <w:sz w:val="24"/>
          <w:szCs w:val="24"/>
          <w:lang w:val="sk-SK"/>
        </w:rPr>
        <w:t>.</w:t>
      </w:r>
    </w:p>
  </w:footnote>
  <w:footnote w:id="60">
    <w:p w14:paraId="674BC098" w14:textId="6E84CF52" w:rsidR="00895679" w:rsidRPr="001743ED" w:rsidRDefault="00895679" w:rsidP="001743ED">
      <w:pPr>
        <w:pStyle w:val="FootnoteText"/>
        <w:ind w:left="567" w:hanging="567"/>
        <w:rPr>
          <w:sz w:val="24"/>
          <w:lang w:val="sk-SK"/>
        </w:rPr>
      </w:pPr>
      <w:r w:rsidRPr="001743ED">
        <w:rPr>
          <w:rStyle w:val="FootnoteReference"/>
          <w:sz w:val="24"/>
          <w:lang w:val="sk-SK"/>
        </w:rPr>
        <w:footnoteRef/>
      </w:r>
      <w:r w:rsidR="001743ED" w:rsidRPr="001743ED">
        <w:rPr>
          <w:sz w:val="24"/>
          <w:lang w:val="sk-SK"/>
        </w:rPr>
        <w:t xml:space="preserve"> </w:t>
      </w:r>
      <w:r w:rsidR="001743ED" w:rsidRPr="001743ED">
        <w:rPr>
          <w:sz w:val="24"/>
          <w:lang w:val="sk-SK"/>
        </w:rPr>
        <w:tab/>
      </w:r>
      <w:r w:rsidRPr="001743ED">
        <w:rPr>
          <w:sz w:val="24"/>
          <w:lang w:val="sk-SK"/>
        </w:rPr>
        <w:t>Nariadenie Európskeho parlamentu a Rady (EÚ) 2025/2458 z 26. novembra 2025 o európskej štatistike obyvateľstva, domov a bytov, ktorým sa mení nariadenie (ES) č. 862/2007 a ktorým sa zrušujú nariadenia (ES) č. 763/2008 a (EÚ) č. 1260/2013 (Ú. v. </w:t>
      </w:r>
      <w:r w:rsidRPr="001743ED">
        <w:rPr>
          <w:sz w:val="24"/>
          <w:lang w:val="sk-SK"/>
        </w:rPr>
        <w:t xml:space="preserve">EÚ L, 2025/2458, 12.12.2025, ELI: </w:t>
      </w:r>
      <w:hyperlink r:id="rId37" w:history="1">
        <w:r w:rsidRPr="001743ED">
          <w:rPr>
            <w:rStyle w:val="Hyperlink"/>
            <w:sz w:val="24"/>
            <w:lang w:val="sk-SK"/>
          </w:rPr>
          <w:t>http://data.europa.eu/eli/reg/2025/2458/oj</w:t>
        </w:r>
      </w:hyperlink>
      <w:r w:rsidRPr="001743ED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C2115" w14:textId="77777777" w:rsidR="00064002" w:rsidRPr="001743E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30645" w14:textId="77777777" w:rsidR="00064002" w:rsidRPr="001743E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FDA03" w14:textId="77777777" w:rsidR="00064002" w:rsidRPr="001743E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3260300">
    <w:abstractNumId w:val="9"/>
  </w:num>
  <w:num w:numId="2" w16cid:durableId="1194729914">
    <w:abstractNumId w:val="9"/>
  </w:num>
  <w:num w:numId="3" w16cid:durableId="150146200">
    <w:abstractNumId w:val="7"/>
  </w:num>
  <w:num w:numId="4" w16cid:durableId="1037656206">
    <w:abstractNumId w:val="7"/>
  </w:num>
  <w:num w:numId="5" w16cid:durableId="1570269522">
    <w:abstractNumId w:val="6"/>
  </w:num>
  <w:num w:numId="6" w16cid:durableId="1159347461">
    <w:abstractNumId w:val="6"/>
  </w:num>
  <w:num w:numId="7" w16cid:durableId="1162163068">
    <w:abstractNumId w:val="5"/>
  </w:num>
  <w:num w:numId="8" w16cid:durableId="123430016">
    <w:abstractNumId w:val="5"/>
  </w:num>
  <w:num w:numId="9" w16cid:durableId="291716418">
    <w:abstractNumId w:val="4"/>
  </w:num>
  <w:num w:numId="10" w16cid:durableId="1264387752">
    <w:abstractNumId w:val="4"/>
  </w:num>
  <w:num w:numId="11" w16cid:durableId="1442722291">
    <w:abstractNumId w:val="8"/>
  </w:num>
  <w:num w:numId="12" w16cid:durableId="1843007146">
    <w:abstractNumId w:val="8"/>
  </w:num>
  <w:num w:numId="13" w16cid:durableId="1990742798">
    <w:abstractNumId w:val="3"/>
  </w:num>
  <w:num w:numId="14" w16cid:durableId="194125111">
    <w:abstractNumId w:val="3"/>
  </w:num>
  <w:num w:numId="15" w16cid:durableId="2145348626">
    <w:abstractNumId w:val="2"/>
  </w:num>
  <w:num w:numId="16" w16cid:durableId="1959405816">
    <w:abstractNumId w:val="2"/>
  </w:num>
  <w:num w:numId="17" w16cid:durableId="877474198">
    <w:abstractNumId w:val="1"/>
  </w:num>
  <w:num w:numId="18" w16cid:durableId="1642733051">
    <w:abstractNumId w:val="1"/>
  </w:num>
  <w:num w:numId="19" w16cid:durableId="23988346">
    <w:abstractNumId w:val="0"/>
  </w:num>
  <w:num w:numId="20" w16cid:durableId="925653663">
    <w:abstractNumId w:val="0"/>
  </w:num>
  <w:num w:numId="21" w16cid:durableId="1509711586">
    <w:abstractNumId w:val="9"/>
  </w:num>
  <w:num w:numId="22" w16cid:durableId="1001393131">
    <w:abstractNumId w:val="7"/>
  </w:num>
  <w:num w:numId="23" w16cid:durableId="147593182">
    <w:abstractNumId w:val="6"/>
  </w:num>
  <w:num w:numId="24" w16cid:durableId="1606229923">
    <w:abstractNumId w:val="5"/>
  </w:num>
  <w:num w:numId="25" w16cid:durableId="571042747">
    <w:abstractNumId w:val="4"/>
  </w:num>
  <w:num w:numId="26" w16cid:durableId="1059745577">
    <w:abstractNumId w:val="8"/>
  </w:num>
  <w:num w:numId="27" w16cid:durableId="366108692">
    <w:abstractNumId w:val="3"/>
  </w:num>
  <w:num w:numId="28" w16cid:durableId="722602110">
    <w:abstractNumId w:val="2"/>
  </w:num>
  <w:num w:numId="29" w16cid:durableId="1843739042">
    <w:abstractNumId w:val="1"/>
  </w:num>
  <w:num w:numId="30" w16cid:durableId="1128668607">
    <w:abstractNumId w:val="0"/>
  </w:num>
  <w:num w:numId="31" w16cid:durableId="1452550645">
    <w:abstractNumId w:val="9"/>
  </w:num>
  <w:num w:numId="32" w16cid:durableId="600527264">
    <w:abstractNumId w:val="7"/>
  </w:num>
  <w:num w:numId="33" w16cid:durableId="4063660">
    <w:abstractNumId w:val="6"/>
  </w:num>
  <w:num w:numId="34" w16cid:durableId="986514784">
    <w:abstractNumId w:val="5"/>
  </w:num>
  <w:num w:numId="35" w16cid:durableId="1963682811">
    <w:abstractNumId w:val="4"/>
  </w:num>
  <w:num w:numId="36" w16cid:durableId="1441796492">
    <w:abstractNumId w:val="8"/>
  </w:num>
  <w:num w:numId="37" w16cid:durableId="880049656">
    <w:abstractNumId w:val="3"/>
  </w:num>
  <w:num w:numId="38" w16cid:durableId="1156608921">
    <w:abstractNumId w:val="2"/>
  </w:num>
  <w:num w:numId="39" w16cid:durableId="1657565081">
    <w:abstractNumId w:val="1"/>
  </w:num>
  <w:num w:numId="40" w16cid:durableId="268050499">
    <w:abstractNumId w:val="0"/>
  </w:num>
  <w:num w:numId="41" w16cid:durableId="1585264985">
    <w:abstractNumId w:val="10"/>
  </w:num>
  <w:num w:numId="42" w16cid:durableId="151260298">
    <w:abstractNumId w:val="10"/>
  </w:num>
  <w:num w:numId="43" w16cid:durableId="1599946009">
    <w:abstractNumId w:val="10"/>
  </w:num>
  <w:num w:numId="44" w16cid:durableId="8178477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5/2026"/>
    <w:docVar w:name="dvlangue" w:val="SK"/>
    <w:docVar w:name="dvnumam" w:val="0"/>
    <w:docVar w:name="dvpe" w:val="772.037"/>
    <w:docVar w:name="dvrapporteur" w:val="Spravodajkyňa: "/>
    <w:docVar w:name="dvtitre" w:val="Uznesenie Európskeho parlamentu z/zo xx. xxx 2026 o kríze bývania v Európskej únii s cieľom navrhnúť riešenia pre dôstojné, udržateľné a cenovo dostupné bývanie(2025/2070(INI))"/>
  </w:docVars>
  <w:rsids>
    <w:rsidRoot w:val="00C56FCF"/>
    <w:rsid w:val="00002272"/>
    <w:rsid w:val="00064002"/>
    <w:rsid w:val="000677B9"/>
    <w:rsid w:val="000831BA"/>
    <w:rsid w:val="000A42CC"/>
    <w:rsid w:val="000E7DD9"/>
    <w:rsid w:val="0010095E"/>
    <w:rsid w:val="00125B37"/>
    <w:rsid w:val="00167FA7"/>
    <w:rsid w:val="001743ED"/>
    <w:rsid w:val="00187494"/>
    <w:rsid w:val="001F32AE"/>
    <w:rsid w:val="002767FF"/>
    <w:rsid w:val="00296803"/>
    <w:rsid w:val="002B18FE"/>
    <w:rsid w:val="002B5493"/>
    <w:rsid w:val="003369A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456F"/>
    <w:rsid w:val="004C5D52"/>
    <w:rsid w:val="0050519A"/>
    <w:rsid w:val="005072A1"/>
    <w:rsid w:val="00514517"/>
    <w:rsid w:val="00545827"/>
    <w:rsid w:val="0055264E"/>
    <w:rsid w:val="00560270"/>
    <w:rsid w:val="00583660"/>
    <w:rsid w:val="005B6C4C"/>
    <w:rsid w:val="005C2568"/>
    <w:rsid w:val="005F1B17"/>
    <w:rsid w:val="006037C0"/>
    <w:rsid w:val="006452A4"/>
    <w:rsid w:val="006631B6"/>
    <w:rsid w:val="00680577"/>
    <w:rsid w:val="006C1583"/>
    <w:rsid w:val="006F74FA"/>
    <w:rsid w:val="007301DB"/>
    <w:rsid w:val="00731ADD"/>
    <w:rsid w:val="00734777"/>
    <w:rsid w:val="00747932"/>
    <w:rsid w:val="00751A4A"/>
    <w:rsid w:val="00756632"/>
    <w:rsid w:val="00762C74"/>
    <w:rsid w:val="00786EC0"/>
    <w:rsid w:val="007D0D50"/>
    <w:rsid w:val="007D1690"/>
    <w:rsid w:val="007E22AD"/>
    <w:rsid w:val="00817416"/>
    <w:rsid w:val="00842779"/>
    <w:rsid w:val="00865F67"/>
    <w:rsid w:val="00881A7B"/>
    <w:rsid w:val="008840E5"/>
    <w:rsid w:val="00887B3E"/>
    <w:rsid w:val="00894BB0"/>
    <w:rsid w:val="00895679"/>
    <w:rsid w:val="008B56C9"/>
    <w:rsid w:val="008C2AC6"/>
    <w:rsid w:val="00930C23"/>
    <w:rsid w:val="0093193B"/>
    <w:rsid w:val="009509D8"/>
    <w:rsid w:val="00950B64"/>
    <w:rsid w:val="00953072"/>
    <w:rsid w:val="00981893"/>
    <w:rsid w:val="00A1687D"/>
    <w:rsid w:val="00A403FD"/>
    <w:rsid w:val="00A43E52"/>
    <w:rsid w:val="00A4678D"/>
    <w:rsid w:val="00A778C7"/>
    <w:rsid w:val="00A948B5"/>
    <w:rsid w:val="00AB441E"/>
    <w:rsid w:val="00AB6293"/>
    <w:rsid w:val="00AE0928"/>
    <w:rsid w:val="00AF3B82"/>
    <w:rsid w:val="00B12E95"/>
    <w:rsid w:val="00B17FD3"/>
    <w:rsid w:val="00B22876"/>
    <w:rsid w:val="00B558F0"/>
    <w:rsid w:val="00BD48FE"/>
    <w:rsid w:val="00BD7BD8"/>
    <w:rsid w:val="00BE6ADC"/>
    <w:rsid w:val="00BF285F"/>
    <w:rsid w:val="00C021BE"/>
    <w:rsid w:val="00C05BFE"/>
    <w:rsid w:val="00C23CD4"/>
    <w:rsid w:val="00C56FCF"/>
    <w:rsid w:val="00C61C0C"/>
    <w:rsid w:val="00C941CB"/>
    <w:rsid w:val="00CC2357"/>
    <w:rsid w:val="00CC60F8"/>
    <w:rsid w:val="00CF071A"/>
    <w:rsid w:val="00D058B8"/>
    <w:rsid w:val="00D2096B"/>
    <w:rsid w:val="00D56C11"/>
    <w:rsid w:val="00D834A0"/>
    <w:rsid w:val="00D872DF"/>
    <w:rsid w:val="00D91E21"/>
    <w:rsid w:val="00DA4511"/>
    <w:rsid w:val="00DA7FCD"/>
    <w:rsid w:val="00E21C0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2F3178"/>
  <w15:chartTrackingRefBased/>
  <w15:docId w15:val="{CECC7384-10B0-4FA4-AAAC-77649E96C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95679"/>
    <w:pPr>
      <w:spacing w:after="240"/>
      <w:ind w:left="567" w:hanging="567"/>
    </w:pPr>
  </w:style>
  <w:style w:type="paragraph" w:customStyle="1" w:styleId="EPComma">
    <w:name w:val="EPComma"/>
    <w:basedOn w:val="Normal"/>
    <w:rsid w:val="00895679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895679"/>
    <w:rPr>
      <w:color w:val="467886"/>
      <w:u w:val="single"/>
    </w:rPr>
  </w:style>
  <w:style w:type="character" w:styleId="CommentReference">
    <w:name w:val="annotation reference"/>
    <w:basedOn w:val="DefaultParagraphFont"/>
    <w:rsid w:val="00895679"/>
    <w:rPr>
      <w:sz w:val="16"/>
      <w:szCs w:val="16"/>
    </w:rPr>
  </w:style>
  <w:style w:type="character" w:customStyle="1" w:styleId="NormalHanging12aChar">
    <w:name w:val="NormalHanging12a Char"/>
    <w:basedOn w:val="DefaultParagraphFont"/>
    <w:link w:val="NormalHanging12a"/>
    <w:rsid w:val="00895679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895679"/>
    <w:pPr>
      <w:spacing w:after="120"/>
    </w:pPr>
  </w:style>
  <w:style w:type="character" w:customStyle="1" w:styleId="Normal6Char">
    <w:name w:val="Normal6 Char"/>
    <w:link w:val="Normal6"/>
    <w:rsid w:val="00895679"/>
    <w:rPr>
      <w:sz w:val="24"/>
      <w:lang w:val="sk-SK"/>
    </w:rPr>
  </w:style>
  <w:style w:type="character" w:customStyle="1" w:styleId="normaltextrun">
    <w:name w:val="normaltextrun"/>
    <w:basedOn w:val="DefaultParagraphFont"/>
    <w:rsid w:val="00895679"/>
  </w:style>
  <w:style w:type="character" w:customStyle="1" w:styleId="cf01">
    <w:name w:val="cf01"/>
    <w:basedOn w:val="DefaultParagraphFont"/>
    <w:rsid w:val="00895679"/>
    <w:rPr>
      <w:rFonts w:ascii="Segoe UI" w:hAnsi="Segoe UI" w:cs="Segoe UI" w:hint="default"/>
    </w:rPr>
  </w:style>
  <w:style w:type="character" w:customStyle="1" w:styleId="cf11">
    <w:name w:val="cf11"/>
    <w:basedOn w:val="DefaultParagraphFont"/>
    <w:rsid w:val="00895679"/>
    <w:rPr>
      <w:rFonts w:ascii="Segoe UI" w:hAnsi="Segoe UI" w:cs="Segoe UI" w:hint="default"/>
      <w:b/>
      <w:bCs/>
      <w:i/>
      <w:iCs/>
    </w:rPr>
  </w:style>
  <w:style w:type="character" w:customStyle="1" w:styleId="cf21">
    <w:name w:val="cf21"/>
    <w:basedOn w:val="DefaultParagraphFont"/>
    <w:rsid w:val="00895679"/>
    <w:rPr>
      <w:rFonts w:ascii="Segoe UI" w:hAnsi="Segoe UI" w:cs="Segoe UI" w:hint="default"/>
      <w:b/>
      <w:bCs/>
    </w:rPr>
  </w:style>
  <w:style w:type="paragraph" w:customStyle="1" w:styleId="Normal6a">
    <w:name w:val="Normal6a"/>
    <w:basedOn w:val="Normal"/>
    <w:rsid w:val="00895679"/>
    <w:pPr>
      <w:widowControl/>
      <w:suppressAutoHyphens/>
      <w:autoSpaceDN w:val="0"/>
      <w:spacing w:after="120"/>
      <w:textAlignment w:val="baseline"/>
    </w:pPr>
    <w:rPr>
      <w:szCs w:val="24"/>
      <w:lang w:eastAsia="en-US"/>
    </w:rPr>
  </w:style>
  <w:style w:type="paragraph" w:styleId="Revision">
    <w:name w:val="Revision"/>
    <w:hidden/>
    <w:uiPriority w:val="99"/>
    <w:semiHidden/>
    <w:rsid w:val="005B6C4C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C021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eurofound.europa.eu/en/publications/all/minimum-wages-2025-annual-review" TargetMode="External"/><Relationship Id="rId18" Type="http://schemas.openxmlformats.org/officeDocument/2006/relationships/hyperlink" Target="https://www.imf.org/en/publications/wp/issues/2016/12/31/taxing-immovable-property-revenue-potential-and-implementation-challenges-40594" TargetMode="External"/><Relationship Id="rId26" Type="http://schemas.openxmlformats.org/officeDocument/2006/relationships/hyperlink" Target="https://ec.europa.eu/eurostat/statistics-explained/index.php?title=Comparative_price_levels_of_consumer_goods_and_services" TargetMode="External"/><Relationship Id="rId21" Type="http://schemas.openxmlformats.org/officeDocument/2006/relationships/hyperlink" Target="https://www.eurofound.europa.eu/en/publications/all/unaffordable-and-inadequate-housing-europe" TargetMode="External"/><Relationship Id="rId34" Type="http://schemas.openxmlformats.org/officeDocument/2006/relationships/hyperlink" Target="http://data.europa.eu/eli/reg/2013/575/oj" TargetMode="External"/><Relationship Id="rId7" Type="http://schemas.openxmlformats.org/officeDocument/2006/relationships/hyperlink" Target="http://data.europa.eu/eli/reg/2024/1028/oj" TargetMode="External"/><Relationship Id="rId12" Type="http://schemas.openxmlformats.org/officeDocument/2006/relationships/hyperlink" Target="https://ec.europa.eu/eurostat/web/products-euro-indicators/w/2-03102025-bp" TargetMode="External"/><Relationship Id="rId17" Type="http://schemas.openxmlformats.org/officeDocument/2006/relationships/hyperlink" Target="https://www.oecd.org/en/publications/the-political-economy-of-property-tax-reform_5jz5pzvzv6r7-en.html" TargetMode="External"/><Relationship Id="rId25" Type="http://schemas.openxmlformats.org/officeDocument/2006/relationships/hyperlink" Target="https://www.cidob.org/en/events/market-good-social-right-shifting-approaches-housing-europe" TargetMode="External"/><Relationship Id="rId33" Type="http://schemas.openxmlformats.org/officeDocument/2006/relationships/hyperlink" Target="http://data.europa.eu/eli/dir/2013/36/oj" TargetMode="External"/><Relationship Id="rId2" Type="http://schemas.openxmlformats.org/officeDocument/2006/relationships/hyperlink" Target="http://data.europa.eu/eli/C/2025/3475/oj" TargetMode="External"/><Relationship Id="rId16" Type="http://schemas.openxmlformats.org/officeDocument/2006/relationships/hyperlink" Target="http://data.europa.eu/eli/dir/2023/1791/oj" TargetMode="External"/><Relationship Id="rId20" Type="http://schemas.openxmlformats.org/officeDocument/2006/relationships/hyperlink" Target="https://ec.europa.eu/eurostat/statistics-explained/index.php?title=Living_conditions_in_Europe_-_housing" TargetMode="External"/><Relationship Id="rId29" Type="http://schemas.openxmlformats.org/officeDocument/2006/relationships/hyperlink" Target="http://data.europa.eu/eli/dir/2005/36/oj" TargetMode="External"/><Relationship Id="rId1" Type="http://schemas.openxmlformats.org/officeDocument/2006/relationships/hyperlink" Target="http://data.europa.eu/eli/C/2025/1982/oj" TargetMode="External"/><Relationship Id="rId6" Type="http://schemas.openxmlformats.org/officeDocument/2006/relationships/hyperlink" Target="http://data.europa.eu/eli/dir/2024/1275/oj" TargetMode="External"/><Relationship Id="rId11" Type="http://schemas.openxmlformats.org/officeDocument/2006/relationships/hyperlink" Target="http://data.europa.eu/eli/dec/2010/48(1)/oj" TargetMode="External"/><Relationship Id="rId24" Type="http://schemas.openxmlformats.org/officeDocument/2006/relationships/hyperlink" Target="https://www.smeunited.eu/policies/sectors/construction" TargetMode="External"/><Relationship Id="rId32" Type="http://schemas.openxmlformats.org/officeDocument/2006/relationships/hyperlink" Target="http://data.europa.eu/eli/reg/2024/1028/oj" TargetMode="External"/><Relationship Id="rId37" Type="http://schemas.openxmlformats.org/officeDocument/2006/relationships/hyperlink" Target="http://data.europa.eu/eli/reg/2025/2458/oj" TargetMode="External"/><Relationship Id="rId5" Type="http://schemas.openxmlformats.org/officeDocument/2006/relationships/hyperlink" Target="http://data.europa.eu/eli/C/2026/26/oj" TargetMode="External"/><Relationship Id="rId15" Type="http://schemas.openxmlformats.org/officeDocument/2006/relationships/hyperlink" Target="http://data.europa.eu/eli/dir/2024/1275/oj" TargetMode="External"/><Relationship Id="rId23" Type="http://schemas.openxmlformats.org/officeDocument/2006/relationships/hyperlink" Target="https://ec.europa.eu/eurostat/cache/htmlpub/key-figures-on-european-business-2022/construction.html" TargetMode="External"/><Relationship Id="rId28" Type="http://schemas.openxmlformats.org/officeDocument/2006/relationships/hyperlink" Target="http://data.europa.eu/eli/reg/2024/3110/oj" TargetMode="External"/><Relationship Id="rId36" Type="http://schemas.openxmlformats.org/officeDocument/2006/relationships/hyperlink" Target="http://data.europa.eu/eli/reco/2021/1004/oj" TargetMode="External"/><Relationship Id="rId10" Type="http://schemas.openxmlformats.org/officeDocument/2006/relationships/hyperlink" Target="http://data.europa.eu/eli/reco/2021/1004/oj" TargetMode="External"/><Relationship Id="rId19" Type="http://schemas.openxmlformats.org/officeDocument/2006/relationships/hyperlink" Target="https://www.eib.org/en/essays/innovation-construction-affordable-sustainable-housing" TargetMode="External"/><Relationship Id="rId31" Type="http://schemas.openxmlformats.org/officeDocument/2006/relationships/hyperlink" Target="http://data.europa.eu/eli/dir/2014/24/oj" TargetMode="External"/><Relationship Id="rId4" Type="http://schemas.openxmlformats.org/officeDocument/2006/relationships/hyperlink" Target="http://data.europa.eu/eli/C/2025/771/oj" TargetMode="External"/><Relationship Id="rId9" Type="http://schemas.openxmlformats.org/officeDocument/2006/relationships/hyperlink" Target="https://ec.europa.eu/eurostat/web/interactive-publications/housing-2024" TargetMode="External"/><Relationship Id="rId14" Type="http://schemas.openxmlformats.org/officeDocument/2006/relationships/hyperlink" Target="https://reforms-investments.ec.europa.eu/accelerating-permitting-renewable-energy_en" TargetMode="External"/><Relationship Id="rId22" Type="http://schemas.openxmlformats.org/officeDocument/2006/relationships/hyperlink" Target="https://www.eurofound.europa.eu/en/publications/all/building-on-growth-potential-preparing-the-construction-sector-for-the-twin-transitions" TargetMode="External"/><Relationship Id="rId27" Type="http://schemas.openxmlformats.org/officeDocument/2006/relationships/hyperlink" Target="http://data.europa.eu/eli/dir/2006/112/oj" TargetMode="External"/><Relationship Id="rId30" Type="http://schemas.openxmlformats.org/officeDocument/2006/relationships/hyperlink" Target="https://commission.europa.eu/news-and-media/news/new-digital-platform-declaring-posted-workers-2024-11-14_sk" TargetMode="External"/><Relationship Id="rId35" Type="http://schemas.openxmlformats.org/officeDocument/2006/relationships/hyperlink" Target="https://www.ecb.europa.eu/press/research-publications/resbull/2022/html/ecb.rb220126~4542d3cea0.en.html" TargetMode="External"/><Relationship Id="rId8" Type="http://schemas.openxmlformats.org/officeDocument/2006/relationships/hyperlink" Target="http://data.europa.eu/eli/C/2025/285/oj" TargetMode="External"/><Relationship Id="rId3" Type="http://schemas.openxmlformats.org/officeDocument/2006/relationships/hyperlink" Target="http://data.europa.eu/eli/C/2024/36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43</Pages>
  <Words>18993</Words>
  <Characters>119646</Characters>
  <Application>Microsoft Office Word</Application>
  <DocSecurity>0</DocSecurity>
  <Lines>3859</Lines>
  <Paragraphs>830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2026-04-23T13:13:00Z</dcterms:created>
  <dcterms:modified xsi:type="dcterms:W3CDTF">2026-04-23T13:13:00Z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A10-0025/2026</vt:lpwstr>
  </property>
  <property fmtid="{D5CDD505-2E9C-101B-9397-08002B2CF9AE}" pid="4" name="&lt;Type&gt;">
    <vt:lpwstr>RR</vt:lpwstr>
  </property>
</Properties>
</file>