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45E2" w14:paraId="2BFB7D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E9CE32" w14:textId="77777777" w:rsidR="00751A4A" w:rsidRPr="009645E2" w:rsidRDefault="00CA6B6A" w:rsidP="0010095E">
            <w:pPr>
              <w:pStyle w:val="EPName"/>
            </w:pPr>
            <w:r w:rsidRPr="009645E2">
              <w:t>Europski parlament</w:t>
            </w:r>
          </w:p>
          <w:p w14:paraId="63983857" w14:textId="77777777" w:rsidR="00751A4A" w:rsidRPr="009645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45E2">
              <w:t>2024</w:t>
            </w:r>
            <w:r w:rsidR="00817416" w:rsidRPr="009645E2">
              <w:t>-202</w:t>
            </w:r>
            <w:r w:rsidRPr="009645E2">
              <w:t>9</w:t>
            </w:r>
          </w:p>
        </w:tc>
        <w:tc>
          <w:tcPr>
            <w:tcW w:w="2268" w:type="dxa"/>
            <w:shd w:val="clear" w:color="auto" w:fill="auto"/>
          </w:tcPr>
          <w:p w14:paraId="61B65C30" w14:textId="77777777" w:rsidR="00751A4A" w:rsidRPr="009645E2" w:rsidRDefault="00187494" w:rsidP="0010095E">
            <w:pPr>
              <w:pStyle w:val="EPLogo"/>
            </w:pPr>
            <w:r w:rsidRPr="009645E2">
              <w:rPr>
                <w:noProof/>
                <w:lang w:eastAsia="ja-JP"/>
              </w:rPr>
              <w:drawing>
                <wp:inline distT="0" distB="0" distL="0" distR="0" wp14:anchorId="2E1FADAF" wp14:editId="1056D4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0D2599" w14:textId="77777777" w:rsidR="00D058B8" w:rsidRPr="009645E2" w:rsidRDefault="00D058B8" w:rsidP="004C5D52">
      <w:pPr>
        <w:pStyle w:val="LineTop"/>
      </w:pPr>
    </w:p>
    <w:p w14:paraId="15685D70" w14:textId="77777777" w:rsidR="00680577" w:rsidRPr="009645E2" w:rsidRDefault="00CA6B6A" w:rsidP="00680577">
      <w:pPr>
        <w:pStyle w:val="EPBodyTA1"/>
      </w:pPr>
      <w:r w:rsidRPr="009645E2">
        <w:t>USVOJENI TEKSTOVI</w:t>
      </w:r>
    </w:p>
    <w:p w14:paraId="5FD55905" w14:textId="77777777" w:rsidR="00D058B8" w:rsidRPr="009645E2" w:rsidRDefault="00D058B8" w:rsidP="00D058B8">
      <w:pPr>
        <w:pStyle w:val="LineBottom"/>
      </w:pPr>
    </w:p>
    <w:p w14:paraId="16C4EBA9" w14:textId="63CC3421" w:rsidR="00CA6B6A" w:rsidRPr="009645E2" w:rsidRDefault="00CA6B6A" w:rsidP="00CA6B6A">
      <w:pPr>
        <w:pStyle w:val="ATHeading1"/>
      </w:pPr>
      <w:bookmarkStart w:id="0" w:name="TANumber"/>
      <w:r w:rsidRPr="009645E2">
        <w:t>P10_TA(2026)00</w:t>
      </w:r>
      <w:r w:rsidR="00951653">
        <w:t>65</w:t>
      </w:r>
      <w:bookmarkEnd w:id="0"/>
    </w:p>
    <w:p w14:paraId="1B9179E1" w14:textId="61A20791" w:rsidR="00CA6B6A" w:rsidRPr="009645E2" w:rsidRDefault="00CA6B6A" w:rsidP="00CA6B6A">
      <w:pPr>
        <w:pStyle w:val="ATHeading2"/>
      </w:pPr>
      <w:bookmarkStart w:id="1" w:name="title"/>
      <w:r w:rsidRPr="009645E2">
        <w:t>Javni pristup dokumentima – izvješće 2022. – 2024.</w:t>
      </w:r>
      <w:bookmarkEnd w:id="1"/>
    </w:p>
    <w:p w14:paraId="36FD6B28" w14:textId="77777777" w:rsidR="00CA6B6A" w:rsidRPr="009645E2" w:rsidRDefault="00CA6B6A" w:rsidP="00CA6B6A">
      <w:pPr>
        <w:rPr>
          <w:i/>
          <w:vanish/>
        </w:rPr>
      </w:pPr>
      <w:r w:rsidRPr="009645E2">
        <w:rPr>
          <w:i/>
        </w:rPr>
        <w:fldChar w:fldCharType="begin"/>
      </w:r>
      <w:r w:rsidRPr="009645E2">
        <w:rPr>
          <w:i/>
        </w:rPr>
        <w:instrText xml:space="preserve"> TC"(</w:instrText>
      </w:r>
      <w:bookmarkStart w:id="2" w:name="DocNumber"/>
      <w:r w:rsidRPr="009645E2">
        <w:rPr>
          <w:i/>
        </w:rPr>
        <w:instrText>A10-0011/2026</w:instrText>
      </w:r>
      <w:bookmarkEnd w:id="2"/>
      <w:r w:rsidRPr="009645E2">
        <w:rPr>
          <w:i/>
        </w:rPr>
        <w:instrText xml:space="preserve"> - Izvjestiteljica: Veronika </w:instrText>
      </w:r>
      <w:proofErr w:type="spellStart"/>
      <w:r w:rsidRPr="009645E2">
        <w:rPr>
          <w:i/>
        </w:rPr>
        <w:instrText>Cifrová</w:instrText>
      </w:r>
      <w:proofErr w:type="spellEnd"/>
      <w:r w:rsidRPr="009645E2">
        <w:rPr>
          <w:i/>
        </w:rPr>
        <w:instrText xml:space="preserve"> </w:instrText>
      </w:r>
      <w:proofErr w:type="spellStart"/>
      <w:r w:rsidRPr="009645E2">
        <w:rPr>
          <w:i/>
        </w:rPr>
        <w:instrText>Ostrihoňová</w:instrText>
      </w:r>
      <w:proofErr w:type="spellEnd"/>
      <w:r w:rsidRPr="009645E2">
        <w:rPr>
          <w:i/>
        </w:rPr>
        <w:instrText xml:space="preserve">)"\l3 \n&gt; \* MERGEFORMAT </w:instrText>
      </w:r>
      <w:r w:rsidRPr="009645E2">
        <w:rPr>
          <w:i/>
        </w:rPr>
        <w:fldChar w:fldCharType="end"/>
      </w:r>
    </w:p>
    <w:p w14:paraId="33049CC6" w14:textId="77777777" w:rsidR="00CA6B6A" w:rsidRPr="009645E2" w:rsidRDefault="00CA6B6A" w:rsidP="00CA6B6A">
      <w:pPr>
        <w:rPr>
          <w:vanish/>
        </w:rPr>
      </w:pPr>
      <w:bookmarkStart w:id="3" w:name="Commission"/>
      <w:r w:rsidRPr="009645E2">
        <w:rPr>
          <w:vanish/>
        </w:rPr>
        <w:t>Odbor za građanske slobode, pravosuđe i unutarnje poslove</w:t>
      </w:r>
      <w:bookmarkEnd w:id="3"/>
    </w:p>
    <w:p w14:paraId="52FF1718" w14:textId="77777777" w:rsidR="00CA6B6A" w:rsidRPr="009645E2" w:rsidRDefault="00CA6B6A" w:rsidP="00CA6B6A">
      <w:pPr>
        <w:rPr>
          <w:vanish/>
        </w:rPr>
      </w:pPr>
      <w:bookmarkStart w:id="4" w:name="PE"/>
      <w:r w:rsidRPr="009645E2">
        <w:rPr>
          <w:vanish/>
        </w:rPr>
        <w:t>PE778.284</w:t>
      </w:r>
      <w:bookmarkEnd w:id="4"/>
    </w:p>
    <w:p w14:paraId="1F25D248" w14:textId="102EB9A0" w:rsidR="00CA6B6A" w:rsidRPr="009645E2" w:rsidRDefault="00CA6B6A" w:rsidP="00CA6B6A">
      <w:pPr>
        <w:pStyle w:val="ATHeading3"/>
      </w:pPr>
      <w:bookmarkStart w:id="5" w:name="Sujet"/>
      <w:r w:rsidRPr="009645E2">
        <w:t xml:space="preserve">Rezolucija Europskog parlamenta od </w:t>
      </w:r>
      <w:r w:rsidR="009645E2">
        <w:t>10</w:t>
      </w:r>
      <w:r w:rsidRPr="009645E2">
        <w:t xml:space="preserve">. </w:t>
      </w:r>
      <w:r w:rsidR="009645E2">
        <w:t xml:space="preserve">ožujka </w:t>
      </w:r>
      <w:r w:rsidRPr="009645E2">
        <w:t>2026. o javnom pristupu dokumentima – izvješće za razdoblje 2022. – 2024.</w:t>
      </w:r>
      <w:bookmarkEnd w:id="5"/>
      <w:r w:rsidRPr="009645E2">
        <w:t xml:space="preserve"> </w:t>
      </w:r>
      <w:bookmarkStart w:id="6" w:name="References"/>
      <w:r w:rsidRPr="009645E2">
        <w:t>(2025/2137(INI))</w:t>
      </w:r>
      <w:bookmarkEnd w:id="6"/>
    </w:p>
    <w:p w14:paraId="4122BE32" w14:textId="77777777" w:rsidR="009A56B6" w:rsidRPr="009645E2" w:rsidRDefault="009A56B6" w:rsidP="009645E2">
      <w:pPr>
        <w:pStyle w:val="Normal12"/>
        <w:spacing w:before="480"/>
        <w:rPr>
          <w:i/>
          <w:iCs/>
        </w:rPr>
      </w:pPr>
      <w:r w:rsidRPr="009645E2">
        <w:rPr>
          <w:i/>
          <w:iCs/>
        </w:rPr>
        <w:t>Europski parlament,</w:t>
      </w:r>
    </w:p>
    <w:p w14:paraId="6CE7517D" w14:textId="77777777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Ugovor o Europskoj uniji (UEU), a posebno njegove članke 1., 9., 10., 11. i 16.,</w:t>
      </w:r>
    </w:p>
    <w:p w14:paraId="012E13A3" w14:textId="77777777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Ugovor o funkcioniranju Europske unije (UFEU), a posebno njegov članak 15.,</w:t>
      </w:r>
    </w:p>
    <w:p w14:paraId="5FB404FE" w14:textId="77777777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Povelju Europske unije o temeljnim pravima (Povelja), a posebno njezine članke 41. i 42.,</w:t>
      </w:r>
    </w:p>
    <w:p w14:paraId="183067A2" w14:textId="4E7D878D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Uredbu (EZ) br. 1049/2001 Europskog parlamenta i Vijeća od 30. svibnja 2001. o javnom pristupu dokumentima Europskog parlamenta, Vijeća i Komisije</w:t>
      </w:r>
      <w:r w:rsidR="009B2756">
        <w:rPr>
          <w:rStyle w:val="FootnoteReference"/>
        </w:rPr>
        <w:footnoteReference w:id="1"/>
      </w:r>
      <w:r w:rsidRPr="009645E2">
        <w:t>,</w:t>
      </w:r>
    </w:p>
    <w:p w14:paraId="14046B40" w14:textId="517C50F5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 xml:space="preserve">uzimajući u obzir Uredbu (EZ) br. 1367/2006 Europskog parlamenta i Vijeća od 6. rujna 2006. o primjeni odredaba </w:t>
      </w:r>
      <w:proofErr w:type="spellStart"/>
      <w:r w:rsidRPr="009645E2">
        <w:t>Aarhuške</w:t>
      </w:r>
      <w:proofErr w:type="spellEnd"/>
      <w:r w:rsidRPr="009645E2">
        <w:t xml:space="preserve"> konvencije o pristupu informacijama, sudjelovanju javnosti u odlučivanju i pristupu pravosuđu u pitanjima okoliša na institucije i tijela Zajednice</w:t>
      </w:r>
      <w:r w:rsidR="009B2756">
        <w:rPr>
          <w:rStyle w:val="FootnoteReference"/>
        </w:rPr>
        <w:footnoteReference w:id="2"/>
      </w:r>
      <w:r w:rsidRPr="009645E2">
        <w:t>,</w:t>
      </w:r>
    </w:p>
    <w:p w14:paraId="08932EF9" w14:textId="77777777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Prijedlog uredbe Europskog parlamenta i Vijeća o javnom pristupu dokumentima Europskog parlamenta, Vijeća i Komisije, koji je donijela Komisija 30. travnja 2008. (COM(2008)0229),</w:t>
      </w:r>
    </w:p>
    <w:p w14:paraId="117DCD31" w14:textId="77777777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Prijedlog uredbe Europskog parlamenta i Vijeća o izmjeni Uredbe (EZ) br. 1049/2001 o javnom pristupu dokumentima Europskog parlamenta, Vijeća i Komisije, koji je donijela Komisija 21. ožujka 2011. (COM(2011)0137),</w:t>
      </w:r>
    </w:p>
    <w:p w14:paraId="22359643" w14:textId="14DB14F9" w:rsidR="009A56B6" w:rsidRPr="009645E2" w:rsidRDefault="009A56B6" w:rsidP="009A56B6">
      <w:pPr>
        <w:pStyle w:val="NormalHanging"/>
      </w:pPr>
      <w:r w:rsidRPr="009645E2">
        <w:lastRenderedPageBreak/>
        <w:t>–</w:t>
      </w:r>
      <w:r w:rsidRPr="009645E2">
        <w:tab/>
        <w:t>uzimajući u obzir svoje stajalište u prvom čitanju od 15. prosinca 2011. o Prijedlogu uredbe Europskog parlamenta i Vijeća o javnom pristupu dokumentima Europskog parlamenta, Vijeća i Komisije</w:t>
      </w:r>
      <w:r w:rsidR="009B2756">
        <w:rPr>
          <w:rStyle w:val="FootnoteReference"/>
        </w:rPr>
        <w:footnoteReference w:id="3"/>
      </w:r>
      <w:r w:rsidRPr="009645E2">
        <w:t>,</w:t>
      </w:r>
    </w:p>
    <w:p w14:paraId="7CD24A6C" w14:textId="77777777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komunikaciju Komisije od 11. veljače 2025. naslovljenu „Program rada Komisije za 2025.” (COM(2025)0045) i njezine priloge te iskazanu namjeru povlačenja prijedloga COM(2011)0137 i COM(2008)0229 o izmjeni Uredbe (EZ) br. 1049/2001 o javnom pristupu dokumentima Europskog parlamenta, Vijeća i Komisije,</w:t>
      </w:r>
    </w:p>
    <w:p w14:paraId="2A7E1961" w14:textId="06F04125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Odluku Komisije (EU) 2024/3080 оd 4. prosinca 2024. o utvrđivanju Poslovnika Komisije i izmjeni Odluke C(2000) 3614</w:t>
      </w:r>
      <w:r w:rsidR="009B2756">
        <w:rPr>
          <w:rStyle w:val="FootnoteReference"/>
        </w:rPr>
        <w:footnoteReference w:id="4"/>
      </w:r>
      <w:r w:rsidRPr="009645E2">
        <w:t>,</w:t>
      </w:r>
    </w:p>
    <w:p w14:paraId="42A079BA" w14:textId="6EB7CD84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svoju rezoluciju od 14. rujna 2017. o transparentnosti, odgovornosti i integritetu u institucijama EU-a</w:t>
      </w:r>
      <w:r w:rsidR="009B2756">
        <w:rPr>
          <w:rStyle w:val="FootnoteReference"/>
        </w:rPr>
        <w:footnoteReference w:id="5"/>
      </w:r>
      <w:r w:rsidRPr="009645E2">
        <w:t>,</w:t>
      </w:r>
    </w:p>
    <w:p w14:paraId="216AA618" w14:textId="251C0A6D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Direktivu (EU) 2019/1937 Europskog parlamenta i Vijeća od 23. listopada 2019. o zaštiti osoba koje prijavljuju povrede prava Unije</w:t>
      </w:r>
      <w:r w:rsidR="009B2756">
        <w:rPr>
          <w:rStyle w:val="FootnoteReference"/>
        </w:rPr>
        <w:footnoteReference w:id="6"/>
      </w:r>
      <w:r w:rsidRPr="009645E2">
        <w:t>,</w:t>
      </w:r>
    </w:p>
    <w:p w14:paraId="1372B22D" w14:textId="67C53556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svoju Rezoluciju od 10. veljače 2021. o javnom pristupu dokumentima</w:t>
      </w:r>
      <w:r w:rsidR="009B2756">
        <w:rPr>
          <w:rStyle w:val="FootnoteReference"/>
        </w:rPr>
        <w:footnoteReference w:id="7"/>
      </w:r>
      <w:r w:rsidRPr="009645E2">
        <w:t>,</w:t>
      </w:r>
    </w:p>
    <w:p w14:paraId="322A1874" w14:textId="1245086D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svoju Rezoluciju od 13. srpnja 2023. o javnom pristupu dokumentima – godišnje izvješće za 2019., 2020. i 2021.</w:t>
      </w:r>
      <w:r w:rsidR="009B2756">
        <w:rPr>
          <w:rStyle w:val="FootnoteReference"/>
        </w:rPr>
        <w:footnoteReference w:id="8"/>
      </w:r>
      <w:r w:rsidRPr="009645E2">
        <w:t>,</w:t>
      </w:r>
    </w:p>
    <w:p w14:paraId="13F8E526" w14:textId="2F68A24D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svoju Rezoluciju od 14. ožujka 2024. o vremenu koje je Komisiji potrebno da obradi zahtjeve za javni pristup dokumentima</w:t>
      </w:r>
      <w:r w:rsidR="009B2756">
        <w:rPr>
          <w:rStyle w:val="FootnoteReference"/>
        </w:rPr>
        <w:footnoteReference w:id="9"/>
      </w:r>
      <w:r w:rsidRPr="009645E2">
        <w:t>,</w:t>
      </w:r>
    </w:p>
    <w:p w14:paraId="4E7B8F76" w14:textId="77777777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sudsku praksu Suda Europske unije i Europskog suda za ljudska prava,</w:t>
      </w:r>
    </w:p>
    <w:p w14:paraId="753B8598" w14:textId="751CFD2A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 xml:space="preserve">uzimajući u obzir presude Općeg suda od 17. srpnja 2024. u predmetima T-689/21, </w:t>
      </w:r>
      <w:r w:rsidRPr="009645E2">
        <w:rPr>
          <w:i/>
        </w:rPr>
        <w:t>Auken i drugi</w:t>
      </w:r>
      <w:r w:rsidRPr="009645E2">
        <w:t xml:space="preserve"> / </w:t>
      </w:r>
      <w:r w:rsidRPr="009645E2">
        <w:rPr>
          <w:i/>
        </w:rPr>
        <w:t>Komisija</w:t>
      </w:r>
      <w:r w:rsidRPr="009645E2">
        <w:t xml:space="preserve">, i T-761/21, </w:t>
      </w:r>
      <w:r w:rsidRPr="009645E2">
        <w:rPr>
          <w:i/>
        </w:rPr>
        <w:t>Courtois i drugi</w:t>
      </w:r>
      <w:r w:rsidRPr="009645E2">
        <w:t xml:space="preserve"> / </w:t>
      </w:r>
      <w:r w:rsidRPr="009645E2">
        <w:rPr>
          <w:i/>
        </w:rPr>
        <w:t>Komisija</w:t>
      </w:r>
      <w:r w:rsidR="009B2756">
        <w:rPr>
          <w:rStyle w:val="FootnoteReference"/>
        </w:rPr>
        <w:footnoteReference w:id="10"/>
      </w:r>
      <w:r w:rsidRPr="009645E2">
        <w:t>,</w:t>
      </w:r>
    </w:p>
    <w:p w14:paraId="07810F5C" w14:textId="4D0751F1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 xml:space="preserve">uzimajući u obzir presudu Općeg suda od 14. svibnja 2025. u predmetu T-36/23, </w:t>
      </w:r>
      <w:r w:rsidRPr="009645E2">
        <w:rPr>
          <w:i/>
        </w:rPr>
        <w:t>Stevi i The New York Times</w:t>
      </w:r>
      <w:r w:rsidRPr="009645E2">
        <w:t xml:space="preserve"> / </w:t>
      </w:r>
      <w:r w:rsidRPr="009645E2">
        <w:rPr>
          <w:i/>
        </w:rPr>
        <w:t>Komisija</w:t>
      </w:r>
      <w:r w:rsidR="009B2756">
        <w:rPr>
          <w:rStyle w:val="FootnoteReference"/>
        </w:rPr>
        <w:footnoteReference w:id="11"/>
      </w:r>
      <w:r w:rsidRPr="009645E2">
        <w:t>,</w:t>
      </w:r>
    </w:p>
    <w:p w14:paraId="7D36E8B3" w14:textId="2530EA15" w:rsidR="009A56B6" w:rsidRPr="009645E2" w:rsidRDefault="009A56B6" w:rsidP="009A56B6">
      <w:pPr>
        <w:pStyle w:val="NormalHanging"/>
      </w:pPr>
      <w:r w:rsidRPr="009645E2">
        <w:lastRenderedPageBreak/>
        <w:t>–</w:t>
      </w:r>
      <w:r w:rsidRPr="009645E2">
        <w:tab/>
        <w:t>uzimajući u obzir izvješća i odluke Europskog ombudsmana, osobito posebno izvješće OI/2/2022/OAM</w:t>
      </w:r>
      <w:r w:rsidR="009B2756">
        <w:rPr>
          <w:rStyle w:val="FootnoteReference"/>
        </w:rPr>
        <w:footnoteReference w:id="12"/>
      </w:r>
      <w:r w:rsidRPr="009645E2">
        <w:t xml:space="preserve"> i odluke u predmetima 1316/2021/MIG</w:t>
      </w:r>
      <w:r w:rsidR="009B2756">
        <w:rPr>
          <w:rStyle w:val="FootnoteReference"/>
        </w:rPr>
        <w:footnoteReference w:id="13"/>
      </w:r>
      <w:r w:rsidRPr="009645E2">
        <w:t xml:space="preserve"> i 1499/2021/SF</w:t>
      </w:r>
      <w:r w:rsidR="009B2756">
        <w:rPr>
          <w:rStyle w:val="FootnoteReference"/>
        </w:rPr>
        <w:footnoteReference w:id="14"/>
      </w:r>
      <w:r w:rsidRPr="009645E2">
        <w:t>,</w:t>
      </w:r>
    </w:p>
    <w:p w14:paraId="3E8A28A4" w14:textId="77777777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članak 122. stavak 7. i članak 149. Poslovnika,</w:t>
      </w:r>
    </w:p>
    <w:p w14:paraId="5546011B" w14:textId="77777777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članak 55. Poslovnika,</w:t>
      </w:r>
    </w:p>
    <w:p w14:paraId="79A5475D" w14:textId="77777777" w:rsidR="009A56B6" w:rsidRPr="009645E2" w:rsidRDefault="009A56B6" w:rsidP="009A56B6">
      <w:pPr>
        <w:pStyle w:val="NormalHanging"/>
      </w:pPr>
      <w:r w:rsidRPr="009645E2">
        <w:t>–</w:t>
      </w:r>
      <w:r w:rsidRPr="009645E2">
        <w:tab/>
        <w:t>uzimajući u obzir izvješće Odbora za građanske slobode, pravosuđe i unutarnje poslove (A10-0011/2026),</w:t>
      </w:r>
    </w:p>
    <w:p w14:paraId="54AFC3D4" w14:textId="125002A5" w:rsidR="009A56B6" w:rsidRPr="009645E2" w:rsidRDefault="009A56B6" w:rsidP="009A56B6">
      <w:pPr>
        <w:pStyle w:val="NormalHanging"/>
      </w:pPr>
      <w:r w:rsidRPr="009645E2">
        <w:t>A.</w:t>
      </w:r>
      <w:r w:rsidRPr="009645E2">
        <w:tab/>
        <w:t>budući da se Ugovorima EU-a svakom građaninu jamči pravo na demokratsko sudjelovanje i transparentno donošenje odluka, čime se od institucija, tijela, ureda i agencija EU-a zahtijeva da javnosti omoguće pristup dokumentima; budući da to temeljno pravo na pristup dokumentima, zaštićeno Ugovorima i Poveljom, omogućuje učinkovit građanski nadzor</w:t>
      </w:r>
      <w:r w:rsidR="009B2756">
        <w:rPr>
          <w:rStyle w:val="FootnoteReference"/>
        </w:rPr>
        <w:footnoteReference w:id="15"/>
      </w:r>
      <w:r w:rsidRPr="009645E2">
        <w:t xml:space="preserve"> i stoga bi se trebalo ostvarivati proaktivno;</w:t>
      </w:r>
    </w:p>
    <w:p w14:paraId="75F87E65" w14:textId="77777777" w:rsidR="009A56B6" w:rsidRPr="009645E2" w:rsidRDefault="009A56B6" w:rsidP="009A56B6">
      <w:pPr>
        <w:pStyle w:val="NormalHanging"/>
      </w:pPr>
      <w:r w:rsidRPr="009645E2">
        <w:t>B.</w:t>
      </w:r>
      <w:r w:rsidRPr="009645E2">
        <w:tab/>
        <w:t>budući da je Sud EU-a potvrdio da je javni pristup dokumentima presudan dio participativne demokracije; budući da je Sud presudio da je javni nadzor nad informacijama koji se primjenjuje u okviru zakonodavnog djelovanja preduvjet za pravilno funkcioniranje demokratske vlasti i ostvarivanje demokratskih prava; budući da je Sud EU-a također naglasio da je transparentnost svojstvena zakonodavnom postupku i da se odluke moraju donositi na što otvoreniji način te na razini što je moguće bližoj građanima;</w:t>
      </w:r>
    </w:p>
    <w:p w14:paraId="5915D57C" w14:textId="77777777" w:rsidR="009A56B6" w:rsidRPr="009645E2" w:rsidRDefault="009A56B6" w:rsidP="009A56B6">
      <w:pPr>
        <w:pStyle w:val="NormalHanging"/>
      </w:pPr>
      <w:r w:rsidRPr="009645E2">
        <w:t>C.</w:t>
      </w:r>
      <w:r w:rsidRPr="009645E2">
        <w:tab/>
        <w:t>budući da se u Uredbi (EZ) br. 1049/2001 prepoznaje posebna važnost pružanja još šireg pristupa dokumentima kad institucije EU-a djeluju u svojem zakonodavnom svojstvu te se ističe posebna potreba za osiguravanjem izravnog pristupa zakonodavnim dokumentima;</w:t>
      </w:r>
    </w:p>
    <w:p w14:paraId="35ABEC5C" w14:textId="77777777" w:rsidR="009A56B6" w:rsidRPr="009645E2" w:rsidRDefault="009A56B6" w:rsidP="009A56B6">
      <w:pPr>
        <w:pStyle w:val="NormalHanging"/>
      </w:pPr>
      <w:r w:rsidRPr="009645E2">
        <w:t>D.</w:t>
      </w:r>
      <w:r w:rsidRPr="009645E2">
        <w:tab/>
        <w:t>budući da građani legitimno očekuju transparentnost, učinkovitost i odgovornost javnih tijela, a institucije, tijela, uredi i agencije EU-a trebali bi na jasan i razumljiv način odgovoriti na ta očekivanja; budući da su otvorenost i dobro upravljanje kad je riječ o funkcioniranju EU-a i njegovu procesu donošenja odluka presudni za izgradnju povjerenja građana u EU te za osiguravanje veće legitimnosti, učinkovitosti i odgovornosti uprave; budući da načela otvorenosti i transparentnosti ne bi trebala vrijediti samo za proces donošenja odluka nego i za način sastavljanja teksta;</w:t>
      </w:r>
    </w:p>
    <w:p w14:paraId="1F9757FF" w14:textId="77777777" w:rsidR="009A56B6" w:rsidRPr="009645E2" w:rsidRDefault="009A56B6" w:rsidP="009A56B6">
      <w:pPr>
        <w:pStyle w:val="NormalHanging"/>
      </w:pPr>
      <w:r w:rsidRPr="009645E2">
        <w:lastRenderedPageBreak/>
        <w:t>E.</w:t>
      </w:r>
      <w:r w:rsidRPr="009645E2">
        <w:tab/>
        <w:t>budući da je pravovremen pristup pouzdanim i točnim informacijama ključan za zaštitu od pogrešnih informacija i učinkovitu borbu protiv širenja dezinformacija; budući da kašnjenja u odobravanju pristupa ugrožavaju taj proces;</w:t>
      </w:r>
    </w:p>
    <w:p w14:paraId="0C178B8F" w14:textId="77777777" w:rsidR="009A56B6" w:rsidRPr="009645E2" w:rsidRDefault="009A56B6" w:rsidP="009A56B6">
      <w:pPr>
        <w:pStyle w:val="NormalHanging"/>
      </w:pPr>
      <w:r w:rsidRPr="009645E2">
        <w:t>F.</w:t>
      </w:r>
      <w:r w:rsidRPr="009645E2">
        <w:tab/>
        <w:t>budući da se Unija temelji na predstavničkoj demokraciji i da njezine institucije, tijela, uredi i agencije moraju poštovati najviše standarde transparentnosti i integriteta kako bi se omogućio strog javni nadzor i svrsishodno sudjelovanje građana u dobrom upravljanju;</w:t>
      </w:r>
    </w:p>
    <w:p w14:paraId="7E51B015" w14:textId="77777777" w:rsidR="009A56B6" w:rsidRPr="009645E2" w:rsidRDefault="009A56B6" w:rsidP="009A56B6">
      <w:pPr>
        <w:pStyle w:val="NormalHanging"/>
      </w:pPr>
      <w:r w:rsidRPr="009645E2">
        <w:t>G.</w:t>
      </w:r>
      <w:r w:rsidRPr="009645E2">
        <w:tab/>
        <w:t>budući da je uloga Europskog ombudsmana od presudne važnosti za zaštitu javnog pristupa dokumentima, među ostalim na temelju preporuka iz Posebnog izvješća OI/2/2022/OAM; budući da institucije EU-a moraju osigurati da Europski ombudsman može nastaviti djelotvorno izvršavati tu ulogu;</w:t>
      </w:r>
    </w:p>
    <w:p w14:paraId="1EDD0C3E" w14:textId="77777777" w:rsidR="009A56B6" w:rsidRPr="009645E2" w:rsidRDefault="009A56B6" w:rsidP="009A56B6">
      <w:pPr>
        <w:pStyle w:val="NormalHanging"/>
      </w:pPr>
      <w:r w:rsidRPr="009645E2">
        <w:t>H.</w:t>
      </w:r>
      <w:r w:rsidRPr="009645E2">
        <w:tab/>
        <w:t>budući da su u strateškoj istrazi Europskog ombudsmana navedenoj u tom posebnom izvješću otkrivena sustavna i znatna kašnjenja Komisije, posebno pri obradi ponovnih zahtjeva (zahtjevi podnositelja da Komisija preispita svoj prvobitni odgovor) nakon prvobitnog odbijanja pristupa građana dokumentima;</w:t>
      </w:r>
    </w:p>
    <w:p w14:paraId="212B6EAE" w14:textId="77777777" w:rsidR="009A56B6" w:rsidRPr="009645E2" w:rsidRDefault="009A56B6" w:rsidP="009A56B6">
      <w:pPr>
        <w:pStyle w:val="NormalHanging"/>
      </w:pPr>
      <w:r w:rsidRPr="009645E2">
        <w:t>I.</w:t>
      </w:r>
      <w:r w:rsidRPr="009645E2">
        <w:tab/>
        <w:t>budući da je u predmetu 1499/2021/SF ombudsmanica nedvosmisleno utvrdila da je odbijanje Vijeća da omogući potpun javni pristup dokumentima povezanima sa zakonodavnim pregovorima nepravilnost u postupanju;</w:t>
      </w:r>
    </w:p>
    <w:p w14:paraId="1A41DFFB" w14:textId="77777777" w:rsidR="009A56B6" w:rsidRPr="009645E2" w:rsidRDefault="009A56B6" w:rsidP="009A56B6">
      <w:pPr>
        <w:pStyle w:val="NormalHanging"/>
      </w:pPr>
      <w:r w:rsidRPr="009645E2">
        <w:t>J.</w:t>
      </w:r>
      <w:r w:rsidRPr="009645E2">
        <w:tab/>
        <w:t>budući da nisu predviđene kazne u slučaju nepoštovanja roka od 15 dana iz članka 7. Uredbe (EZ) br. 1049/2001 za odobravanje ili odbijanje pristupa dokumentima;</w:t>
      </w:r>
    </w:p>
    <w:p w14:paraId="6C3A60B2" w14:textId="77777777" w:rsidR="009A56B6" w:rsidRPr="009645E2" w:rsidRDefault="009A56B6" w:rsidP="009A56B6">
      <w:pPr>
        <w:pStyle w:val="NormalHanging"/>
      </w:pPr>
      <w:r w:rsidRPr="009645E2">
        <w:t>K.</w:t>
      </w:r>
      <w:r w:rsidRPr="009645E2">
        <w:tab/>
        <w:t>budući da se u Uredbi (EZ) br. 1049/2001 prepoznaje važnost omogućavanja šireg pristupa dokumentima kad institucije EU-a djeluju u zakonodavnom svojstvu te se ističe potreba za osiguravanjem izravnog pristupa zakonodavnim dokumentima;</w:t>
      </w:r>
    </w:p>
    <w:p w14:paraId="169C7591" w14:textId="5648ACDB" w:rsidR="009A56B6" w:rsidRPr="009645E2" w:rsidRDefault="009A56B6" w:rsidP="009A56B6">
      <w:pPr>
        <w:pStyle w:val="NormalHanging"/>
      </w:pPr>
      <w:r w:rsidRPr="009645E2">
        <w:t>L.</w:t>
      </w:r>
      <w:r w:rsidRPr="009645E2">
        <w:tab/>
        <w:t>budući da je u svibnju 2021. jedna novinarka zatražila pristup dokumentima, uključujući tekstualne poruke između predsjednice Komisije i društva Pfizer, ali je Komisija izjavila da na temelju internih pravila o registraciji ne posjeduje te poruke; budući da je Komisija u tom slučaju postupila na zabrinjavajući način; budući da je Europski ombudsman zaključio da je odgovor Komisije činio nepravilnost u postupanju te je iznio nekoliko preporuka za daljnje praćenje tog slučaja, među ostalim o tome kako bilježiti tekstualne poruke, i preporučio ponovno pretraživanje, u skladu s obvezama u pogledu javnog pristupa na temelju Uredbe (EZ) br. 1049/2001; budući da je Opći sud 14. svibnja 2025. poništio odluku Komisije o uskraćivanju pristupa tekstualnim porukama; budući da, prema navodima Revizorskog suda, Komisija nije pružila uvjerljivo objašnjenje kojim bi se opravdalo neposjedovanje poruka</w:t>
      </w:r>
      <w:r w:rsidR="009B2756">
        <w:rPr>
          <w:rStyle w:val="FootnoteReference"/>
        </w:rPr>
        <w:footnoteReference w:id="16"/>
      </w:r>
      <w:r w:rsidRPr="009645E2">
        <w:t>;</w:t>
      </w:r>
    </w:p>
    <w:p w14:paraId="0B56FA8B" w14:textId="77777777" w:rsidR="009A56B6" w:rsidRPr="009645E2" w:rsidRDefault="009A56B6" w:rsidP="009A56B6">
      <w:pPr>
        <w:pStyle w:val="NormalHanging"/>
      </w:pPr>
      <w:r w:rsidRPr="009645E2">
        <w:t>M.</w:t>
      </w:r>
      <w:r w:rsidRPr="009645E2">
        <w:tab/>
        <w:t xml:space="preserve">budući da se, u skladu s Uredbom (EZ) br. 1049/2001, tekstualne poruke smatraju „dokumentima” ako se odnose na pitanja povezana s politikama, aktivnostima ili odlukama iz područja nadležnosti određene institucije, s obzirom na to da se „dokument” definira kao svaki sadržaj, bez obzira na medij (papirnati oblik, elektronički oblik ili zvučni, vizualni ili audiovizualni zapis); budući da to ne znači da sve razmijenjene tekstualne poruke moraju biti registrirane i dostupne, već je riječ samo </w:t>
      </w:r>
      <w:r w:rsidRPr="009645E2">
        <w:lastRenderedPageBreak/>
        <w:t>o onima koje se odnose na politike, aktivnosti ili odluke EU-a; budući da Komisija i dalje može odbiti potpun javni pristup takvim porukama ako se primjenjuje jedno od izuzeća iz Uredbe (EZ) br. 1049/2001, kao što je komercijalni interes;</w:t>
      </w:r>
    </w:p>
    <w:p w14:paraId="22D6692F" w14:textId="77777777" w:rsidR="009A56B6" w:rsidRPr="009645E2" w:rsidRDefault="009A56B6" w:rsidP="009A56B6">
      <w:pPr>
        <w:pStyle w:val="NormalHanging"/>
      </w:pPr>
      <w:r w:rsidRPr="009645E2">
        <w:t>N.</w:t>
      </w:r>
      <w:r w:rsidRPr="009645E2">
        <w:tab/>
        <w:t>budući da je Komisija 6. listopada 2025. u Službenom listu (C/2025/5423) objavila službeno povlačenje zakonodavnih prijedloga, posebno COM(2011)0137 i COM(2008)0229, čiji je cilj izmjena Uredbe (EZ) br. 1049/2001 o javnom pristupu dokumentima, s obzirom na stupanje na snagu Ugovora iz Lisabona i Povelje Europske unije o temeljnim pravima, te je pritom navela da ne postoji predvidiv sporazum nakon godina zakonodavnog zastoja od 2011.; budući da taj kontinuirani zastoj izaziva zabrinutost u pogledu toga da isključivo oslanjanje na okvir iz 2001. možda više nije dovoljno kako bi se učinkovito ojačalo pravo na javni pristup dokumentima EU-a u modernom institucijskom i tehnološkom kontekstu;</w:t>
      </w:r>
    </w:p>
    <w:p w14:paraId="168DFCE1" w14:textId="77777777" w:rsidR="009A56B6" w:rsidRPr="009645E2" w:rsidRDefault="009A56B6" w:rsidP="009A56B6">
      <w:pPr>
        <w:pStyle w:val="NormalHanging"/>
      </w:pPr>
      <w:r w:rsidRPr="009645E2">
        <w:t>O.</w:t>
      </w:r>
      <w:r w:rsidRPr="009645E2">
        <w:tab/>
        <w:t>budući da je brz napredak u razvoju tehnologija umjetne inteligencije i prilika i izazov za osiguravanje točnih i transparentnih informacija u EU-u i njegovim institucijama, tijelima, uredima i agencijama, dok sustavi umjetne inteligencije koji su primjereno osmišljeni i kojima se primjereno upravlja mogu pomoći u otkrivanju i suzbijanju pogrešnih informacija i dezinformacija te time podržati javni diskurs zasnovan na informacijama, pod uvjetom da se njihovim stavljanjem u upotrebu potpuno poštuju temeljna prava, promiče odgovornost i poštuju visoki standardi transparentnosti kako bi se održalo povjerenje javnosti i učvrstilo demokratsko upravljanje;</w:t>
      </w:r>
    </w:p>
    <w:p w14:paraId="602AFE2E" w14:textId="500F459A" w:rsidR="009A56B6" w:rsidRPr="009645E2" w:rsidRDefault="009A56B6" w:rsidP="009A56B6">
      <w:pPr>
        <w:pStyle w:val="NormalHanging"/>
      </w:pPr>
      <w:r w:rsidRPr="009645E2">
        <w:t>P.</w:t>
      </w:r>
      <w:r w:rsidRPr="009645E2">
        <w:tab/>
        <w:t>budući da je u predmetu C-588/21 P</w:t>
      </w:r>
      <w:r w:rsidR="009B2756">
        <w:rPr>
          <w:rStyle w:val="FootnoteReference"/>
        </w:rPr>
        <w:footnoteReference w:id="17"/>
      </w:r>
      <w:r w:rsidRPr="009645E2">
        <w:t>, koji se odnosi na zahtjev neprofitnih organizacija koje traže pristup tehničkim normama u području sigurnosti igračaka, Sud Europske unije smatrao da je Komisija trebala priznati prevladavajući javni interes u skladu s člankom 4. stavkom 2. Uredbe (EZ) br. 1049/2001 kojim se opravdava otkrivanje takvih usklađenih normi;</w:t>
      </w:r>
    </w:p>
    <w:p w14:paraId="6C661E9F" w14:textId="77777777" w:rsidR="009A56B6" w:rsidRPr="009645E2" w:rsidRDefault="009A56B6" w:rsidP="009A56B6">
      <w:pPr>
        <w:pStyle w:val="NormalHanging12a"/>
      </w:pPr>
      <w:r w:rsidRPr="009645E2">
        <w:t>1.</w:t>
      </w:r>
      <w:r w:rsidRPr="009645E2">
        <w:tab/>
        <w:t>izričito naglašava da su transparentnost i pristup dokumentima temeljna prava u skladu s pravom EU-a, presudna za osiguravanje transparentnog, demokratskog, odgovornog i svrsishodnog sudjelovanja građana;</w:t>
      </w:r>
    </w:p>
    <w:p w14:paraId="24B1B9E4" w14:textId="77777777" w:rsidR="009A56B6" w:rsidRPr="009645E2" w:rsidRDefault="009A56B6" w:rsidP="009A56B6">
      <w:pPr>
        <w:pStyle w:val="Normal12a"/>
      </w:pPr>
      <w:r w:rsidRPr="009645E2">
        <w:rPr>
          <w:b/>
          <w:i/>
        </w:rPr>
        <w:t>Godišnja izvješća o javnom pristupu dokumentima</w:t>
      </w:r>
    </w:p>
    <w:p w14:paraId="51352AAE" w14:textId="77777777" w:rsidR="009A56B6" w:rsidRPr="009645E2" w:rsidRDefault="009A56B6" w:rsidP="009A56B6">
      <w:pPr>
        <w:pStyle w:val="NormalHanging12a"/>
      </w:pPr>
      <w:r w:rsidRPr="009645E2">
        <w:t>2.</w:t>
      </w:r>
      <w:r w:rsidRPr="009645E2">
        <w:tab/>
        <w:t>napominje da je Komisija 2024. izmijenila svoj okvir za transparentnost donošenjem revidiranog Poslovnika, čime je pokušala pojasniti pravila o javnom pristupu dokumentima u skladu s Uredbom (EZ) br. 1049/2001; ističe da su neki dionici izrazili zabrinutost zbog revidiranih pravila, posebno u pogledu definicije onoga što se smatra „dokumentom”, dodatnih izuzeća iz obveze registracije dokumenata ili pretpostavki za uskraćivanje pristupa, usklađenosti te definicije, izuzeća i pretpostavki s ustaljenom sudskom praksom Suda Europske unije te činjenice da bi se njima ugrozila transparentnost, što bi bio korak unatrag, te bi se također ugrozila ujednačena primjena Uredbe (EZ) br. 1049/2001;</w:t>
      </w:r>
    </w:p>
    <w:p w14:paraId="7FB340A8" w14:textId="2E33A3A5" w:rsidR="009A56B6" w:rsidRPr="009645E2" w:rsidRDefault="009A56B6" w:rsidP="009A56B6">
      <w:pPr>
        <w:pStyle w:val="NormalHanging12a"/>
      </w:pPr>
      <w:r w:rsidRPr="009645E2">
        <w:t>3.</w:t>
      </w:r>
      <w:r w:rsidRPr="009645E2">
        <w:tab/>
        <w:t xml:space="preserve">primjećuje da je Komisija 2024. zaprimila 6 938 početnih zahtjeva za pristup dokumentima i 641 ponovni zahtjev, što je povećanje od 7 % u broju ponovnih zahtjeva </w:t>
      </w:r>
      <w:r w:rsidRPr="009645E2">
        <w:lastRenderedPageBreak/>
        <w:t>u odnosu na 2023. godinu</w:t>
      </w:r>
      <w:r w:rsidR="009B2756">
        <w:rPr>
          <w:rStyle w:val="FootnoteReference"/>
        </w:rPr>
        <w:footnoteReference w:id="18"/>
      </w:r>
      <w:r w:rsidRPr="009645E2">
        <w:t>; primjećuje da je Komisija 2023. zaprimila 7 274 početna zahtjeva za pristup dokumentima i 599 ponovnih zahtjeva, što je povećanje od 43 % u broju ponovnih zahtjeva odnosu na 2022. godinu</w:t>
      </w:r>
      <w:r w:rsidR="009B2756">
        <w:rPr>
          <w:rStyle w:val="FootnoteReference"/>
        </w:rPr>
        <w:footnoteReference w:id="19"/>
      </w:r>
      <w:r w:rsidRPr="009645E2">
        <w:t>; primjećuje da je Komisija 2022. zaprimila 7 410 početnih zahtjeva za pristup dokumentima i 418 ponovnih zahtjeva, što je povećanje od 17,8 % u broju ponovnih zahtjeva u odnosu na 2021. godinu</w:t>
      </w:r>
      <w:r w:rsidR="009B2756">
        <w:rPr>
          <w:rStyle w:val="FootnoteReference"/>
        </w:rPr>
        <w:footnoteReference w:id="20"/>
      </w:r>
      <w:r w:rsidRPr="009645E2">
        <w:t>;</w:t>
      </w:r>
    </w:p>
    <w:p w14:paraId="1AC45901" w14:textId="77777777" w:rsidR="009A56B6" w:rsidRPr="009645E2" w:rsidRDefault="009A56B6" w:rsidP="009A56B6">
      <w:pPr>
        <w:pStyle w:val="NormalHanging12a"/>
      </w:pPr>
      <w:r w:rsidRPr="009645E2">
        <w:t>4.</w:t>
      </w:r>
      <w:r w:rsidRPr="009645E2">
        <w:tab/>
        <w:t>ističe da je Komisija pri obradi ponovnih zahtjeva odlučila odobriti djelomičan ili potpun pristup dokumentima u 51 % slučajeva 2022., 85 % slučajeva 2023. i 60 % slučajeva 2024.; primjećuje da se broj ponovnih zahtjeva povećao, dok se broj početnih zahtjeva smanjio te prima na znanje omjer odluka poništenih u fazi ponovnog zahtjeva; ističe da to pokazuje da početni zahtjevi nisu temeljito ocijenjeni;</w:t>
      </w:r>
    </w:p>
    <w:p w14:paraId="79974B75" w14:textId="7C2760ED" w:rsidR="009A56B6" w:rsidRPr="009645E2" w:rsidRDefault="009A56B6" w:rsidP="009A56B6">
      <w:pPr>
        <w:pStyle w:val="NormalHanging12a"/>
      </w:pPr>
      <w:r w:rsidRPr="009645E2">
        <w:t>5.</w:t>
      </w:r>
      <w:r w:rsidRPr="009645E2">
        <w:tab/>
        <w:t>ističe činjenicu da je do 31. prosinca 2024. javni registar dokumenata Parlamenta sadržavao 918 803 upućivanja (porast u odnosu na 898 267 na kraju 2023.); napominje da je ukupna stopa pozitivnih odgovora ostala visoka i da je iznosila 91 %, pri čemu su zahtjevi u prosjeku obrađivani u roku od oko devet radnih dana</w:t>
      </w:r>
      <w:r w:rsidR="009B2756">
        <w:rPr>
          <w:rStyle w:val="FootnoteReference"/>
        </w:rPr>
        <w:footnoteReference w:id="21"/>
      </w:r>
      <w:r w:rsidRPr="009645E2">
        <w:t>;</w:t>
      </w:r>
    </w:p>
    <w:p w14:paraId="3C36CE60" w14:textId="77777777" w:rsidR="009A56B6" w:rsidRPr="009645E2" w:rsidRDefault="009A56B6" w:rsidP="009A56B6">
      <w:pPr>
        <w:pStyle w:val="NormalHanging12a"/>
      </w:pPr>
      <w:r w:rsidRPr="009645E2">
        <w:t>6.</w:t>
      </w:r>
      <w:r w:rsidRPr="009645E2">
        <w:tab/>
        <w:t>potvrđuje da je od svih institucija EU-a Komisija primila najviše zahtjeva za pristup dokumentima, pri čemu su njezino Glavno tajništvo i Glavna uprava za zdravlje i sigurnost hrane primili najveći broj zahtjeva;</w:t>
      </w:r>
    </w:p>
    <w:p w14:paraId="1D9810EB" w14:textId="2F633A1B" w:rsidR="009A56B6" w:rsidRPr="009645E2" w:rsidRDefault="009A56B6" w:rsidP="009A56B6">
      <w:pPr>
        <w:pStyle w:val="NormalHanging12a"/>
      </w:pPr>
      <w:r w:rsidRPr="009645E2">
        <w:t>7.</w:t>
      </w:r>
      <w:r w:rsidRPr="009645E2">
        <w:tab/>
        <w:t>primjećuje da je Komisija 2024. izdala 5 542 odgovora na početne zahtjeve i 305 odgovora na ponovne zahtjeve, a i ostale institucije EU-a ostvarile su napredak u nastojanjima da poboljšaju transparentnost: do kraja 2024. registar Vijeća sadržavao je više od 527 000 dokumenata, od kojih je više od 72 % bilo javno dostupno, te je u njemu obrađeno više od 2 800 zahtjeva za pristup, uglavnom iz civilnog društva i akademske zajednice, pri čemu je u 85 % slučajeva odobren potpun ili djelomičan pristup</w:t>
      </w:r>
      <w:r w:rsidR="009B2756">
        <w:rPr>
          <w:rStyle w:val="FootnoteReference"/>
        </w:rPr>
        <w:footnoteReference w:id="22"/>
      </w:r>
      <w:r w:rsidRPr="009645E2">
        <w:t>;</w:t>
      </w:r>
    </w:p>
    <w:p w14:paraId="6DCDCB41" w14:textId="77777777" w:rsidR="009A56B6" w:rsidRPr="009645E2" w:rsidRDefault="009A56B6" w:rsidP="009A56B6">
      <w:pPr>
        <w:pStyle w:val="NormalHanging12a"/>
      </w:pPr>
      <w:r w:rsidRPr="009645E2">
        <w:t>8.</w:t>
      </w:r>
      <w:r w:rsidRPr="009645E2">
        <w:tab/>
        <w:t>pozdravlja te trendove jer ističu trajnu predanost EU-a transparentnosti u kontekstu složenih pravnih i političkih izazova; napominje, međutim, da u 85 % preispitanih slučajeva Komisija nije donijela odluku u zakonskom roku i da je u 60 % slučajeva kašnjenje iznosilo više od 60 radnih dana;</w:t>
      </w:r>
    </w:p>
    <w:p w14:paraId="0AFB6C2F" w14:textId="77777777" w:rsidR="009A56B6" w:rsidRPr="009645E2" w:rsidRDefault="009A56B6" w:rsidP="009A56B6">
      <w:pPr>
        <w:pStyle w:val="Normal12a"/>
      </w:pPr>
      <w:r w:rsidRPr="009645E2">
        <w:rPr>
          <w:b/>
          <w:i/>
        </w:rPr>
        <w:t>Najnoviji razvoj događaja</w:t>
      </w:r>
    </w:p>
    <w:p w14:paraId="6A720C61" w14:textId="77777777" w:rsidR="009A56B6" w:rsidRPr="009645E2" w:rsidRDefault="009A56B6" w:rsidP="009A56B6">
      <w:pPr>
        <w:pStyle w:val="NormalHanging12a"/>
      </w:pPr>
      <w:r w:rsidRPr="009645E2">
        <w:lastRenderedPageBreak/>
        <w:t>9.</w:t>
      </w:r>
      <w:r w:rsidRPr="009645E2">
        <w:tab/>
        <w:t>naglašava da bi, u skladu s člankom 4. stavkom 6. Uredbe (EZ) br. 1049/2001, čak i ako se određene informacije moraju uskratiti na temelju opravdanih razloga, trebalo razmotriti djelomično otkrivanje, a preostali dijelovi traženog dokumenta moraju se objaviti, uzimajući u obzir prevladavajući javni interes za transparentnost i otkrivanje, što obuhvaća načela dobrog upravljanja, institucijske učinkovitosti, demokratske odgovornosti i pojačanog građanskog angažmana u procesu donošenja odluka;</w:t>
      </w:r>
    </w:p>
    <w:p w14:paraId="3451E61E" w14:textId="77777777" w:rsidR="009A56B6" w:rsidRPr="009645E2" w:rsidRDefault="009A56B6" w:rsidP="009A56B6">
      <w:pPr>
        <w:pStyle w:val="NormalHanging12a"/>
      </w:pPr>
      <w:r w:rsidRPr="009645E2">
        <w:t>10.</w:t>
      </w:r>
      <w:r w:rsidRPr="009645E2">
        <w:tab/>
        <w:t>čvrsto vjeruje da su snažna i dosljedna predanost javnom pristupu dokumentima i transparentnosti temeljni stup demokratskog sustava EU-a, čime se jača angažman i sudjelovanje građana te se doprinosi dobrom upravljačkom sustavu i dobrom financijskom upravljanju; smatra da je, s obzirom na trenutačni kontekst hibridnih prijetnji i ratovanja, važno pomoći u borbi protiv diskursa zavjere i dezinformacija te da će predanost tom cilju doprinijeti jačanju otpornosti EU-a na vanjsko upletanje i pokušaje ugrožavanja njegova integriteta;</w:t>
      </w:r>
    </w:p>
    <w:p w14:paraId="44F5D08F" w14:textId="77777777" w:rsidR="009A56B6" w:rsidRPr="009645E2" w:rsidRDefault="009A56B6" w:rsidP="009A56B6">
      <w:pPr>
        <w:pStyle w:val="NormalHanging12a"/>
      </w:pPr>
      <w:r w:rsidRPr="009645E2">
        <w:t>11.</w:t>
      </w:r>
      <w:r w:rsidRPr="009645E2">
        <w:tab/>
        <w:t>smatra da bi se primjenom proaktivnog pristupa i donošenjem bržih, manje složenih i pristupačnijih postupaka za rješavanje pritužbi na odbijanje pristupa, pomoglo u osiguravanju istinske transparentnosti, sprečavanju nepotrebnih pravnih sporova te izbjegavanju nepotrebnih troškova i opterećenja;</w:t>
      </w:r>
    </w:p>
    <w:p w14:paraId="254ED89D" w14:textId="77777777" w:rsidR="009A56B6" w:rsidRPr="009645E2" w:rsidRDefault="009A56B6" w:rsidP="009A56B6">
      <w:pPr>
        <w:pStyle w:val="NormalHanging12a"/>
      </w:pPr>
      <w:r w:rsidRPr="009645E2">
        <w:t>12.</w:t>
      </w:r>
      <w:r w:rsidRPr="009645E2">
        <w:tab/>
        <w:t>izražava zabrinutost zbog stalne prekomjerne klasifikacije službenih dokumenata u institucijama, tijelima, uredima i agencijama EU-a, što je očito kršenje načela transparentnosti; ponavlja svoj dugogodišnji poziv, kako je navedeno u njegovim prethodnim rezolucijama o javnom pristupu dokumentima, na uspostavu jasnih, dosljednih i pravno obvezujućih pravila kojima se uređuje klasifikacija i deklasifikacija dokumenata kako bi se zaštitila demokratska odgovornost;</w:t>
      </w:r>
    </w:p>
    <w:p w14:paraId="5CD8D0A1" w14:textId="77777777" w:rsidR="009A56B6" w:rsidRPr="009645E2" w:rsidRDefault="009A56B6" w:rsidP="009A56B6">
      <w:pPr>
        <w:pStyle w:val="NormalHanging12a"/>
      </w:pPr>
      <w:r w:rsidRPr="009645E2">
        <w:t>13.</w:t>
      </w:r>
      <w:r w:rsidRPr="009645E2">
        <w:tab/>
        <w:t>sa zabrinutošću ističe da se u vezi sa zahtjevima za pristup dokumentima kao česti problemi pojavljuju odluka institucija, tijela ili agencija da uskrate pristup na osnovi neutemeljenih argumenata te nedosljednost u načinu na koji institucije obrađuju slične zahtjeve za pristup dokumentima;</w:t>
      </w:r>
    </w:p>
    <w:p w14:paraId="04C8A947" w14:textId="77777777" w:rsidR="009A56B6" w:rsidRPr="009645E2" w:rsidRDefault="009A56B6" w:rsidP="009A56B6">
      <w:pPr>
        <w:pStyle w:val="NormalHanging12a"/>
      </w:pPr>
      <w:r w:rsidRPr="009645E2">
        <w:t>14.</w:t>
      </w:r>
      <w:r w:rsidRPr="009645E2">
        <w:tab/>
        <w:t>izražava zabrinutost zbog česte primjene izuzeća iz članka 4. Uredbe (EZ) br. 1049/2001 u cilju uskraćivanja potpunog pristupa dokumentima; naglašava da transparentnost i pristup dokumentima moraju ostati opće pravilo, ali se može omogućiti pozivanje na ograničen broj legitimnih izuzeća, kako su definirana u relevantnom zakonodavstvu, na primjer zbog sigurnosnih razloga, koja se moraju strogo tumačiti; podsjeća da bi, prema mišljenju Europskog ombudsmana, sva izuzeća ili ograničenja javnog pristupa dokumentima ili informacijama, uključujući zakonodavne dokumente, trebala biti iznimka i ograničena na ono što je apsolutno nužno; ponavlja da institucija, tijelo, ured ili agencija koja se poziva na jedno od izuzeća u pogledu pristupa dokumentima u skladu s ovim člankom mora provesti objektivnu i pojedinačnu procjenu svakog slučaja; poziva institucije, tijela, urede i agencije da integriraju te procjene u svoje prakse za pružanje pristupa dokumentima;</w:t>
      </w:r>
    </w:p>
    <w:p w14:paraId="2112B4C7" w14:textId="1A2F22B9" w:rsidR="009A56B6" w:rsidRPr="009645E2" w:rsidRDefault="009A56B6" w:rsidP="009A56B6">
      <w:pPr>
        <w:pStyle w:val="NormalHanging12a"/>
      </w:pPr>
      <w:r w:rsidRPr="009645E2">
        <w:t>15.</w:t>
      </w:r>
      <w:r w:rsidRPr="009645E2">
        <w:tab/>
        <w:t xml:space="preserve">poziva Komisiju da osigura transparentnost odluka koje se donose u okviru komitologije; podsjeća da je u postupku komitologije Sud Europske unije smatrao da </w:t>
      </w:r>
      <w:r w:rsidRPr="009645E2">
        <w:lastRenderedPageBreak/>
        <w:t>otkrivanje stajališta država članica samo po sebi ne ugrožava proces donošenja odluka</w:t>
      </w:r>
      <w:r w:rsidR="009B2756">
        <w:rPr>
          <w:rStyle w:val="FootnoteReference"/>
        </w:rPr>
        <w:footnoteReference w:id="23"/>
      </w:r>
      <w:r w:rsidRPr="009645E2">
        <w:t>;</w:t>
      </w:r>
    </w:p>
    <w:p w14:paraId="65AE01AB" w14:textId="51575EAD" w:rsidR="009A56B6" w:rsidRPr="009645E2" w:rsidRDefault="009A56B6" w:rsidP="009A56B6">
      <w:pPr>
        <w:pStyle w:val="NormalHanging12a"/>
      </w:pPr>
      <w:r w:rsidRPr="009645E2">
        <w:t>16.</w:t>
      </w:r>
      <w:r w:rsidRPr="009645E2">
        <w:tab/>
        <w:t>izražava zabrinutost zbog poteškoća u pristupu dokumentima nekih agencija EU-a te zbog toga što te agencije sprečavaju javni pristup dokumentima i odgovarajući nadzor; ističe potrebu za većom transparentnošću i proaktivnim pristupom dokumentima agencija EU-a; nadalje poziva agencije EU-a da provode Uredbu (EZ) br. 1049/2001 u svojim politikama pristupa dokumentima; posebno poziva Agenciju Europske unije za azil (EUAA) da Europskom parlamentu omogući pravodoban pristup svojim dokumentima, posebno informacijama i analizama o sigurnim zemljama podrijetla i sigurnim trećim zemljama, u skladu s Uredbom (E</w:t>
      </w:r>
      <w:r w:rsidR="003312B4">
        <w:t>U</w:t>
      </w:r>
      <w:r w:rsidRPr="009645E2">
        <w:t xml:space="preserve">) </w:t>
      </w:r>
      <w:r w:rsidR="003312B4" w:rsidRPr="003A0160">
        <w:t xml:space="preserve">2021/2303 </w:t>
      </w:r>
      <w:r w:rsidRPr="009645E2">
        <w:t>o Agenciji Europske unije za azil</w:t>
      </w:r>
      <w:r w:rsidR="009B2756">
        <w:rPr>
          <w:rStyle w:val="FootnoteReference"/>
        </w:rPr>
        <w:footnoteReference w:id="24"/>
      </w:r>
      <w:r w:rsidRPr="009645E2">
        <w:t>, kako bi se ojačao demokratski nadzor; poziva na to da se obveza iz članka 17. Uredbe (EZ) br. 1049/</w:t>
      </w:r>
      <w:r w:rsidR="00E03655">
        <w:t>20</w:t>
      </w:r>
      <w:r w:rsidRPr="009645E2">
        <w:t>01 u pogledu podnošenja godišnjeg izvješća o provedbi te uredbe proširi na sve ostale institucije, agencije i tijela EU-a obuhvaćene člankom 15. UFEU-a;</w:t>
      </w:r>
    </w:p>
    <w:p w14:paraId="5F82F2FB" w14:textId="77777777" w:rsidR="009A56B6" w:rsidRPr="009645E2" w:rsidRDefault="009A56B6" w:rsidP="009A56B6">
      <w:pPr>
        <w:pStyle w:val="NormalHanging12a"/>
      </w:pPr>
      <w:r w:rsidRPr="009645E2">
        <w:t>17.</w:t>
      </w:r>
      <w:r w:rsidRPr="009645E2">
        <w:tab/>
        <w:t>žali zbog toga što Komisija i Vijeće i dalje ne poduzimaju svrsishodne daljnje mjere kao odgovor na preporuke iz prijašnjih izvješća Parlamenta o pristupu dokumentima; nadalje žali zbog činjenice da institucije EU-a proaktivno ne objavljuju mnoge dokumente povezane sa zakonodavnim predmetima, čime se građanima onemogućuje da znaju koji dokumenti već postoje i čime im se uskraćuje pravo da zatraže pristup dokumentima;</w:t>
      </w:r>
    </w:p>
    <w:p w14:paraId="3DB07CAC" w14:textId="77777777" w:rsidR="009A56B6" w:rsidRPr="009645E2" w:rsidRDefault="009A56B6" w:rsidP="009A56B6">
      <w:pPr>
        <w:pStyle w:val="NormalHanging12a"/>
      </w:pPr>
      <w:r w:rsidRPr="009645E2">
        <w:t>18.</w:t>
      </w:r>
      <w:r w:rsidRPr="009645E2">
        <w:tab/>
        <w:t>žali zbog trenutačnih poteškoća u dobivanju pristupa detaljnim informacijama Komisije o uvođenju i provedbi zakonodavstva EU-a; stoga poziva Komisiju da osigura transparentnost odluka koje se donose u okviru postupaka zbog povrede prava;</w:t>
      </w:r>
    </w:p>
    <w:p w14:paraId="36ABA522" w14:textId="77777777" w:rsidR="009A56B6" w:rsidRPr="009645E2" w:rsidRDefault="009A56B6" w:rsidP="009A56B6">
      <w:pPr>
        <w:pStyle w:val="NormalHanging12a"/>
      </w:pPr>
      <w:r w:rsidRPr="009645E2">
        <w:t>19.</w:t>
      </w:r>
      <w:r w:rsidRPr="009645E2">
        <w:tab/>
        <w:t>poziva Komisiju da osigura transparentnost odluka donesenih u pogledu proračuna EU-a, posebno u pogledu financiranja država koje nisu članice EU-a te u pogledu migracija i sigurnosti, uključujući informacije o količini, svrsi i izvoru sredstava, kako bi se osiguralo da Parlament i javnost mogu obavljati nadzor nad provedbom proračuna EU-a;</w:t>
      </w:r>
    </w:p>
    <w:p w14:paraId="71EACA3D" w14:textId="77777777" w:rsidR="009A56B6" w:rsidRPr="009645E2" w:rsidRDefault="009A56B6" w:rsidP="009A56B6">
      <w:pPr>
        <w:pStyle w:val="NormalHanging12a"/>
      </w:pPr>
      <w:r w:rsidRPr="009645E2">
        <w:t>20.</w:t>
      </w:r>
      <w:r w:rsidRPr="009645E2">
        <w:tab/>
        <w:t xml:space="preserve">ponovno izražava zabrinutost zbog obrasca sustavnih kašnjenja Komisije u odgovaranju na ponovne zahtjeve koji je opisan u posebnom izvješću OI/2/2022/OAM o istrazi koju je proveo Europski ombudsman te u kojem je utvrđeno da strukturni nedostaci, nedovoljna sredstva i neučinkovita komunikacija u konačnici odvraćaju pojedince od ostvarivanja prava na pristup; žali zbog činjenice da Komisija još nije potpuno provela neke ključne preporuke Ombudsmana, posebno one koje se odnose na poštovanje rokova, niti je pokazala stvarnu obvezanost na njihovo provođenje; poziva Komisiju i Vijeće da donesu potrebne mjere kako bi se osigurala usklađenost s preporukama Ombudsmana te da riješi ključna pitanja kao što su stalna kašnjenja, nedovoljna suradnja s podnositeljima zahtjeva i neodgovarajuća transparentnost u istaknutim slučajevima; potiče Komisiju da ispravi sustavna kašnjenja pri obradi zahtjeva za javni </w:t>
      </w:r>
      <w:r w:rsidRPr="009645E2">
        <w:lastRenderedPageBreak/>
        <w:t>pristup dokumentima; smatra da bi trebalo predvidjeti moguće sankcije ili posljedice ako institucije ne odgovore na zahtjeve za pristup dokumentima;</w:t>
      </w:r>
    </w:p>
    <w:p w14:paraId="575D6B89" w14:textId="77777777" w:rsidR="009A56B6" w:rsidRPr="009645E2" w:rsidRDefault="009A56B6" w:rsidP="009A56B6">
      <w:pPr>
        <w:pStyle w:val="NormalHanging12a"/>
      </w:pPr>
      <w:r w:rsidRPr="009645E2">
        <w:t>21.</w:t>
      </w:r>
      <w:r w:rsidRPr="009645E2">
        <w:tab/>
        <w:t>žali zbog činjenice da je nekoliko zakonodavnih prijedloga koje je Komisija iznijela podneseno bez popratne procjene učinka ili bez propisno opravdanog odstupanja od obveze pružanja takve procjene; naglašava da suzakonodavci moraju biti u potpunosti obaviješteni o temeljnim dokazima kojima se podupiru zakonodavne inicijative kako bi se poštovala transparentnost zakonodavnog procesa; poziva Komisiju da osigura da svi budući zakonodavni prijedlozi budu u skladu s temeljnim pravima te da se temelje na pouzdanim i provjerljivim podacima koji jasno pokazuju njihovu nužnost, proporcionalnost, očekivanu učinkovitost i troškovnu učinkovitost te da budu popraćeni sveobuhvatnom procjenom učinka; nadalje, potiče Komisiju da osigura potpunu transparentnost pri odabiru dionika s kojima se provode savjetovanja tijekom pripreme zakonodavnih prijedloga i dovoljno vremena za šira javna savjetovanja;</w:t>
      </w:r>
    </w:p>
    <w:p w14:paraId="35F35DD5" w14:textId="77777777" w:rsidR="009A56B6" w:rsidRPr="009645E2" w:rsidRDefault="009A56B6" w:rsidP="009A56B6">
      <w:pPr>
        <w:pStyle w:val="NormalHanging12a"/>
      </w:pPr>
      <w:r w:rsidRPr="009645E2">
        <w:t>22.</w:t>
      </w:r>
      <w:r w:rsidRPr="009645E2">
        <w:tab/>
        <w:t>duboko žali zbog nedostatka transparentnosti u Vijeću, koji je i dalje aktualan; duboko žali zbog toga što nedavne analize i dalje ukazuju na nedostatak proaktivnih praksi objavljivanja i registracije; podsjeća da se u skladu s člankom 16. stavkom 8. UEU-a Vijeće sastaje javno kad raspravlja i glasuje o nacrtu zakonodavnog akta; napominje da se označivanjem većine pripremnih dokumenata u tekućim zakonodavnim postupcima oznakom „LIMITE” nerazmjerno ograničavaju prava građana na pristup zakonodavnim dokumentima; naglašava da bi se, kako bi se građanima omogućilo da u potpunosti ostvare svoje pravo na pristup dokumentima, svi izrađeni i/ili proslijeđeni zakonodavni dokumenti trebali navesti i u javnom registru prilagođenom korisnicima; apelira na Vijeće da poboljša svoja pravila i postupke u pogledu transparentnosti, uključujući dostupnost i klasifikaciju zakonodavnih dokumenata; osim toga ističe sudsku praksu Suda EU-a kojom je propisano pravo javnosti da pristupi dokumentima radnih skupina Vijeća koje djeluju u kontekstu zakonodavnog procesa; međutim, napominje da pristup ipak treba aktivno zatražiti; s ozbiljnom zabrinutošću prima na znanje zaključke o odbijanju Vijeća da odobri pristup dokumentima u okviru trijaloga, kao što su opća stajališta Vijeća, dokumenti s četiri stupca, dnevni redovi, sažeci ishoda i zapisnici s trijaloga;</w:t>
      </w:r>
    </w:p>
    <w:p w14:paraId="54637FE8" w14:textId="77777777" w:rsidR="009A56B6" w:rsidRPr="009645E2" w:rsidRDefault="009A56B6" w:rsidP="009A56B6">
      <w:pPr>
        <w:pStyle w:val="NormalHanging12a"/>
      </w:pPr>
      <w:r w:rsidRPr="009645E2">
        <w:t>23.</w:t>
      </w:r>
      <w:r w:rsidRPr="009645E2">
        <w:tab/>
        <w:t>ponavlja da Vijeće mora poštovati više standarde transparentnosti; naglašava da se međuinstitucijsko povjerenje narušava kad jedna institucija uporno odbija pružiti javni pristup dokumentima relevantnima za donošenje odluka u EU-u;</w:t>
      </w:r>
    </w:p>
    <w:p w14:paraId="082EC4B8" w14:textId="77777777" w:rsidR="009A56B6" w:rsidRPr="009645E2" w:rsidRDefault="009A56B6" w:rsidP="009A56B6">
      <w:pPr>
        <w:pStyle w:val="NormalHanging12a"/>
      </w:pPr>
      <w:r w:rsidRPr="009645E2">
        <w:t>24.</w:t>
      </w:r>
      <w:r w:rsidRPr="009645E2">
        <w:tab/>
        <w:t>naglašava da međunarodni sporazumi imaju obvezujući pravni učinak i oblikuju razvoj zakonodavstva EU-a; u skladu s tim ustraje u tome da je nužno osigurati potpunu transparentnost tijekom cijelog pregovaračkog procesa tako da se zastupnicima u Europskom parlamentu omogući pravodoban i neograničen pristup svim relevantnim dokumentima; podsjeća na to da se Europski parlament, u skladu s člankom 218. stavkom 10. UFEU-a, „odmah i u potpunosti izvješćuje o svim fazama tog postupka”.</w:t>
      </w:r>
    </w:p>
    <w:p w14:paraId="053D8DBB" w14:textId="77777777" w:rsidR="009A56B6" w:rsidRPr="009645E2" w:rsidRDefault="009A56B6" w:rsidP="009A56B6">
      <w:pPr>
        <w:pStyle w:val="NormalHanging12a"/>
      </w:pPr>
      <w:r w:rsidRPr="009645E2">
        <w:t>25.</w:t>
      </w:r>
      <w:r w:rsidRPr="009645E2">
        <w:tab/>
        <w:t xml:space="preserve">pozdravlja presudu Suda Europske unije u predmetu </w:t>
      </w:r>
      <w:r w:rsidRPr="009645E2">
        <w:rPr>
          <w:i/>
        </w:rPr>
        <w:t>Stevi i The New York Times</w:t>
      </w:r>
      <w:r w:rsidRPr="009645E2">
        <w:t xml:space="preserve"> / </w:t>
      </w:r>
      <w:r w:rsidRPr="009645E2">
        <w:rPr>
          <w:i/>
        </w:rPr>
        <w:t>Komisija</w:t>
      </w:r>
      <w:r w:rsidRPr="009645E2">
        <w:t xml:space="preserve"> kao važan doprinos onom dijelu sudske prakse kojim se potiču transparentne prakse u institucijama, tijelima, uredima i agencijama EU-a; napominje da odluka Suda Europske unije ostavlja prostora za modernizirano tumačenje Uredbe (EZ) br. 1049/2001 u svjetlu suvremenih komunikacijskih praksi i promjenjivih očekivanja u pogledu transparentnosti; podsjeća da je Sud EU-a pojasnio da se pravo na pristup dokumentima odnosi na sve relevantne formate i da se ne može zaobići internim </w:t>
      </w:r>
      <w:r w:rsidRPr="009645E2">
        <w:lastRenderedPageBreak/>
        <w:t>pravilima o registraciji niti praksama selektivnog upravljanja evidencijom; stoga poziva sve institucije, tijela, urede i agencije EU-a da proaktivno čuvaju, registriraju i čine dostupnima sve službene dokumente, u svim relevantnim formatima, koji bi primjerice mogli obuhvaćati digitalnu komunikaciju i tekstualne poruke kad se odnose na javne poslove;</w:t>
      </w:r>
    </w:p>
    <w:p w14:paraId="2572EBF8" w14:textId="77777777" w:rsidR="009A56B6" w:rsidRPr="009645E2" w:rsidRDefault="009A56B6" w:rsidP="009A56B6">
      <w:pPr>
        <w:pStyle w:val="NormalHanging12a"/>
      </w:pPr>
      <w:r w:rsidRPr="009645E2">
        <w:t>26.</w:t>
      </w:r>
      <w:r w:rsidRPr="009645E2">
        <w:tab/>
        <w:t>smatra da se zbog načina na koji je predsjednica Komisije postupila sa zahtjevom za pristup dokumentu u tom predmetu smanjilo povjerenje u Komisiju; žali zbog toga što Komisija uporno odbija objasniti zašto se traženim dokumentima ne može odobriti pristup; napominje da se u toj presudi ističe dužnost proaktivnog zadržavanja dokumentacije kako bi se osiguralo učinkovito ostvarivanje prava na pristup;</w:t>
      </w:r>
    </w:p>
    <w:p w14:paraId="44D342F0" w14:textId="77777777" w:rsidR="009A56B6" w:rsidRPr="009645E2" w:rsidRDefault="009A56B6" w:rsidP="009A56B6">
      <w:pPr>
        <w:pStyle w:val="NormalHanging12a"/>
      </w:pPr>
      <w:r w:rsidRPr="009645E2">
        <w:t>27.</w:t>
      </w:r>
      <w:r w:rsidRPr="009645E2">
        <w:tab/>
        <w:t>u tom pogledu primjećuje da je registracija određenog dokumenta posljedica njegova postojanja, a ne preduvjet za postojanje te da se Komisija ne može osloniti samo na nepostojanje registracije u svojem sustavu kako bi utvrdila da ne posjeduje tražene dokumente; čvrsto vjeruje da se gubitkom ili brisanjem dokumenta samo zbog njegova pukog proglašenja „kratkoročnim” u osnovi narušava načelo transparentnosti i dobrog upravljanja, čime se postavlja opasan presedan za buduće postupanje sa zahtjevima za pristup dokumentima;</w:t>
      </w:r>
    </w:p>
    <w:p w14:paraId="77BBD3B7" w14:textId="55252720" w:rsidR="009A56B6" w:rsidRPr="009645E2" w:rsidRDefault="009A56B6" w:rsidP="009A56B6">
      <w:pPr>
        <w:pStyle w:val="NormalHanging12a"/>
      </w:pPr>
      <w:r w:rsidRPr="009645E2">
        <w:t>28.</w:t>
      </w:r>
      <w:r w:rsidRPr="009645E2">
        <w:tab/>
        <w:t>zabrinut je zbog nedovoljne transparentnosti Komisije u pogledu objavljivanja ugovora o nabavi cjepiva protiv bolesti COVID-19; ističe da je Sud EU-a smatrao da Komisija javnosti nije omogućila dovoljno širok pristup ugovorima o kupnji cjepiva protiv bolesti COVID-19</w:t>
      </w:r>
      <w:r w:rsidR="009B2756">
        <w:rPr>
          <w:rStyle w:val="FootnoteReference"/>
        </w:rPr>
        <w:footnoteReference w:id="25"/>
      </w:r>
      <w:r w:rsidRPr="009645E2">
        <w:t>;</w:t>
      </w:r>
    </w:p>
    <w:p w14:paraId="7BB60E36" w14:textId="77777777" w:rsidR="009A56B6" w:rsidRPr="009645E2" w:rsidRDefault="009A56B6" w:rsidP="009A56B6">
      <w:pPr>
        <w:pStyle w:val="NormalHanging12a"/>
      </w:pPr>
      <w:r w:rsidRPr="009645E2">
        <w:t>29.</w:t>
      </w:r>
      <w:r w:rsidRPr="009645E2">
        <w:tab/>
        <w:t>poziva institucije, tijela, urede i agencije EU-a da provode politiku „integrirane transparentnosti” te da proaktivno objavljuju dokumente s krajnjim ciljem da se osigura da građani mogu u potpunosti ostvariti pravo na pristup dokumentima i obavljati nadzornu ulogu;</w:t>
      </w:r>
    </w:p>
    <w:p w14:paraId="124C1BD7" w14:textId="77777777" w:rsidR="009A56B6" w:rsidRPr="009645E2" w:rsidRDefault="009A56B6" w:rsidP="009A56B6">
      <w:pPr>
        <w:pStyle w:val="NormalHanging12a"/>
      </w:pPr>
      <w:r w:rsidRPr="009645E2">
        <w:t>30.</w:t>
      </w:r>
      <w:r w:rsidRPr="009645E2">
        <w:tab/>
        <w:t>potiče Komisiju da prizna da ostvarivanje prava građana na transparentnost i pristup dokumentima nije znak nepovjerenja te da bi ga stoga trebalo ograničiti ili spriječiti, već je prilika da institucije EU-a pokažu kako se donose odluke i povećaju povjerenje društva u EU;</w:t>
      </w:r>
    </w:p>
    <w:p w14:paraId="0CD4C214" w14:textId="77777777" w:rsidR="009A56B6" w:rsidRPr="009645E2" w:rsidRDefault="009A56B6" w:rsidP="009A56B6">
      <w:pPr>
        <w:pStyle w:val="NormalHanging12a"/>
      </w:pPr>
      <w:r w:rsidRPr="009645E2">
        <w:t>31.</w:t>
      </w:r>
      <w:r w:rsidRPr="009645E2">
        <w:tab/>
        <w:t>sa zabrinutošću ističe da građani trenutačno mogu osporiti odbijanje zahtjeva za pristup dokumentima ili izostanak pravodobnog odgovora u slučaju nepoštovanja rokova, i to samo podnošenjem pritužbe Europskom ombudsmanu, čije preporuke nažalost nisu pravno obvezujuće, ili pokretanjem sudskog postupka protiv određene institucije pred Sudom Europske unije, što podrazumijeva iznimno dugotrajan i skup postupak s neizvjesnim ishodom, a time se stvara nerazuman teret koji obeshrabruje građane koji žele osporiti odluku o odbijanju pristupa; ističe da vrlo visoki povezani pravni troškovi imaju odvraćajući učinak na građane i civilno društvo kad je riječ o njihovu pravu na pristup pravosuđu i na djelotvoran pravni lijek zaštićenom Poveljom;</w:t>
      </w:r>
    </w:p>
    <w:p w14:paraId="59262ADE" w14:textId="77777777" w:rsidR="009A56B6" w:rsidRPr="009645E2" w:rsidRDefault="009A56B6" w:rsidP="009A56B6">
      <w:pPr>
        <w:pStyle w:val="Normal12a"/>
      </w:pPr>
      <w:r w:rsidRPr="009645E2">
        <w:rPr>
          <w:b/>
          <w:i/>
        </w:rPr>
        <w:t>Preporuke</w:t>
      </w:r>
    </w:p>
    <w:p w14:paraId="284769EE" w14:textId="77777777" w:rsidR="009A56B6" w:rsidRPr="009645E2" w:rsidRDefault="009A56B6" w:rsidP="009A56B6">
      <w:pPr>
        <w:pStyle w:val="NormalHanging12a"/>
      </w:pPr>
      <w:r w:rsidRPr="009645E2">
        <w:t>32.</w:t>
      </w:r>
      <w:r w:rsidRPr="009645E2">
        <w:tab/>
        <w:t xml:space="preserve">prima na znanje donošenje revidiranih internih pravila Komisije o pristupu dokumentima, kao i postavljena pitanja o njihovoj usklađenosti s Poveljom, UEU-om, </w:t>
      </w:r>
      <w:r w:rsidRPr="009645E2">
        <w:lastRenderedPageBreak/>
        <w:t>UFEU-om i Uredbom (EZ) br. 1049/2001 te da su predmeti u tijeku pred Općim sudom Europske unije; potiče Komisiju da preispita svoja pravila o upravljanju evidencijom i arhivima u svjetlu relevantne sudske prakse te da ih pojasni ili prilagodi kako bi se postigla najviša razina transparentnosti u skladu sa zahtjevima i duhom članka 15. UFEU-a i Uredbe (EZ) br. 1049/2001; smatra da će to doprinijeti demokratskoj vjerodostojnosti EU-a;</w:t>
      </w:r>
    </w:p>
    <w:p w14:paraId="56B79CC9" w14:textId="77777777" w:rsidR="009A56B6" w:rsidRPr="009645E2" w:rsidRDefault="009A56B6" w:rsidP="009A56B6">
      <w:pPr>
        <w:pStyle w:val="NormalHanging12a"/>
      </w:pPr>
      <w:r w:rsidRPr="009645E2">
        <w:t>33.</w:t>
      </w:r>
      <w:r w:rsidRPr="009645E2">
        <w:tab/>
        <w:t>poziva institucije, tijela, urede i agencije EU-a da uvedu pristupačne postupke za obradu pritužbi zbog uskraćivanja pristupa i mjere kojima bi se osiguralo da građani mogu osporavati odluke kad je to potrebno; podsjeća da institucije EU-a imaju obvezu pružati individualizirane odgovore i da se ne oslanjaju isključivo na opće pretpostavke za uskraćivanje pristupa;</w:t>
      </w:r>
    </w:p>
    <w:p w14:paraId="5D06B63E" w14:textId="77777777" w:rsidR="009A56B6" w:rsidRPr="009645E2" w:rsidRDefault="009A56B6" w:rsidP="009A56B6">
      <w:pPr>
        <w:pStyle w:val="NormalHanging12a"/>
      </w:pPr>
      <w:r w:rsidRPr="009645E2">
        <w:t>34.</w:t>
      </w:r>
      <w:r w:rsidRPr="009645E2">
        <w:tab/>
        <w:t>prima na znanje da je Komisija povukla svoje prijedloge iz 2008. i 2011. za reviziju Uredbe (EZ) br. 1049/2001; žali zbog te odluke da se oni povuku nakon godina zastoja bez jasnog plana, vremenskog okvira ili smislenog savjetovanja, čime se gubi ključna prilika za modernizaciju postojećeg i zastarjelog okvira; snažno preporučuje da Komisija prouči razne nacionalne zakone i prakse u pogledu pristupa dokumentima, među ostalim u onim državama članicama u kojima postoje viši standardi transparentnosti nego na razini EU-a;</w:t>
      </w:r>
    </w:p>
    <w:p w14:paraId="658A3F97" w14:textId="77777777" w:rsidR="009A56B6" w:rsidRPr="009645E2" w:rsidRDefault="009A56B6" w:rsidP="009A56B6">
      <w:pPr>
        <w:pStyle w:val="NormalHanging12a"/>
      </w:pPr>
      <w:r w:rsidRPr="009645E2">
        <w:t>35.</w:t>
      </w:r>
      <w:r w:rsidRPr="009645E2">
        <w:tab/>
        <w:t>poziva Komisiju da podnese ažuriran i ambiciozniji prijedlog koji uključuje sudsku praksu Suda Europske unije i Europskog suda za ljudska prava, u kojemu se uzimaju u obzir preporuke Parlamenta, uključujući njegovo stajalište iz 2011. o predloženoj reviziji Uredbe (EZ) br. 1049/2001, te koji sadrži sankcije za nepoštovanje pravila o transparentnosti; nadalje poziva Komisiju da izuzeća ograniči na strogo potrebne slučajeve i da utvrdi novi ambiciozan standard EU-a za otvorenost i javni pristup dokumentima; u očekivanju ažuriranog prijedloga poziva na strogo tumačenje i dosljednu primjenu Uredbe (EZ) br. 1049/2001 u skladu s relevantnom sudskom praksom i načelom da bi trebalo osigurati najširi mogući pristup;</w:t>
      </w:r>
    </w:p>
    <w:p w14:paraId="03B6603F" w14:textId="77777777" w:rsidR="009A56B6" w:rsidRPr="009645E2" w:rsidRDefault="009A56B6" w:rsidP="009A56B6">
      <w:pPr>
        <w:pStyle w:val="NormalHanging12a"/>
      </w:pPr>
      <w:r w:rsidRPr="009645E2">
        <w:t>36.</w:t>
      </w:r>
      <w:r w:rsidRPr="009645E2">
        <w:tab/>
        <w:t>ističe da bi Europski parlament trebao pruži dobar primjer proaktivnim objavljivanjem dokumenata u skladu sa svojom ustaljenom praksom u području zakonodavne transparentnosti i proširenjem tog pristupa na dokumente povezane sa zakonodavnim spisima i radom, primjerice na dnevne redove i zapisnike sa sastanaka koordinatora te na dnevne redove sastanaka konferencije predsjednika;</w:t>
      </w:r>
    </w:p>
    <w:p w14:paraId="069702F1" w14:textId="77777777" w:rsidR="009A56B6" w:rsidRPr="009645E2" w:rsidRDefault="009A56B6" w:rsidP="009A56B6">
      <w:pPr>
        <w:pStyle w:val="NormalHanging12a"/>
      </w:pPr>
      <w:r w:rsidRPr="009645E2">
        <w:t>37.</w:t>
      </w:r>
      <w:r w:rsidRPr="009645E2">
        <w:tab/>
        <w:t>ponavlja poziv Komisiji da odmah riješi problem sustavnih kašnjenja u obradi ponovnih zahtjeva, i to usvajanjem proaktivna pristupa, poboljšanjem unutarnjih postupaka, dodjelom dostatnih ljudskih i financijskih sredstava na temelju detaljne procjene potreba te osiguravanjem pravodobne i transparentne komunikacije s podnositeljima zahtjeva kako bi se ispunile pravne obveze te poduprlo povjerenje i sudjelovanje javnosti;</w:t>
      </w:r>
    </w:p>
    <w:p w14:paraId="6A5897E9" w14:textId="77777777" w:rsidR="009A56B6" w:rsidRPr="009645E2" w:rsidRDefault="009A56B6" w:rsidP="009A56B6">
      <w:pPr>
        <w:pStyle w:val="NormalHanging12a"/>
      </w:pPr>
      <w:r w:rsidRPr="009645E2">
        <w:t>38.</w:t>
      </w:r>
      <w:r w:rsidRPr="009645E2">
        <w:tab/>
        <w:t>preporučuje da institucije, tijela, uredi i agencije EU-a na svojim internetskim stranicama objave savjete o tome koje bi informacije trebalo uvrstiti u zahtjev za pristup dokumentima u skladu s Uredbom (EZ) br. 1049/2001 kako bi se pojednostavila obrada zahtjeva;</w:t>
      </w:r>
    </w:p>
    <w:p w14:paraId="63C8C6F8" w14:textId="77777777" w:rsidR="009A56B6" w:rsidRPr="009645E2" w:rsidRDefault="009A56B6" w:rsidP="009A56B6">
      <w:pPr>
        <w:pStyle w:val="NormalHanging12a"/>
      </w:pPr>
      <w:r w:rsidRPr="009645E2">
        <w:t>39.</w:t>
      </w:r>
      <w:r w:rsidRPr="009645E2">
        <w:tab/>
        <w:t xml:space="preserve">ističe da su informacije o okolišu kojima raspolažu javna tijela od javnog interesa i da bi javnost, u skladu s Aarhuškom konvencijom, trebala imati širok pristup tim </w:t>
      </w:r>
      <w:r w:rsidRPr="009645E2">
        <w:lastRenderedPageBreak/>
        <w:t>informacijama; žali zbog činjenice da odbijanje pristupa informacijama o utjecaju emisija na okoliš, primjerice u području kemijskog onečišćenja, može negativno utjecati na javno zdravlje i zaštitu građana od opasnih tvari;</w:t>
      </w:r>
    </w:p>
    <w:p w14:paraId="28860591" w14:textId="77777777" w:rsidR="009A56B6" w:rsidRPr="009645E2" w:rsidRDefault="009A56B6" w:rsidP="009A56B6">
      <w:pPr>
        <w:pStyle w:val="NormalHanging12a"/>
      </w:pPr>
      <w:r w:rsidRPr="009645E2">
        <w:t>40.</w:t>
      </w:r>
      <w:r w:rsidRPr="009645E2">
        <w:tab/>
        <w:t>pozdravlja činjenicu da je Europski ombudsman uveo postupak brzog preispitivanja u slučajevima odbijanja zahtjeva za pristup;</w:t>
      </w:r>
    </w:p>
    <w:p w14:paraId="38904D9D" w14:textId="77777777" w:rsidR="009A56B6" w:rsidRPr="009645E2" w:rsidRDefault="009A56B6" w:rsidP="009A56B6">
      <w:pPr>
        <w:pStyle w:val="NormalHanging12a"/>
      </w:pPr>
      <w:r w:rsidRPr="009645E2">
        <w:t>41.</w:t>
      </w:r>
      <w:r w:rsidRPr="009645E2">
        <w:tab/>
        <w:t>poziva institucije, tijela, urede i agencije EU-a da razviju i ponude programe osposobljavanja za sve relevantno osoblje, posebno za ono koje se bavi dokumentima i postupcima donošenja odluka, kako bi se promicala interna kultura transparentnosti, odgovornosti i dobrog upravljanja;</w:t>
      </w:r>
    </w:p>
    <w:p w14:paraId="12FE53E2" w14:textId="77777777" w:rsidR="009A56B6" w:rsidRPr="009645E2" w:rsidRDefault="009A56B6" w:rsidP="009A56B6">
      <w:pPr>
        <w:pStyle w:val="NormalHanging12a"/>
      </w:pPr>
      <w:r w:rsidRPr="009645E2">
        <w:t>42.</w:t>
      </w:r>
      <w:r w:rsidRPr="009645E2">
        <w:tab/>
        <w:t>poziva na to da se odluke o odbijanju zahtjeva za pristup donose na temelju objektivne i pojedinačne procjene svakog slučaja, da se priopćavaju bez nepotrebne odgode i da budu popraćene konkretnim obrazloženjem, u skladu s relevantnom sudskom praksom; podsjeća sve institucije, tijela, urede i agencije EU-a da svaka odluka o uskraćivanju javnog pristupa dokumentima mora biti ograničena na ono što je apsolutno nužno i da se mora strogo protumačiti kako bi se omogućio javni nadzor i demokratska vjerodostojnost tako što će se osigurati da građani razumiju zašto im je pristup uskraćen te da po potrebi mogu iskoristiti dostupne pravne lijekove;</w:t>
      </w:r>
    </w:p>
    <w:p w14:paraId="41E4C265" w14:textId="77777777" w:rsidR="009A56B6" w:rsidRPr="009645E2" w:rsidRDefault="009A56B6" w:rsidP="009A56B6">
      <w:pPr>
        <w:pStyle w:val="NormalHanging12a"/>
      </w:pPr>
      <w:r w:rsidRPr="009645E2">
        <w:t>43.</w:t>
      </w:r>
      <w:r w:rsidRPr="009645E2">
        <w:tab/>
        <w:t>poziva na uspostavu mehanizma za neovisni nadzor u sklopu kojeg bi se redovito preispitivale prakse klasifikacije i deklasifikacije;</w:t>
      </w:r>
    </w:p>
    <w:p w14:paraId="00026680" w14:textId="06910346" w:rsidR="009A56B6" w:rsidRPr="009645E2" w:rsidRDefault="009A56B6" w:rsidP="009A56B6">
      <w:pPr>
        <w:pStyle w:val="NormalHanging12a"/>
      </w:pPr>
      <w:r w:rsidRPr="009645E2">
        <w:t>44.</w:t>
      </w:r>
      <w:r w:rsidRPr="009645E2">
        <w:tab/>
        <w:t>poziva Komisiju da bude transparentnija u pogledu ugovora s trećim stranama; poziva Komisiju da bude proaktivnija u objavljivanju što više informacija o natječajnim postupcima u skladu s prijašnjim pozivima Parlamenta</w:t>
      </w:r>
      <w:r w:rsidR="009B2756">
        <w:rPr>
          <w:rStyle w:val="FootnoteReference"/>
        </w:rPr>
        <w:footnoteReference w:id="26"/>
      </w:r>
      <w:r w:rsidRPr="009645E2">
        <w:t>;</w:t>
      </w:r>
    </w:p>
    <w:p w14:paraId="7722ECC0" w14:textId="77777777" w:rsidR="009A56B6" w:rsidRPr="009645E2" w:rsidRDefault="009A56B6" w:rsidP="009A56B6">
      <w:pPr>
        <w:pStyle w:val="NormalHanging12a"/>
      </w:pPr>
      <w:r w:rsidRPr="009645E2">
        <w:t>45.</w:t>
      </w:r>
      <w:r w:rsidRPr="009645E2">
        <w:tab/>
        <w:t>poziva institucije EU-a da osiguraju potpuno i brzo praćenje odluka koje je ombudsmanica donijela i preporuka koje je dala nakon pritužbi u vezi s odbijanjem zahtjeva za pristup dokumentima; poziva institucije, tijela, urede i agencije EU-a da uvedu brže, pristupačnije i još jednostavnije postupke za obradu pritužbi zbog odbijanja pristupa i mjere kojima bi se osiguralo da građani mogu osporavati odluke kad je to potrebno; u tom kontekstu preporučuje imenovanje viših službenika ili neovisnih stručnjaka koji će inati ovlasti da bez nepotrebnih kašnjenja preispituju žalbe u vezi sa zahtjevima za pristup dokumentima;</w:t>
      </w:r>
    </w:p>
    <w:p w14:paraId="11E1810F" w14:textId="77777777" w:rsidR="009A56B6" w:rsidRPr="009645E2" w:rsidRDefault="009A56B6" w:rsidP="009A56B6">
      <w:pPr>
        <w:pStyle w:val="NormalHanging12a"/>
      </w:pPr>
      <w:r w:rsidRPr="009645E2">
        <w:t>46.</w:t>
      </w:r>
      <w:r w:rsidRPr="009645E2">
        <w:tab/>
        <w:t>poziva na potpunu transparentnost u pogledu upotrebe sustava umjetne inteligencije u odlukama i postupcima institucija EU-a, uključujući objavljivanje detaljnih informacija o algoritmima, podacima za osposobljavanje i procjenama učinka;</w:t>
      </w:r>
    </w:p>
    <w:p w14:paraId="1320CEBB" w14:textId="77777777" w:rsidR="009A56B6" w:rsidRPr="009645E2" w:rsidRDefault="009A56B6" w:rsidP="009A56B6">
      <w:pPr>
        <w:pStyle w:val="NormalHanging12a"/>
      </w:pPr>
      <w:r w:rsidRPr="009645E2">
        <w:t>47.</w:t>
      </w:r>
      <w:r w:rsidRPr="009645E2">
        <w:tab/>
        <w:t xml:space="preserve">naglašava da građani mogu biti uskraćeni u ostvarivanju prava na traženje pristupa jer ne znaju postoje li uopće dokumenti; naglašava da je osiguravanje mogućnosti građanima da razumiju i detaljno prate zakonodavni proces te da u njemu sudjeluju pravni zahtjev utvrđen u Ugovorima i Povelji te osnovni zahtjev u pogledu demokratskog nadzora i demokracije općenito; stoga poziva na provođenje ciljanih kampanja za podizanje razine osviještenosti i informativnih kampanja na razini EU-a i </w:t>
      </w:r>
      <w:r w:rsidRPr="009645E2">
        <w:lastRenderedPageBreak/>
        <w:t>na nacionalnoj razini kako bi se građani informirali o pravima na pristup dokumentima te o alatima i postupcima koji su im dostupni za ostvarivanje tih prava;</w:t>
      </w:r>
    </w:p>
    <w:p w14:paraId="6CA78AD6" w14:textId="77777777" w:rsidR="009A56B6" w:rsidRPr="009645E2" w:rsidRDefault="009A56B6" w:rsidP="009A56B6">
      <w:pPr>
        <w:pStyle w:val="NormalHanging12a"/>
      </w:pPr>
      <w:r w:rsidRPr="009645E2">
        <w:t>48.</w:t>
      </w:r>
      <w:r w:rsidRPr="009645E2">
        <w:tab/>
        <w:t>naglašava da međunarodni sporazumi imaju obvezujući pravni učinak i da oblikuju razvoj zakonodavstva EU-a; u skladu s tim ustraje u tome da je nužno osigurati potpunu transparentnost tijekom cijelog pregovaračkog procesa tako da se Parlamentu omogući pravodoban i neograničen pristup svim relevantnim dokumentima; poziva na to da se Parlament odmah i u potpunosti informira u svim fazama tog postupka u skladu s člankom 218. stavkom 10. UFEU-a;</w:t>
      </w:r>
    </w:p>
    <w:p w14:paraId="728628B4" w14:textId="77777777" w:rsidR="009A56B6" w:rsidRPr="009645E2" w:rsidRDefault="009A56B6" w:rsidP="009A56B6">
      <w:pPr>
        <w:pStyle w:val="NormalHanging12a"/>
      </w:pPr>
      <w:r w:rsidRPr="009645E2">
        <w:t>49.</w:t>
      </w:r>
      <w:r w:rsidRPr="009645E2">
        <w:tab/>
        <w:t>potiče Vijeće da poboljša svoja pravila i postupke u području zakonodavne transparentnosti; poziva na proaktivno i pravodobno objavljivanje općih i djelomičnih stajališta Vijeća i svih pripremnih dokumenata Vijeća za zakonodavne spise, uključujući stajališta svake države članice i zapisnike sa sastanaka radnih skupina, čime bi njihovo objavljivanje postalo standardna praksa u svim fazama donošenja odluka, u skladu s načelom demokratskog sudjelovanja sadržanim u Ugovorima i Povelji;</w:t>
      </w:r>
    </w:p>
    <w:p w14:paraId="1FD47010" w14:textId="3172923A" w:rsidR="009A56B6" w:rsidRPr="009645E2" w:rsidRDefault="009A56B6" w:rsidP="009A56B6">
      <w:pPr>
        <w:pStyle w:val="NormalHanging12a"/>
      </w:pPr>
      <w:r w:rsidRPr="009645E2">
        <w:t>50.</w:t>
      </w:r>
      <w:r w:rsidRPr="009645E2">
        <w:tab/>
        <w:t>poziva institucije EU-a da u potpunosti poštuju presudu Općeg suda u predmetu T-540/15</w:t>
      </w:r>
      <w:r w:rsidR="009B2756">
        <w:rPr>
          <w:rStyle w:val="FootnoteReference"/>
        </w:rPr>
        <w:footnoteReference w:id="27"/>
      </w:r>
      <w:r w:rsidRPr="009645E2">
        <w:t xml:space="preserve"> o pristupu dokumentima s četiri stupca; nadalje poziva institucije EU-a da proaktivno objavljuju ostale dokumente u okviru trijaloga, kao što su dnevni redovi, sažeci ishoda i zapisnici s trijaloga;</w:t>
      </w:r>
    </w:p>
    <w:p w14:paraId="33DBD43B" w14:textId="77777777" w:rsidR="009A56B6" w:rsidRPr="009645E2" w:rsidRDefault="009A56B6" w:rsidP="009A56B6">
      <w:pPr>
        <w:pStyle w:val="NormalHanging12a"/>
      </w:pPr>
      <w:r w:rsidRPr="009645E2">
        <w:t>51.</w:t>
      </w:r>
      <w:r w:rsidRPr="009645E2">
        <w:tab/>
        <w:t>ističe da transparentnost mora ići ruku pod ruku s odgovornošću; poziva na uvođenje redovitih revizija koje bi provodio Europski ombudsman o usklađenosti institucija s obvezama u pogledu transparentnosti;</w:t>
      </w:r>
    </w:p>
    <w:p w14:paraId="13699AAD" w14:textId="77777777" w:rsidR="009A56B6" w:rsidRPr="009645E2" w:rsidRDefault="009A56B6" w:rsidP="009A56B6">
      <w:pPr>
        <w:pStyle w:val="NormalHanging12a"/>
      </w:pPr>
      <w:r w:rsidRPr="009645E2">
        <w:t>52.</w:t>
      </w:r>
      <w:r w:rsidRPr="009645E2">
        <w:tab/>
        <w:t>poziva na uvođenje sustava prilagođenog korisnicima na internetskoj stranici Parlamenta u okviru kojega su za svako poimenično glasovanje vidljivi tekst o kojem se glasuje i rezultati glasovanja po klubu zastupnika i po zastupniku u Europskom parlamentu, u skladu s prijašnjim pozivom Parlamenta na veću transparentnost i na uvođenje alata prilagođenih korisnicima kako bi postupci u Parlamentu bili pristupačniji građanima;</w:t>
      </w:r>
    </w:p>
    <w:p w14:paraId="555F9E03" w14:textId="77777777" w:rsidR="009A56B6" w:rsidRPr="009645E2" w:rsidRDefault="009A56B6" w:rsidP="009A56B6">
      <w:pPr>
        <w:pStyle w:val="NormalHanging12a"/>
      </w:pPr>
      <w:r w:rsidRPr="009645E2">
        <w:t>53.</w:t>
      </w:r>
      <w:r w:rsidRPr="009645E2">
        <w:tab/>
        <w:t>snažno poziva EU i države članice da primjenjuju zaključke i preporuke Odbora za praćenje usklađenosti s Aarhuškom konvencijom i Ombudsmana, uz poštovanje svojih međunarodnih obveza u okviru Aarhuške konvencije i vladavine prava;</w:t>
      </w:r>
    </w:p>
    <w:p w14:paraId="503DB7A6" w14:textId="77777777" w:rsidR="009A56B6" w:rsidRPr="009645E2" w:rsidRDefault="009A56B6" w:rsidP="009A56B6">
      <w:pPr>
        <w:pStyle w:val="NormalCenter12a"/>
      </w:pPr>
      <w:r w:rsidRPr="009645E2">
        <w:t>°</w:t>
      </w:r>
    </w:p>
    <w:p w14:paraId="6ABB3DFC" w14:textId="77777777" w:rsidR="009A56B6" w:rsidRPr="009645E2" w:rsidRDefault="009A56B6" w:rsidP="009A56B6">
      <w:pPr>
        <w:pStyle w:val="NormalCenter12a"/>
      </w:pPr>
      <w:r w:rsidRPr="009645E2">
        <w:t>°</w:t>
      </w:r>
      <w:r w:rsidRPr="009645E2">
        <w:tab/>
        <w:t>°</w:t>
      </w:r>
    </w:p>
    <w:p w14:paraId="2C45CEDB" w14:textId="65DFAE33" w:rsidR="00F27E3C" w:rsidRPr="009645E2" w:rsidRDefault="009A56B6" w:rsidP="009645E2">
      <w:pPr>
        <w:pStyle w:val="NormalHanging12a"/>
        <w:ind w:left="567" w:hanging="567"/>
      </w:pPr>
      <w:r w:rsidRPr="009645E2">
        <w:t>54.</w:t>
      </w:r>
      <w:r w:rsidRPr="009645E2">
        <w:tab/>
        <w:t>nalaže svojoj predsjednici da ovu Rezoluciju proslijedi Vijeću i Komisiji.</w:t>
      </w:r>
    </w:p>
    <w:p w14:paraId="6B26B42A" w14:textId="0CBD0818" w:rsidR="00E365E1" w:rsidRPr="009645E2" w:rsidRDefault="00E365E1" w:rsidP="00CA6B6A"/>
    <w:sectPr w:rsidR="00E365E1" w:rsidRPr="009645E2" w:rsidSect="00F27E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AC744" w14:textId="77777777" w:rsidR="00CA6B6A" w:rsidRPr="00F27E3C" w:rsidRDefault="00CA6B6A">
      <w:r w:rsidRPr="00F27E3C">
        <w:separator/>
      </w:r>
    </w:p>
  </w:endnote>
  <w:endnote w:type="continuationSeparator" w:id="0">
    <w:p w14:paraId="6DF0BE0E" w14:textId="77777777" w:rsidR="00CA6B6A" w:rsidRPr="00F27E3C" w:rsidRDefault="00CA6B6A">
      <w:r w:rsidRPr="00F27E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A5B34" w14:textId="77777777" w:rsidR="00064002" w:rsidRPr="00F27E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F023" w14:textId="77777777" w:rsidR="00064002" w:rsidRPr="00F27E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5DD3B" w14:textId="77777777" w:rsidR="00064002" w:rsidRPr="00F27E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01116" w14:textId="77777777" w:rsidR="00CA6B6A" w:rsidRPr="00F27E3C" w:rsidRDefault="00CA6B6A">
      <w:r w:rsidRPr="00F27E3C">
        <w:separator/>
      </w:r>
    </w:p>
  </w:footnote>
  <w:footnote w:type="continuationSeparator" w:id="0">
    <w:p w14:paraId="599FA11A" w14:textId="77777777" w:rsidR="00CA6B6A" w:rsidRPr="00F27E3C" w:rsidRDefault="00CA6B6A">
      <w:r w:rsidRPr="00F27E3C">
        <w:continuationSeparator/>
      </w:r>
    </w:p>
  </w:footnote>
  <w:footnote w:id="1">
    <w:p w14:paraId="4DC59E57" w14:textId="086A7F69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 xml:space="preserve">SL L 145, 31.5.2001., str. 43., ELI: </w:t>
      </w:r>
      <w:hyperlink r:id="rId1" w:tgtFrame="http://data.europa.eu/eli/reg/2001/1049/oj" w:history="1">
        <w:r w:rsidRPr="00F27E3C">
          <w:rPr>
            <w:rStyle w:val="Hyperlink"/>
            <w:sz w:val="24"/>
            <w:lang w:val="hr-HR"/>
          </w:rPr>
          <w:t>http://data.europa.eu/eli/reg/2001/1049/oj</w:t>
        </w:r>
      </w:hyperlink>
      <w:r w:rsidRPr="00F27E3C">
        <w:rPr>
          <w:sz w:val="24"/>
          <w:lang w:val="hr-HR"/>
        </w:rPr>
        <w:t>.</w:t>
      </w:r>
    </w:p>
  </w:footnote>
  <w:footnote w:id="2">
    <w:p w14:paraId="3ACC7A4B" w14:textId="4AF11C5A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SL L 264, 25.9.2006., str. </w:t>
      </w:r>
      <w:r w:rsidRPr="00F27E3C">
        <w:rPr>
          <w:sz w:val="24"/>
          <w:lang w:val="hr-HR"/>
        </w:rPr>
        <w:t xml:space="preserve">13., ELI: </w:t>
      </w:r>
      <w:hyperlink r:id="rId2" w:tgtFrame="http://data.europa.eu/eli/reg/2006/1367/oj" w:history="1">
        <w:r w:rsidRPr="00F27E3C">
          <w:rPr>
            <w:rStyle w:val="Hyperlink"/>
            <w:sz w:val="24"/>
            <w:lang w:val="hr-HR"/>
          </w:rPr>
          <w:t>http://data.europa.eu/eli/reg/2006/1367/oj</w:t>
        </w:r>
      </w:hyperlink>
      <w:r w:rsidRPr="00F27E3C">
        <w:rPr>
          <w:sz w:val="24"/>
          <w:lang w:val="hr-HR"/>
        </w:rPr>
        <w:t>.</w:t>
      </w:r>
    </w:p>
  </w:footnote>
  <w:footnote w:id="3">
    <w:p w14:paraId="06AF79AA" w14:textId="763D8355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SL C 168 E, 14.6.2013., str. 159.</w:t>
      </w:r>
    </w:p>
  </w:footnote>
  <w:footnote w:id="4">
    <w:p w14:paraId="2F23AEA8" w14:textId="24093F3A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SL L</w:t>
      </w:r>
      <w:r w:rsidR="00B71F4F">
        <w:rPr>
          <w:sz w:val="24"/>
          <w:lang w:val="hr-HR"/>
        </w:rPr>
        <w:t>,</w:t>
      </w:r>
      <w:r w:rsidRPr="00F27E3C">
        <w:rPr>
          <w:sz w:val="24"/>
          <w:lang w:val="hr-HR"/>
        </w:rPr>
        <w:t xml:space="preserve"> 2024/3080, 5.12.2024</w:t>
      </w:r>
      <w:r w:rsidR="00E03655">
        <w:rPr>
          <w:sz w:val="24"/>
          <w:lang w:val="hr-HR"/>
        </w:rPr>
        <w:t>.</w:t>
      </w:r>
      <w:r w:rsidRPr="00F27E3C">
        <w:rPr>
          <w:sz w:val="24"/>
          <w:lang w:val="hr-HR"/>
        </w:rPr>
        <w:t xml:space="preserve">, ELI: </w:t>
      </w:r>
      <w:hyperlink r:id="rId3" w:tgtFrame="http://data.europa.eu/eli/dec/2024/3080/oj" w:history="1">
        <w:r w:rsidRPr="00F27E3C">
          <w:rPr>
            <w:rStyle w:val="Hyperlink"/>
            <w:sz w:val="24"/>
            <w:lang w:val="hr-HR"/>
          </w:rPr>
          <w:t>http://data.europa.eu/eli/dec/2024/3080/oj</w:t>
        </w:r>
      </w:hyperlink>
      <w:r w:rsidRPr="00F27E3C">
        <w:rPr>
          <w:sz w:val="24"/>
          <w:lang w:val="hr-HR"/>
        </w:rPr>
        <w:t>.</w:t>
      </w:r>
    </w:p>
  </w:footnote>
  <w:footnote w:id="5">
    <w:p w14:paraId="347E5CB8" w14:textId="65BC3FA4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SL C 337, 20.9.2018., str. 120.</w:t>
      </w:r>
    </w:p>
  </w:footnote>
  <w:footnote w:id="6">
    <w:p w14:paraId="464D78B1" w14:textId="10F5E277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SL L 305, 26.11.2019., str. </w:t>
      </w:r>
      <w:r w:rsidRPr="00F27E3C">
        <w:rPr>
          <w:sz w:val="24"/>
          <w:lang w:val="hr-HR"/>
        </w:rPr>
        <w:t xml:space="preserve">17., ELI: </w:t>
      </w:r>
      <w:hyperlink r:id="rId4" w:tgtFrame="http://data.europa.eu/eli/dir/2019/1937/oj" w:history="1">
        <w:r w:rsidRPr="00F27E3C">
          <w:rPr>
            <w:rStyle w:val="Hyperlink"/>
            <w:sz w:val="24"/>
            <w:lang w:val="hr-HR"/>
          </w:rPr>
          <w:t>http://data.europa.eu/eli/dir/2019/1937/oj</w:t>
        </w:r>
      </w:hyperlink>
      <w:r w:rsidRPr="00F27E3C">
        <w:rPr>
          <w:sz w:val="24"/>
          <w:lang w:val="hr-HR"/>
        </w:rPr>
        <w:t>.</w:t>
      </w:r>
    </w:p>
  </w:footnote>
  <w:footnote w:id="7">
    <w:p w14:paraId="6FA6A999" w14:textId="64C52266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SL C 465, 17.11.2021., str. 54.</w:t>
      </w:r>
    </w:p>
  </w:footnote>
  <w:footnote w:id="8">
    <w:p w14:paraId="6DB9F6FC" w14:textId="4E31CE18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 xml:space="preserve">SL C, C/2024/4014, 17.7.2024., ELI: </w:t>
      </w:r>
      <w:hyperlink r:id="rId5" w:history="1">
        <w:r w:rsidRPr="00194C45">
          <w:rPr>
            <w:rStyle w:val="Hyperlink"/>
            <w:sz w:val="24"/>
            <w:lang w:val="hr-HR"/>
          </w:rPr>
          <w:t>http://data.europa.eu/eli/C/2024/4014/oj</w:t>
        </w:r>
      </w:hyperlink>
      <w:r w:rsidRPr="00F27E3C">
        <w:rPr>
          <w:sz w:val="24"/>
          <w:lang w:val="hr-HR"/>
        </w:rPr>
        <w:t>.</w:t>
      </w:r>
    </w:p>
  </w:footnote>
  <w:footnote w:id="9">
    <w:p w14:paraId="6FBFE2B1" w14:textId="5372946B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 xml:space="preserve">SL C, C/2024/6560, 12.11.2024., ELI: </w:t>
      </w:r>
      <w:hyperlink r:id="rId6" w:history="1">
        <w:r w:rsidRPr="00194C45">
          <w:rPr>
            <w:rStyle w:val="Hyperlink"/>
            <w:sz w:val="24"/>
            <w:lang w:val="hr-HR"/>
          </w:rPr>
          <w:t>http://data.europa.eu/eli/C/2024/6560/oj</w:t>
        </w:r>
      </w:hyperlink>
      <w:r w:rsidRPr="00F27E3C">
        <w:rPr>
          <w:sz w:val="24"/>
          <w:lang w:val="hr-HR"/>
        </w:rPr>
        <w:t>.</w:t>
      </w:r>
    </w:p>
  </w:footnote>
  <w:footnote w:id="10">
    <w:p w14:paraId="50D0CB88" w14:textId="6B10AD26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 xml:space="preserve">Presude Općeg suda od 17. srpnja 2024., </w:t>
      </w:r>
      <w:r w:rsidRPr="00F27E3C">
        <w:rPr>
          <w:i/>
          <w:sz w:val="24"/>
          <w:lang w:val="hr-HR"/>
        </w:rPr>
        <w:t>Auken i drugi</w:t>
      </w:r>
      <w:r w:rsidRPr="00F27E3C">
        <w:rPr>
          <w:sz w:val="24"/>
          <w:lang w:val="hr-HR"/>
        </w:rPr>
        <w:t xml:space="preserve"> / </w:t>
      </w:r>
      <w:r w:rsidRPr="00F27E3C">
        <w:rPr>
          <w:i/>
          <w:sz w:val="24"/>
          <w:lang w:val="hr-HR"/>
        </w:rPr>
        <w:t>Komisija</w:t>
      </w:r>
      <w:r w:rsidRPr="00F27E3C">
        <w:rPr>
          <w:sz w:val="24"/>
          <w:lang w:val="hr-HR"/>
        </w:rPr>
        <w:t xml:space="preserve">, T-689/21, ECLI:EU:T:2024:476, i </w:t>
      </w:r>
      <w:r w:rsidRPr="00F27E3C">
        <w:rPr>
          <w:i/>
          <w:sz w:val="24"/>
          <w:lang w:val="hr-HR"/>
        </w:rPr>
        <w:t>Courtois i drugi</w:t>
      </w:r>
      <w:r w:rsidRPr="00F27E3C">
        <w:rPr>
          <w:sz w:val="24"/>
          <w:lang w:val="hr-HR"/>
        </w:rPr>
        <w:t xml:space="preserve"> / </w:t>
      </w:r>
      <w:r w:rsidRPr="00F27E3C">
        <w:rPr>
          <w:i/>
          <w:sz w:val="24"/>
          <w:lang w:val="hr-HR"/>
        </w:rPr>
        <w:t>Komisija</w:t>
      </w:r>
      <w:r w:rsidRPr="00F27E3C">
        <w:rPr>
          <w:sz w:val="24"/>
          <w:lang w:val="hr-HR"/>
        </w:rPr>
        <w:t>, T-761/21, ECLI:EU:T:2024:477.</w:t>
      </w:r>
    </w:p>
  </w:footnote>
  <w:footnote w:id="11">
    <w:p w14:paraId="16155FC2" w14:textId="14769B56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 xml:space="preserve">Presuda Općeg suda od 14. svibnja 2025., </w:t>
      </w:r>
      <w:r w:rsidRPr="00F27E3C">
        <w:rPr>
          <w:i/>
          <w:sz w:val="24"/>
          <w:lang w:val="hr-HR"/>
        </w:rPr>
        <w:t>Stevi i The New York Times</w:t>
      </w:r>
      <w:r w:rsidRPr="00F27E3C">
        <w:rPr>
          <w:sz w:val="24"/>
          <w:lang w:val="hr-HR"/>
        </w:rPr>
        <w:t xml:space="preserve"> / </w:t>
      </w:r>
      <w:r w:rsidRPr="00F27E3C">
        <w:rPr>
          <w:i/>
          <w:sz w:val="24"/>
          <w:lang w:val="hr-HR"/>
        </w:rPr>
        <w:t>Komisija</w:t>
      </w:r>
      <w:r w:rsidRPr="00F27E3C">
        <w:rPr>
          <w:sz w:val="24"/>
          <w:lang w:val="hr-HR"/>
        </w:rPr>
        <w:t>, T‑36/23, ECLI:EU:T:2025:483.</w:t>
      </w:r>
    </w:p>
  </w:footnote>
  <w:footnote w:id="12">
    <w:p w14:paraId="254D7A9C" w14:textId="1C3AE904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Europski ombudsman, „Posebno izvješće Europskog ombudsmana o svojoj strateškoj istrazi o vremenu koje je Europskoj komisiji potrebno za rješavanje zahtjeva za javni pristup dokumentima (OI/2/2022/OAM)”, 21. rujna 2023.</w:t>
      </w:r>
    </w:p>
  </w:footnote>
  <w:footnote w:id="13">
    <w:p w14:paraId="4DA2D5EE" w14:textId="0A24E3CE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Odluka Europskog ombudsmana od 12. srpnja 2022. o Odluci Europske komisije o odbijanju javnog pristupa tekstualnim porukama koje su razmijenili predsjednik Komisije i glavni izvršni direktor farmaceutskog poduzeća o kupnji cjepiva protiv bolesti COVID-19 (predmet 1316/2021/MIG).</w:t>
      </w:r>
    </w:p>
  </w:footnote>
  <w:footnote w:id="14">
    <w:p w14:paraId="0CFEC74F" w14:textId="32DE8DB4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Odluka Europskog ombudsmana od 27. lipnja 2022. o odbijanju Vijeća Europske unije da omogući potpuni javni pristup dokumentima povezanima s pregovorima o nacrtu Akta o digitalnim tržištima (1499/2021/SF).</w:t>
      </w:r>
    </w:p>
  </w:footnote>
  <w:footnote w:id="15">
    <w:p w14:paraId="3ACAD4BC" w14:textId="79C3FC49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Članak 10. stavak 3. UEU-a, u vezi s uvodnom izjavom 13. Preambule te njezinim člankom 1. stavkom 2. i člankom 9., kao i članak 15. UFEU-a.</w:t>
      </w:r>
    </w:p>
  </w:footnote>
  <w:footnote w:id="16">
    <w:p w14:paraId="11F74617" w14:textId="7AD2E5EE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 xml:space="preserve">Predmet T-36/23, </w:t>
      </w:r>
      <w:r w:rsidRPr="00F27E3C">
        <w:rPr>
          <w:i/>
          <w:sz w:val="24"/>
          <w:lang w:val="hr-HR"/>
        </w:rPr>
        <w:t>Stevi i The New York Times</w:t>
      </w:r>
      <w:r w:rsidRPr="00F27E3C">
        <w:rPr>
          <w:sz w:val="24"/>
          <w:lang w:val="hr-HR"/>
        </w:rPr>
        <w:t xml:space="preserve"> / </w:t>
      </w:r>
      <w:r w:rsidRPr="00F27E3C">
        <w:rPr>
          <w:i/>
          <w:sz w:val="24"/>
          <w:lang w:val="hr-HR"/>
        </w:rPr>
        <w:t>Komisija</w:t>
      </w:r>
      <w:r w:rsidRPr="00F27E3C">
        <w:rPr>
          <w:sz w:val="24"/>
          <w:lang w:val="hr-HR"/>
        </w:rPr>
        <w:t xml:space="preserve">, priopćenje za medije: </w:t>
      </w:r>
      <w:hyperlink r:id="rId7" w:history="1">
        <w:r w:rsidRPr="009B2756">
          <w:rPr>
            <w:rStyle w:val="Hyperlink"/>
            <w:sz w:val="24"/>
            <w:lang w:val="hr-HR"/>
          </w:rPr>
          <w:t>https://curia.europa.eu/jcms/upload/docs/application/pdf/2025-05/cp250060hr.pdf</w:t>
        </w:r>
      </w:hyperlink>
      <w:r w:rsidRPr="00F27E3C">
        <w:rPr>
          <w:sz w:val="24"/>
          <w:lang w:val="hr-HR"/>
        </w:rPr>
        <w:t>.</w:t>
      </w:r>
    </w:p>
  </w:footnote>
  <w:footnote w:id="17">
    <w:p w14:paraId="0C4F0F6B" w14:textId="67CD4847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 xml:space="preserve">Presuda Suda Europske unije od 5. ožujka 2024. </w:t>
      </w:r>
      <w:r w:rsidRPr="00F27E3C">
        <w:rPr>
          <w:i/>
          <w:sz w:val="24"/>
          <w:lang w:val="hr-HR"/>
        </w:rPr>
        <w:t>Public.Resource.Org Inc., Right to Know CLG</w:t>
      </w:r>
      <w:r w:rsidRPr="00F27E3C">
        <w:rPr>
          <w:sz w:val="24"/>
          <w:lang w:val="hr-HR"/>
        </w:rPr>
        <w:t xml:space="preserve"> / </w:t>
      </w:r>
      <w:r w:rsidRPr="00F27E3C">
        <w:rPr>
          <w:i/>
          <w:sz w:val="24"/>
          <w:lang w:val="hr-HR"/>
        </w:rPr>
        <w:t>Komisija i drugi</w:t>
      </w:r>
      <w:r w:rsidRPr="00F27E3C">
        <w:rPr>
          <w:sz w:val="24"/>
          <w:lang w:val="hr-HR"/>
        </w:rPr>
        <w:t>, C-588/21 P, ECLI:EU:C:2024:201.</w:t>
      </w:r>
    </w:p>
  </w:footnote>
  <w:footnote w:id="18">
    <w:p w14:paraId="2AAF8638" w14:textId="366204A4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Izvješće Komisije od 19. svibnja 2025. o primjeni Uredbe (EZ) br. 1049/2001 o javnom pristupu dokumentima Europskog parlamenta, Vijeća i Komisije u 2024. (COM(2025)0239).</w:t>
      </w:r>
    </w:p>
  </w:footnote>
  <w:footnote w:id="19">
    <w:p w14:paraId="4E01162C" w14:textId="074093B2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Izvješće Komisije od 3. srpnja 2024. o primjeni Uredbe (EZ) br. 1049/2001 o javnom pristupu dokumentima Europskog parlamenta, Vijeća i Komisije u 2023. (COM(2024)0266).</w:t>
      </w:r>
    </w:p>
  </w:footnote>
  <w:footnote w:id="20">
    <w:p w14:paraId="1BA54423" w14:textId="30D82875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Izvješće Komisije od 13. rujna 202</w:t>
      </w:r>
      <w:r w:rsidR="003312B4">
        <w:rPr>
          <w:sz w:val="24"/>
          <w:lang w:val="hr-HR"/>
        </w:rPr>
        <w:t>3</w:t>
      </w:r>
      <w:r w:rsidRPr="00F27E3C">
        <w:rPr>
          <w:sz w:val="24"/>
          <w:lang w:val="hr-HR"/>
        </w:rPr>
        <w:t>. o primjeni Uredbe (EZ) br. 1049/2001 o javnom pristupu dokumentima Europskog parlamenta, Vijeća i Komisije u 2022. (COM(2023)0523).</w:t>
      </w:r>
    </w:p>
  </w:footnote>
  <w:footnote w:id="21">
    <w:p w14:paraId="309C6DA7" w14:textId="5D4E41F4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Europski parlament, „Javni pristup dokumentima tijekom 2024. – Godišnje izvješće Europskog parlamenta”, Glavna uprava Predsjedništva, Odjel za transparentnost, svibanj 2025.</w:t>
      </w:r>
    </w:p>
  </w:footnote>
  <w:footnote w:id="22">
    <w:p w14:paraId="719D0204" w14:textId="2E26F6CF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Izvješće Komisije od 3. srpnja 2024. o primjeni Uredbe (EZ) br. 1049/2001 o javnom pristupu dokumentima Europskog parlamenta, Vijeća i Komisije u 2023. (COM(2024)0266).</w:t>
      </w:r>
    </w:p>
  </w:footnote>
  <w:footnote w:id="23">
    <w:p w14:paraId="74EF44CB" w14:textId="34E5579F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 xml:space="preserve">Vidjeti Presudu Općeg suda od 14. lipnja 2023., </w:t>
      </w:r>
      <w:r w:rsidRPr="00F27E3C">
        <w:rPr>
          <w:i/>
          <w:sz w:val="24"/>
          <w:lang w:val="hr-HR"/>
        </w:rPr>
        <w:t>Covington &amp; Burling i Van Vooren</w:t>
      </w:r>
      <w:r w:rsidRPr="00F27E3C">
        <w:rPr>
          <w:sz w:val="24"/>
          <w:lang w:val="hr-HR"/>
        </w:rPr>
        <w:t xml:space="preserve"> / </w:t>
      </w:r>
      <w:r w:rsidRPr="00F27E3C">
        <w:rPr>
          <w:i/>
          <w:sz w:val="24"/>
          <w:lang w:val="hr-HR"/>
        </w:rPr>
        <w:t>Komisija</w:t>
      </w:r>
      <w:r w:rsidRPr="00F27E3C">
        <w:rPr>
          <w:sz w:val="24"/>
          <w:lang w:val="hr-HR"/>
        </w:rPr>
        <w:t>, T-201/21, ECLI:EU:T:2023:333.</w:t>
      </w:r>
    </w:p>
  </w:footnote>
  <w:footnote w:id="24">
    <w:p w14:paraId="0BA15CB2" w14:textId="0E01834A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 xml:space="preserve">Uredba (EU) 2021/2303 Europskog parlamenta i Vijeća od 15. prosinca 2021. o Agenciji Europske unije za azil i stavljanju izvan snage Uredbe (EU) br. 439/2010, </w:t>
      </w:r>
      <w:r>
        <w:rPr>
          <w:sz w:val="24"/>
          <w:lang w:val="hr-HR"/>
        </w:rPr>
        <w:t>(</w:t>
      </w:r>
      <w:r w:rsidRPr="00F27E3C">
        <w:rPr>
          <w:sz w:val="24"/>
          <w:lang w:val="hr-HR"/>
        </w:rPr>
        <w:t>SL L 468, 30.12.2021., str. </w:t>
      </w:r>
      <w:r w:rsidRPr="00F27E3C">
        <w:rPr>
          <w:sz w:val="24"/>
          <w:lang w:val="hr-HR"/>
        </w:rPr>
        <w:t xml:space="preserve">1., ELI: </w:t>
      </w:r>
      <w:hyperlink r:id="rId8" w:tgtFrame="http://data.europa.eu/eli/reg/2021/2303/oj" w:history="1">
        <w:r w:rsidRPr="00F27E3C">
          <w:rPr>
            <w:rStyle w:val="Hyperlink"/>
            <w:sz w:val="24"/>
            <w:lang w:val="hr-HR"/>
          </w:rPr>
          <w:t>http://data.europa.eu/eli/reg/2021/2303/oj</w:t>
        </w:r>
      </w:hyperlink>
      <w:r>
        <w:rPr>
          <w:sz w:val="24"/>
          <w:lang w:val="hr-HR"/>
        </w:rPr>
        <w:t>).</w:t>
      </w:r>
    </w:p>
  </w:footnote>
  <w:footnote w:id="25">
    <w:p w14:paraId="6416AE2F" w14:textId="7240DCC7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 xml:space="preserve">Predmeti T-689/21, </w:t>
      </w:r>
      <w:r w:rsidRPr="00F27E3C">
        <w:rPr>
          <w:i/>
          <w:sz w:val="24"/>
          <w:lang w:val="hr-HR"/>
        </w:rPr>
        <w:t>Auken i drugi</w:t>
      </w:r>
      <w:r w:rsidRPr="00F27E3C">
        <w:rPr>
          <w:sz w:val="24"/>
          <w:lang w:val="hr-HR"/>
        </w:rPr>
        <w:t xml:space="preserve"> / </w:t>
      </w:r>
      <w:r w:rsidRPr="00F27E3C">
        <w:rPr>
          <w:i/>
          <w:sz w:val="24"/>
          <w:lang w:val="hr-HR"/>
        </w:rPr>
        <w:t>Komisija</w:t>
      </w:r>
      <w:r w:rsidRPr="00F27E3C">
        <w:rPr>
          <w:sz w:val="24"/>
          <w:lang w:val="hr-HR"/>
        </w:rPr>
        <w:t xml:space="preserve">, i T-761/21, </w:t>
      </w:r>
      <w:r w:rsidRPr="00F27E3C">
        <w:rPr>
          <w:i/>
          <w:sz w:val="24"/>
          <w:lang w:val="hr-HR"/>
        </w:rPr>
        <w:t>Courtois i drugi</w:t>
      </w:r>
      <w:r w:rsidRPr="00F27E3C">
        <w:rPr>
          <w:sz w:val="24"/>
          <w:lang w:val="hr-HR"/>
        </w:rPr>
        <w:t xml:space="preserve"> / </w:t>
      </w:r>
      <w:r w:rsidRPr="00F27E3C">
        <w:rPr>
          <w:i/>
          <w:sz w:val="24"/>
          <w:lang w:val="hr-HR"/>
        </w:rPr>
        <w:t>Komisija.</w:t>
      </w:r>
    </w:p>
  </w:footnote>
  <w:footnote w:id="26">
    <w:p w14:paraId="625F8C2A" w14:textId="581EDD55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>Na primjer, u njegovoj Rezoluciji od 9. rujna 2025. o javnoj nabavi, Usvojeni tekstovi, P10_TA(2025)0174.</w:t>
      </w:r>
    </w:p>
  </w:footnote>
  <w:footnote w:id="27">
    <w:p w14:paraId="1037382B" w14:textId="7B4BDFAB" w:rsidR="009B2756" w:rsidRPr="00F27E3C" w:rsidRDefault="009B2756" w:rsidP="00F27E3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27E3C">
        <w:rPr>
          <w:sz w:val="24"/>
          <w:vertAlign w:val="superscript"/>
          <w:lang w:val="hr-HR"/>
        </w:rPr>
        <w:t xml:space="preserve"> </w:t>
      </w:r>
      <w:r w:rsidRPr="00194C45">
        <w:rPr>
          <w:sz w:val="24"/>
          <w:lang w:val="hr-HR"/>
        </w:rPr>
        <w:tab/>
      </w:r>
      <w:r w:rsidRPr="00F27E3C">
        <w:rPr>
          <w:sz w:val="24"/>
          <w:lang w:val="hr-HR"/>
        </w:rPr>
        <w:t xml:space="preserve">Presuda Općeg suda od 22. ožujka 2018., </w:t>
      </w:r>
      <w:r w:rsidRPr="00F27E3C">
        <w:rPr>
          <w:i/>
          <w:sz w:val="24"/>
          <w:lang w:val="hr-HR"/>
        </w:rPr>
        <w:t>De Capitani</w:t>
      </w:r>
      <w:r w:rsidRPr="00F27E3C">
        <w:rPr>
          <w:sz w:val="24"/>
          <w:lang w:val="hr-HR"/>
        </w:rPr>
        <w:t> / </w:t>
      </w:r>
      <w:r w:rsidRPr="00F27E3C">
        <w:rPr>
          <w:i/>
          <w:sz w:val="24"/>
          <w:lang w:val="hr-HR"/>
        </w:rPr>
        <w:t>Parlament</w:t>
      </w:r>
      <w:r w:rsidRPr="00F27E3C">
        <w:rPr>
          <w:sz w:val="24"/>
          <w:lang w:val="hr-HR"/>
        </w:rPr>
        <w:t>, T-540/15, ECLI:EU:T:2018:167.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80B6C" w14:textId="77777777" w:rsidR="00064002" w:rsidRPr="00F27E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1F866" w14:textId="77777777" w:rsidR="00064002" w:rsidRPr="00F27E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CE40E" w14:textId="77777777" w:rsidR="00064002" w:rsidRPr="00F27E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73219980">
    <w:abstractNumId w:val="9"/>
  </w:num>
  <w:num w:numId="2" w16cid:durableId="72705254">
    <w:abstractNumId w:val="9"/>
  </w:num>
  <w:num w:numId="3" w16cid:durableId="813640344">
    <w:abstractNumId w:val="7"/>
  </w:num>
  <w:num w:numId="4" w16cid:durableId="2062246979">
    <w:abstractNumId w:val="7"/>
  </w:num>
  <w:num w:numId="5" w16cid:durableId="1637447414">
    <w:abstractNumId w:val="6"/>
  </w:num>
  <w:num w:numId="6" w16cid:durableId="347561071">
    <w:abstractNumId w:val="6"/>
  </w:num>
  <w:num w:numId="7" w16cid:durableId="1655639594">
    <w:abstractNumId w:val="5"/>
  </w:num>
  <w:num w:numId="8" w16cid:durableId="1491100847">
    <w:abstractNumId w:val="5"/>
  </w:num>
  <w:num w:numId="9" w16cid:durableId="565258842">
    <w:abstractNumId w:val="4"/>
  </w:num>
  <w:num w:numId="10" w16cid:durableId="354886936">
    <w:abstractNumId w:val="4"/>
  </w:num>
  <w:num w:numId="11" w16cid:durableId="1541237174">
    <w:abstractNumId w:val="8"/>
  </w:num>
  <w:num w:numId="12" w16cid:durableId="979114253">
    <w:abstractNumId w:val="8"/>
  </w:num>
  <w:num w:numId="13" w16cid:durableId="927081926">
    <w:abstractNumId w:val="3"/>
  </w:num>
  <w:num w:numId="14" w16cid:durableId="2132279611">
    <w:abstractNumId w:val="3"/>
  </w:num>
  <w:num w:numId="15" w16cid:durableId="131295667">
    <w:abstractNumId w:val="2"/>
  </w:num>
  <w:num w:numId="16" w16cid:durableId="1962766433">
    <w:abstractNumId w:val="2"/>
  </w:num>
  <w:num w:numId="17" w16cid:durableId="742797067">
    <w:abstractNumId w:val="1"/>
  </w:num>
  <w:num w:numId="18" w16cid:durableId="2023505759">
    <w:abstractNumId w:val="1"/>
  </w:num>
  <w:num w:numId="19" w16cid:durableId="137041265">
    <w:abstractNumId w:val="0"/>
  </w:num>
  <w:num w:numId="20" w16cid:durableId="1768381867">
    <w:abstractNumId w:val="0"/>
  </w:num>
  <w:num w:numId="21" w16cid:durableId="260913311">
    <w:abstractNumId w:val="9"/>
  </w:num>
  <w:num w:numId="22" w16cid:durableId="2095517846">
    <w:abstractNumId w:val="7"/>
  </w:num>
  <w:num w:numId="23" w16cid:durableId="1527525827">
    <w:abstractNumId w:val="6"/>
  </w:num>
  <w:num w:numId="24" w16cid:durableId="1185633536">
    <w:abstractNumId w:val="5"/>
  </w:num>
  <w:num w:numId="25" w16cid:durableId="1777210893">
    <w:abstractNumId w:val="4"/>
  </w:num>
  <w:num w:numId="26" w16cid:durableId="1531990632">
    <w:abstractNumId w:val="8"/>
  </w:num>
  <w:num w:numId="27" w16cid:durableId="677853740">
    <w:abstractNumId w:val="3"/>
  </w:num>
  <w:num w:numId="28" w16cid:durableId="1018585139">
    <w:abstractNumId w:val="2"/>
  </w:num>
  <w:num w:numId="29" w16cid:durableId="736440130">
    <w:abstractNumId w:val="1"/>
  </w:num>
  <w:num w:numId="30" w16cid:durableId="900287446">
    <w:abstractNumId w:val="0"/>
  </w:num>
  <w:num w:numId="31" w16cid:durableId="2052654256">
    <w:abstractNumId w:val="9"/>
  </w:num>
  <w:num w:numId="32" w16cid:durableId="1208298309">
    <w:abstractNumId w:val="7"/>
  </w:num>
  <w:num w:numId="33" w16cid:durableId="1968852063">
    <w:abstractNumId w:val="6"/>
  </w:num>
  <w:num w:numId="34" w16cid:durableId="1152215504">
    <w:abstractNumId w:val="5"/>
  </w:num>
  <w:num w:numId="35" w16cid:durableId="2010907679">
    <w:abstractNumId w:val="4"/>
  </w:num>
  <w:num w:numId="36" w16cid:durableId="989554073">
    <w:abstractNumId w:val="8"/>
  </w:num>
  <w:num w:numId="37" w16cid:durableId="1175993094">
    <w:abstractNumId w:val="3"/>
  </w:num>
  <w:num w:numId="38" w16cid:durableId="141390465">
    <w:abstractNumId w:val="2"/>
  </w:num>
  <w:num w:numId="39" w16cid:durableId="1194000849">
    <w:abstractNumId w:val="1"/>
  </w:num>
  <w:num w:numId="40" w16cid:durableId="127434349">
    <w:abstractNumId w:val="0"/>
  </w:num>
  <w:num w:numId="41" w16cid:durableId="522015727">
    <w:abstractNumId w:val="10"/>
  </w:num>
  <w:num w:numId="42" w16cid:durableId="1477339393">
    <w:abstractNumId w:val="10"/>
  </w:num>
  <w:num w:numId="43" w16cid:durableId="2021928164">
    <w:abstractNumId w:val="10"/>
  </w:num>
  <w:num w:numId="44" w16cid:durableId="21397606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1/2026"/>
    <w:docVar w:name="dvlangue" w:val="HR"/>
    <w:docVar w:name="dvnumam" w:val="0"/>
    <w:docVar w:name="dvpe" w:val="778.284"/>
    <w:docVar w:name="dvrapporteur" w:val="Izvjestiteljica: "/>
    <w:docVar w:name="dvtitre" w:val="Rezolucija Europskog parlamenta od .... 2026. o javnom pristupu dokumentima – izvješće za razdoblje 2022. – 2024.(2025/2137(INI))"/>
  </w:docVars>
  <w:rsids>
    <w:rsidRoot w:val="00CA6B6A"/>
    <w:rsid w:val="00002272"/>
    <w:rsid w:val="00017226"/>
    <w:rsid w:val="00064002"/>
    <w:rsid w:val="000677B9"/>
    <w:rsid w:val="000831BA"/>
    <w:rsid w:val="000A42CC"/>
    <w:rsid w:val="000E7DD9"/>
    <w:rsid w:val="0010095E"/>
    <w:rsid w:val="00125B37"/>
    <w:rsid w:val="00187494"/>
    <w:rsid w:val="00194C45"/>
    <w:rsid w:val="001F32AE"/>
    <w:rsid w:val="002767FF"/>
    <w:rsid w:val="002B18FE"/>
    <w:rsid w:val="002B5493"/>
    <w:rsid w:val="003312B4"/>
    <w:rsid w:val="00343214"/>
    <w:rsid w:val="00361C00"/>
    <w:rsid w:val="00384DA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97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70B"/>
    <w:rsid w:val="00865F67"/>
    <w:rsid w:val="00881A7B"/>
    <w:rsid w:val="008840E5"/>
    <w:rsid w:val="00887B3E"/>
    <w:rsid w:val="008A2152"/>
    <w:rsid w:val="008C2AC6"/>
    <w:rsid w:val="00930C23"/>
    <w:rsid w:val="0093193B"/>
    <w:rsid w:val="009509D8"/>
    <w:rsid w:val="00950B64"/>
    <w:rsid w:val="00951653"/>
    <w:rsid w:val="009645E2"/>
    <w:rsid w:val="00981893"/>
    <w:rsid w:val="009A56B6"/>
    <w:rsid w:val="009B275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F4F"/>
    <w:rsid w:val="00B86AE8"/>
    <w:rsid w:val="00BD48FE"/>
    <w:rsid w:val="00BD7BD8"/>
    <w:rsid w:val="00BE6ADC"/>
    <w:rsid w:val="00C05BFE"/>
    <w:rsid w:val="00C23CD4"/>
    <w:rsid w:val="00C61C0C"/>
    <w:rsid w:val="00C941CB"/>
    <w:rsid w:val="00CA6B6A"/>
    <w:rsid w:val="00CC2357"/>
    <w:rsid w:val="00CF071A"/>
    <w:rsid w:val="00D058B8"/>
    <w:rsid w:val="00D43540"/>
    <w:rsid w:val="00D56C11"/>
    <w:rsid w:val="00D834A0"/>
    <w:rsid w:val="00D872DF"/>
    <w:rsid w:val="00D91E21"/>
    <w:rsid w:val="00DA7FCD"/>
    <w:rsid w:val="00E0365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E3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CB36C"/>
  <w15:chartTrackingRefBased/>
  <w15:docId w15:val="{8A228315-C722-47DA-80F4-FD96A86B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9A56B6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9A56B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9A56B6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9A56B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9A56B6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9A56B6"/>
    <w:rPr>
      <w:color w:val="0000FF"/>
      <w:u w:val="single"/>
    </w:rPr>
  </w:style>
  <w:style w:type="paragraph" w:styleId="Revision">
    <w:name w:val="Revision"/>
    <w:hidden/>
    <w:uiPriority w:val="99"/>
    <w:semiHidden/>
    <w:rsid w:val="00B86AE8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9B2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2303/oj" TargetMode="External"/><Relationship Id="rId3" Type="http://schemas.openxmlformats.org/officeDocument/2006/relationships/hyperlink" Target="http://data.europa.eu/eli/dec/2024/3080/oj" TargetMode="External"/><Relationship Id="rId7" Type="http://schemas.openxmlformats.org/officeDocument/2006/relationships/hyperlink" Target="https://curia.europa.eu/jcms/upload/docs/application/pdf/2025-05/cp250060hr.pdf" TargetMode="External"/><Relationship Id="rId2" Type="http://schemas.openxmlformats.org/officeDocument/2006/relationships/hyperlink" Target="http://data.europa.eu/eli/reg/2006/1367/oj" TargetMode="External"/><Relationship Id="rId1" Type="http://schemas.openxmlformats.org/officeDocument/2006/relationships/hyperlink" Target="http://data.europa.eu/eli/reg/2001/1049/oj" TargetMode="External"/><Relationship Id="rId6" Type="http://schemas.openxmlformats.org/officeDocument/2006/relationships/hyperlink" Target="http://data.europa.eu/eli/C/2024/6560/oj" TargetMode="External"/><Relationship Id="rId5" Type="http://schemas.openxmlformats.org/officeDocument/2006/relationships/hyperlink" Target="http://data.europa.eu/eli/C/2024/4014/oj" TargetMode="External"/><Relationship Id="rId4" Type="http://schemas.openxmlformats.org/officeDocument/2006/relationships/hyperlink" Target="http://data.europa.eu/eli/dir/2019/19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5043</Words>
  <Characters>30276</Characters>
  <Application>Microsoft Office Word</Application>
  <DocSecurity>4</DocSecurity>
  <Lines>252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ILLY_D</cp:lastModifiedBy>
  <cp:revision>2</cp:revision>
  <cp:lastPrinted>2004-11-19T15:42:00Z</cp:lastPrinted>
  <dcterms:created xsi:type="dcterms:W3CDTF">2026-06-08T15:26:00Z</dcterms:created>
  <dcterms:modified xsi:type="dcterms:W3CDTF">2026-06-08T15:26:00Z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P10_TA(2026)0065_</vt:lpwstr>
  </property>
  <property fmtid="{D5CDD505-2E9C-101B-9397-08002B2CF9AE}" pid="4" name="&lt;Type&gt;">
    <vt:lpwstr>RR</vt:lpwstr>
  </property>
</Properties>
</file>