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1B59" w14:paraId="60E2319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3FF556" w14:textId="3A9721DE" w:rsidR="00751A4A" w:rsidRPr="00361B59" w:rsidRDefault="007052C0" w:rsidP="0010095E">
            <w:pPr>
              <w:pStyle w:val="EPName"/>
            </w:pPr>
            <w:r w:rsidRPr="00361B59">
              <w:t>Európai Parlament</w:t>
            </w:r>
          </w:p>
          <w:p w14:paraId="2CB3BE9B" w14:textId="77777777" w:rsidR="00751A4A" w:rsidRPr="00361B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1B59">
              <w:t>2024</w:t>
            </w:r>
            <w:r w:rsidR="00817416" w:rsidRPr="00361B59">
              <w:t>-202</w:t>
            </w:r>
            <w:r w:rsidRPr="00361B59">
              <w:t>9</w:t>
            </w:r>
          </w:p>
        </w:tc>
        <w:tc>
          <w:tcPr>
            <w:tcW w:w="2268" w:type="dxa"/>
            <w:shd w:val="clear" w:color="auto" w:fill="auto"/>
          </w:tcPr>
          <w:p w14:paraId="06A41C66" w14:textId="77777777" w:rsidR="00751A4A" w:rsidRPr="00361B59" w:rsidRDefault="00187494" w:rsidP="0010095E">
            <w:pPr>
              <w:pStyle w:val="EPLogo"/>
            </w:pPr>
            <w:r w:rsidRPr="00361B59">
              <w:rPr>
                <w:noProof/>
                <w:lang w:eastAsia="ja-JP"/>
              </w:rPr>
              <w:drawing>
                <wp:inline distT="0" distB="0" distL="0" distR="0" wp14:anchorId="7526C24E" wp14:editId="6AF931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958B6E" w14:textId="77777777" w:rsidR="00D058B8" w:rsidRPr="00361B59" w:rsidRDefault="00D058B8" w:rsidP="004C5D52">
      <w:pPr>
        <w:pStyle w:val="LineTop"/>
      </w:pPr>
    </w:p>
    <w:p w14:paraId="6412D46C" w14:textId="04E78CC5" w:rsidR="00680577" w:rsidRPr="00361B59" w:rsidRDefault="007052C0" w:rsidP="00680577">
      <w:pPr>
        <w:pStyle w:val="EPBodyTA1"/>
      </w:pPr>
      <w:r w:rsidRPr="00361B59">
        <w:t>ELFOGADOTT SZÖVEGEK</w:t>
      </w:r>
    </w:p>
    <w:p w14:paraId="416C2ECB" w14:textId="77777777" w:rsidR="00D058B8" w:rsidRPr="00361B59" w:rsidRDefault="00D058B8" w:rsidP="00D058B8">
      <w:pPr>
        <w:pStyle w:val="LineBottom"/>
      </w:pPr>
    </w:p>
    <w:p w14:paraId="5C424AD0" w14:textId="77C87ADA" w:rsidR="007052C0" w:rsidRPr="00361B59" w:rsidRDefault="007052C0" w:rsidP="007052C0">
      <w:pPr>
        <w:pStyle w:val="ATHeading1"/>
      </w:pPr>
      <w:bookmarkStart w:id="0" w:name="TANumber"/>
      <w:r w:rsidRPr="00361B59">
        <w:t>P10_</w:t>
      </w:r>
      <w:proofErr w:type="gramStart"/>
      <w:r w:rsidRPr="00361B59">
        <w:t>TA(</w:t>
      </w:r>
      <w:proofErr w:type="gramEnd"/>
      <w:r w:rsidRPr="00361B59">
        <w:t>2026)00</w:t>
      </w:r>
      <w:r w:rsidR="00361B59" w:rsidRPr="00361B59">
        <w:t>65</w:t>
      </w:r>
      <w:bookmarkEnd w:id="0"/>
    </w:p>
    <w:p w14:paraId="64AB6E2F" w14:textId="77777777" w:rsidR="007052C0" w:rsidRPr="00361B59" w:rsidRDefault="007052C0" w:rsidP="007052C0">
      <w:pPr>
        <w:pStyle w:val="ATHeading2"/>
      </w:pPr>
      <w:bookmarkStart w:id="1" w:name="title"/>
      <w:r w:rsidRPr="00361B59">
        <w:t>A dokumentumokhoz való nyilvános hozzáférés – 2022–2024-es jelentés</w:t>
      </w:r>
      <w:bookmarkEnd w:id="1"/>
    </w:p>
    <w:p w14:paraId="30623151" w14:textId="77777777" w:rsidR="007052C0" w:rsidRPr="00361B59" w:rsidRDefault="007052C0" w:rsidP="007052C0">
      <w:pPr>
        <w:rPr>
          <w:i/>
          <w:vanish/>
        </w:rPr>
      </w:pPr>
      <w:r w:rsidRPr="00361B59">
        <w:rPr>
          <w:i/>
        </w:rPr>
        <w:fldChar w:fldCharType="begin"/>
      </w:r>
      <w:r w:rsidRPr="00361B59">
        <w:rPr>
          <w:i/>
        </w:rPr>
        <w:instrText xml:space="preserve"> TC"(</w:instrText>
      </w:r>
      <w:bookmarkStart w:id="2" w:name="DocNumber"/>
      <w:r w:rsidRPr="00361B59">
        <w:rPr>
          <w:i/>
        </w:rPr>
        <w:instrText>A10-0011/2026</w:instrText>
      </w:r>
      <w:bookmarkEnd w:id="2"/>
      <w:r w:rsidRPr="00361B59">
        <w:rPr>
          <w:i/>
        </w:rPr>
        <w:instrText xml:space="preserve"> - Előadó: Veronika Cifrová Ostrihoňová)"\l3 \n&gt; \* MERGEFORMAT </w:instrText>
      </w:r>
      <w:r w:rsidRPr="00361B59">
        <w:rPr>
          <w:i/>
        </w:rPr>
        <w:fldChar w:fldCharType="end"/>
      </w:r>
    </w:p>
    <w:p w14:paraId="46DD4A73" w14:textId="77777777" w:rsidR="007052C0" w:rsidRPr="00361B59" w:rsidRDefault="007052C0" w:rsidP="007052C0">
      <w:pPr>
        <w:rPr>
          <w:vanish/>
        </w:rPr>
      </w:pPr>
      <w:bookmarkStart w:id="3" w:name="Commission"/>
      <w:r w:rsidRPr="00361B59">
        <w:rPr>
          <w:vanish/>
        </w:rPr>
        <w:t>Állampolgári Jogi, Bel- és Igazságügyi Bizottság</w:t>
      </w:r>
      <w:bookmarkEnd w:id="3"/>
    </w:p>
    <w:p w14:paraId="041DEBD5" w14:textId="77777777" w:rsidR="007052C0" w:rsidRPr="00361B59" w:rsidRDefault="007052C0" w:rsidP="007052C0">
      <w:pPr>
        <w:rPr>
          <w:vanish/>
        </w:rPr>
      </w:pPr>
      <w:bookmarkStart w:id="4" w:name="PE"/>
      <w:r w:rsidRPr="00361B59">
        <w:rPr>
          <w:vanish/>
        </w:rPr>
        <w:t>PE778.284</w:t>
      </w:r>
      <w:bookmarkEnd w:id="4"/>
    </w:p>
    <w:p w14:paraId="556BD89A" w14:textId="28733552" w:rsidR="007052C0" w:rsidRPr="00361B59" w:rsidRDefault="007052C0" w:rsidP="007052C0">
      <w:pPr>
        <w:pStyle w:val="ATHeading3"/>
      </w:pPr>
      <w:bookmarkStart w:id="5" w:name="Sujet"/>
      <w:r w:rsidRPr="00361B59">
        <w:t xml:space="preserve">Az Európai Parlament 2026. </w:t>
      </w:r>
      <w:r w:rsidR="00630A1B" w:rsidRPr="00361B59">
        <w:t>március</w:t>
      </w:r>
      <w:r w:rsidRPr="00361B59">
        <w:t xml:space="preserve"> </w:t>
      </w:r>
      <w:r w:rsidR="00666120" w:rsidRPr="00361B59">
        <w:t>10-</w:t>
      </w:r>
      <w:r w:rsidRPr="00361B59">
        <w:t>i állásfoglalása a dokumentumokhoz való nyilvános hozzáférésről – a 2022–2024 közötti időszakra vonatkozó jelentés</w:t>
      </w:r>
      <w:bookmarkEnd w:id="5"/>
      <w:r w:rsidRPr="00361B59">
        <w:t xml:space="preserve"> </w:t>
      </w:r>
      <w:bookmarkStart w:id="6" w:name="References"/>
      <w:r w:rsidRPr="00361B59">
        <w:t>(2025/2137(INI))</w:t>
      </w:r>
      <w:bookmarkEnd w:id="6"/>
    </w:p>
    <w:p w14:paraId="7724629F" w14:textId="77777777" w:rsidR="003C39AE" w:rsidRPr="00361B59" w:rsidRDefault="003C39AE" w:rsidP="00630A1B">
      <w:pPr>
        <w:pStyle w:val="Normal12"/>
        <w:spacing w:before="360"/>
        <w:rPr>
          <w:i/>
          <w:iCs/>
        </w:rPr>
      </w:pPr>
      <w:r w:rsidRPr="00361B59">
        <w:rPr>
          <w:i/>
          <w:iCs/>
        </w:rPr>
        <w:t>Az Európai Parlament,</w:t>
      </w:r>
    </w:p>
    <w:p w14:paraId="49E877EE" w14:textId="77777777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az Európai Unióról szóló szerződésre (EUSZ) és különösen annak 1., 9., 10., 11. és 16. cikkére,</w:t>
      </w:r>
    </w:p>
    <w:p w14:paraId="764DBD33" w14:textId="77777777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az Európai Unió működéséről szóló szerződésre (EUMSZ) és különösen annak 15. cikkére,</w:t>
      </w:r>
    </w:p>
    <w:p w14:paraId="1F604245" w14:textId="77777777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az Európai Unió Alapjogi Chartájára (a Charta), és különösen annak 41. és 42. cikkére,</w:t>
      </w:r>
    </w:p>
    <w:p w14:paraId="4ADB048B" w14:textId="24E0E5D9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az Európai Parlament, a Tanács és a Bizottság dokumentumaihoz való nyilvános hozzáférésről szóló, 2001. május 30-i 1049/2001/EK európai parlamenti és tanácsi rendeletre</w:t>
      </w:r>
      <w:r w:rsidR="00E27694" w:rsidRPr="00361B59">
        <w:rPr>
          <w:rStyle w:val="FootnoteReference"/>
        </w:rPr>
        <w:footnoteReference w:id="1"/>
      </w:r>
      <w:r w:rsidRPr="00361B59">
        <w:t>,</w:t>
      </w:r>
    </w:p>
    <w:p w14:paraId="4F4A1A2B" w14:textId="62DE7286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 környezeti ügyekben az információhoz való hozzáférésről, a nyilvánosságnak a döntéshozatalban történő részvételéről és az igazságszolgáltatáshoz való jog biztosításáról szóló Aarhusi Egyezmény rendelkezéseinek az uniós intézményekre és szervekre való alkalmazásáról szóló, 2006. szeptember 6-i 1367/2006/EK európai parlamenti és tanácsi rendeletre</w:t>
      </w:r>
      <w:r w:rsidR="00E27694" w:rsidRPr="00361B59">
        <w:rPr>
          <w:rStyle w:val="FootnoteReference"/>
        </w:rPr>
        <w:footnoteReference w:id="2"/>
      </w:r>
      <w:r w:rsidRPr="00361B59">
        <w:t>,</w:t>
      </w:r>
    </w:p>
    <w:p w14:paraId="68DABD02" w14:textId="77777777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az Európai Parlament, a Tanács és a Bizottság dokumentumaihoz való nyilvános hozzáférésről szóló európai parlamenti és tanácsi rendeletre irányuló, 2008. április 30-i bizottsági javaslatra (</w:t>
      </w:r>
      <w:proofErr w:type="gramStart"/>
      <w:r w:rsidRPr="00361B59">
        <w:t>COM(</w:t>
      </w:r>
      <w:proofErr w:type="gramEnd"/>
      <w:r w:rsidRPr="00361B59">
        <w:t>2008)0229),</w:t>
      </w:r>
    </w:p>
    <w:p w14:paraId="2A91EA51" w14:textId="77777777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 xml:space="preserve">tekintettel az Európai Parlament, a Tanács és a Bizottság dokumentumaihoz való nyilvános hozzáférésről szóló 1049/2001/EK rendelet módosításáról szóló európai </w:t>
      </w:r>
      <w:r w:rsidRPr="00361B59">
        <w:lastRenderedPageBreak/>
        <w:t>parlamenti és tanácsi rendeletre irányuló, 2011. március 21-i bizottsági javaslatra (</w:t>
      </w:r>
      <w:proofErr w:type="gramStart"/>
      <w:r w:rsidRPr="00361B59">
        <w:t>COM(</w:t>
      </w:r>
      <w:proofErr w:type="gramEnd"/>
      <w:r w:rsidRPr="00361B59">
        <w:t>2011)0137),</w:t>
      </w:r>
    </w:p>
    <w:p w14:paraId="3AD6F12E" w14:textId="39A50FC8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az Európai Parlament, a Tanács és a Bizottság dokumentumaihoz való nyilvános hozzáférésről szóló</w:t>
      </w:r>
      <w:r w:rsidR="00CE7CA7">
        <w:t>, 2011. december 15-i</w:t>
      </w:r>
      <w:r w:rsidRPr="00361B59">
        <w:t xml:space="preserve"> európai parlamenti és tanácsi rendeletre irányuló javaslatról szóló első olvasatbeli álláspontjára</w:t>
      </w:r>
      <w:r w:rsidR="00E27694" w:rsidRPr="00361B59">
        <w:rPr>
          <w:rStyle w:val="FootnoteReference"/>
        </w:rPr>
        <w:footnoteReference w:id="3"/>
      </w:r>
      <w:r w:rsidRPr="00361B59">
        <w:t>,</w:t>
      </w:r>
    </w:p>
    <w:p w14:paraId="62EF3DB0" w14:textId="77777777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„A Bizottság 2025. évi munkaprogramja” című, 2025. február 11-i bizottsági közleményre (</w:t>
      </w:r>
      <w:proofErr w:type="gramStart"/>
      <w:r w:rsidRPr="00361B59">
        <w:t>COM(</w:t>
      </w:r>
      <w:proofErr w:type="gramEnd"/>
      <w:r w:rsidRPr="00361B59">
        <w:t>2025)0045) és annak mellékleteire, valamint az abban kifejezett azon szándékára, hogy visszavonja az Európai Parlament, a Tanács és a Bizottság dokumentumaihoz való nyilvános hozzáférésről szóló 1049/2001/EK rendelet módosítására irányuló COM(2011)0137 és COM(2008)0229 javaslatokat,</w:t>
      </w:r>
    </w:p>
    <w:p w14:paraId="0F1E69D3" w14:textId="1C928B16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 xml:space="preserve">tekintettel a Bizottság eljárási szabályzatának megállapításáról és a </w:t>
      </w:r>
      <w:proofErr w:type="gramStart"/>
      <w:r w:rsidRPr="00361B59">
        <w:t>C(</w:t>
      </w:r>
      <w:proofErr w:type="gramEnd"/>
      <w:r w:rsidRPr="00361B59">
        <w:t>2000) 3614 határozat módosításáról szóló, 2024.</w:t>
      </w:r>
      <w:r w:rsidR="00E27694" w:rsidRPr="00361B59">
        <w:t xml:space="preserve"> </w:t>
      </w:r>
      <w:r w:rsidRPr="00361B59">
        <w:t>december 4-i (EU) 2024/3080 bizottsági határozatra</w:t>
      </w:r>
      <w:r w:rsidR="00E27694" w:rsidRPr="00361B59">
        <w:rPr>
          <w:rStyle w:val="FootnoteReference"/>
        </w:rPr>
        <w:footnoteReference w:id="4"/>
      </w:r>
      <w:r w:rsidRPr="00361B59">
        <w:t>,</w:t>
      </w:r>
    </w:p>
    <w:p w14:paraId="1CCE71D0" w14:textId="3CEE8B95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az uniós intézmények átláthatóságáról, elszámoltathatóságáról és feddhetetlenségéről szóló, 2017. szeptember 14-i állásfoglalására</w:t>
      </w:r>
      <w:r w:rsidR="00E27694" w:rsidRPr="00361B59">
        <w:rPr>
          <w:rStyle w:val="FootnoteReference"/>
        </w:rPr>
        <w:footnoteReference w:id="5"/>
      </w:r>
      <w:r w:rsidRPr="00361B59">
        <w:t>,</w:t>
      </w:r>
    </w:p>
    <w:p w14:paraId="36F0E7D8" w14:textId="266D9CA3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az uniós jog megsértését bejelentő személyek védelméről szóló, 2019. október 23-i (EU) 2019/1937 európai parlamenti és tanácsi irányelvre</w:t>
      </w:r>
      <w:r w:rsidR="00E27694" w:rsidRPr="00361B59">
        <w:rPr>
          <w:rStyle w:val="FootnoteReference"/>
        </w:rPr>
        <w:footnoteReference w:id="6"/>
      </w:r>
      <w:r w:rsidRPr="00361B59">
        <w:t>,</w:t>
      </w:r>
    </w:p>
    <w:p w14:paraId="52FB148C" w14:textId="5D6BFCBC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 xml:space="preserve">tekintettel a </w:t>
      </w:r>
      <w:r w:rsidR="00666120" w:rsidRPr="00361B59">
        <w:t xml:space="preserve">dokumentumokhoz való nyilvános hozzáférésről </w:t>
      </w:r>
      <w:r w:rsidRPr="00361B59">
        <w:t xml:space="preserve">szóló, </w:t>
      </w:r>
      <w:r w:rsidR="00666120" w:rsidRPr="00361B59">
        <w:t>2021</w:t>
      </w:r>
      <w:r w:rsidRPr="00361B59">
        <w:t xml:space="preserve">. </w:t>
      </w:r>
      <w:r w:rsidR="00666120" w:rsidRPr="00361B59">
        <w:t>február 10</w:t>
      </w:r>
      <w:r w:rsidRPr="00361B59">
        <w:t>-i állásfoglalására</w:t>
      </w:r>
      <w:r w:rsidR="00E27694" w:rsidRPr="00361B59">
        <w:rPr>
          <w:rStyle w:val="FootnoteReference"/>
        </w:rPr>
        <w:footnoteReference w:id="7"/>
      </w:r>
      <w:r w:rsidRPr="00361B59">
        <w:t>,</w:t>
      </w:r>
    </w:p>
    <w:p w14:paraId="055018DA" w14:textId="12CB9E94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„A dokumentumokhoz való nyilvános hozzáférésről – a 2019–2021 közötti időszakra vonatkozó éves jelentés” című, 2023. július 13-i állásfoglalására</w:t>
      </w:r>
      <w:r w:rsidR="00E27694" w:rsidRPr="00361B59">
        <w:rPr>
          <w:rStyle w:val="FootnoteReference"/>
        </w:rPr>
        <w:footnoteReference w:id="8"/>
      </w:r>
      <w:r w:rsidRPr="00361B59">
        <w:t>,</w:t>
      </w:r>
    </w:p>
    <w:p w14:paraId="6CD61C70" w14:textId="288F44EC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 dokumentumokhoz való nyilvános hozzáférés iránti kérelmek Európai Bizottság általi elbírálásához szükséges időről szóló, 2024. március 14-i állásfoglalására</w:t>
      </w:r>
      <w:r w:rsidR="00E27694" w:rsidRPr="00361B59">
        <w:rPr>
          <w:rStyle w:val="FootnoteReference"/>
        </w:rPr>
        <w:footnoteReference w:id="9"/>
      </w:r>
      <w:r w:rsidRPr="00361B59">
        <w:t>,</w:t>
      </w:r>
    </w:p>
    <w:p w14:paraId="6D0DEC32" w14:textId="77777777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az Európai Unió Bírósága (EUB), valamint az Emberi Jogok Európai Bírósága (EJEB) ítélkezési gyakorlatára,</w:t>
      </w:r>
    </w:p>
    <w:p w14:paraId="4A2B2F94" w14:textId="1B53CB35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 Törvényszék T-689/21. sz., Auken és társai kontra Bizottság ügyben, valamint a T-761/21. sz., Courtois és társai kontra Bizottság ügyben hozott 2024. július 17-én ítéleteire</w:t>
      </w:r>
      <w:r w:rsidR="00E27694" w:rsidRPr="00361B59">
        <w:rPr>
          <w:rStyle w:val="FootnoteReference"/>
        </w:rPr>
        <w:footnoteReference w:id="10"/>
      </w:r>
      <w:r w:rsidRPr="00361B59">
        <w:t>,</w:t>
      </w:r>
    </w:p>
    <w:p w14:paraId="75CD0C84" w14:textId="78A76FF1" w:rsidR="003C39AE" w:rsidRPr="00361B59" w:rsidRDefault="003C39AE" w:rsidP="00630A1B">
      <w:pPr>
        <w:pStyle w:val="NormalHanging"/>
        <w:ind w:left="567" w:hanging="567"/>
      </w:pPr>
      <w:r w:rsidRPr="00361B59">
        <w:lastRenderedPageBreak/>
        <w:t>–</w:t>
      </w:r>
      <w:r w:rsidRPr="00361B59">
        <w:tab/>
        <w:t>tekintettel a Törvényszék T-36/23. sz., Stevi és a New York Times kontra Bizottság ügyben hozott 2025. május 14-i ítéletére</w:t>
      </w:r>
      <w:r w:rsidR="00E27694" w:rsidRPr="00361B59">
        <w:rPr>
          <w:rStyle w:val="FootnoteReference"/>
        </w:rPr>
        <w:footnoteReference w:id="11"/>
      </w:r>
      <w:r w:rsidRPr="00361B59">
        <w:t>,</w:t>
      </w:r>
    </w:p>
    <w:p w14:paraId="5666164B" w14:textId="0817372E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az európai ombudsman jelentéseire és határozataira, különösen az OI/2/2022/OAM sz. különjelentésre</w:t>
      </w:r>
      <w:r w:rsidR="00E27694" w:rsidRPr="00361B59">
        <w:rPr>
          <w:rStyle w:val="FootnoteReference"/>
        </w:rPr>
        <w:footnoteReference w:id="12"/>
      </w:r>
      <w:r w:rsidRPr="00361B59">
        <w:t xml:space="preserve"> és az 1316/2021/MIG ügyben</w:t>
      </w:r>
      <w:r w:rsidR="00E27694" w:rsidRPr="00361B59">
        <w:rPr>
          <w:rStyle w:val="FootnoteReference"/>
        </w:rPr>
        <w:footnoteReference w:id="13"/>
      </w:r>
      <w:r w:rsidRPr="00361B59">
        <w:t xml:space="preserve"> és 1499/2021/SF ügyben</w:t>
      </w:r>
      <w:r w:rsidR="00E27694" w:rsidRPr="00361B59">
        <w:rPr>
          <w:rStyle w:val="FootnoteReference"/>
        </w:rPr>
        <w:footnoteReference w:id="14"/>
      </w:r>
      <w:r w:rsidRPr="00361B59">
        <w:t xml:space="preserve"> hozott határozatokra,</w:t>
      </w:r>
    </w:p>
    <w:p w14:paraId="25721C48" w14:textId="77777777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eljárási szabályzata 122. cikkének (7) bekezdésére és 149. cikkére,</w:t>
      </w:r>
    </w:p>
    <w:p w14:paraId="25B3B240" w14:textId="77777777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eljárási szabályzata 55. cikkére,</w:t>
      </w:r>
    </w:p>
    <w:p w14:paraId="79CA0EA6" w14:textId="77777777" w:rsidR="003C39AE" w:rsidRPr="00361B59" w:rsidRDefault="003C39AE" w:rsidP="00630A1B">
      <w:pPr>
        <w:pStyle w:val="NormalHanging"/>
        <w:ind w:left="567" w:hanging="567"/>
      </w:pPr>
      <w:r w:rsidRPr="00361B59">
        <w:t>–</w:t>
      </w:r>
      <w:r w:rsidRPr="00361B59">
        <w:tab/>
        <w:t>tekintettel az Állampolgári Jogi, Bel- és Igazságügyi Bizottság jelentésére (A10-0011/2026),</w:t>
      </w:r>
    </w:p>
    <w:p w14:paraId="57A0E87F" w14:textId="7DAC8266" w:rsidR="003C39AE" w:rsidRPr="00361B59" w:rsidRDefault="003C39AE" w:rsidP="00630A1B">
      <w:pPr>
        <w:pStyle w:val="NormalHanging"/>
        <w:ind w:left="567" w:hanging="567"/>
      </w:pPr>
      <w:r w:rsidRPr="00361B59">
        <w:t>A.</w:t>
      </w:r>
      <w:r w:rsidRPr="00361B59">
        <w:tab/>
        <w:t>mivel az uniós szerződések minden polgár számára garantálják a demokratikus részvételhez és az átlátható döntéshozatalhoz való jogot, előírva az uniós intézmények, szervek, hivatalok és ügynökségek számára, hogy biztosítsák a dokumentumokhoz való nyilvános hozzáférést; mivel a dokumentumokhoz való hozzáférés ezen, a Szerződések és a Charta által védett alapvető joga lehetővé teszi a polgárok általi hatékony ellenőrzést</w:t>
      </w:r>
      <w:r w:rsidR="00E27694" w:rsidRPr="00361B59">
        <w:rPr>
          <w:rStyle w:val="FootnoteReference"/>
        </w:rPr>
        <w:footnoteReference w:id="15"/>
      </w:r>
      <w:r w:rsidRPr="00361B59">
        <w:t>, és ezért azt proaktív módon kell gyakorolni;</w:t>
      </w:r>
    </w:p>
    <w:p w14:paraId="53042315" w14:textId="77777777" w:rsidR="003C39AE" w:rsidRPr="00361B59" w:rsidRDefault="003C39AE" w:rsidP="00630A1B">
      <w:pPr>
        <w:pStyle w:val="NormalHanging"/>
        <w:ind w:left="567" w:hanging="567"/>
      </w:pPr>
      <w:r w:rsidRPr="00361B59">
        <w:t>B.</w:t>
      </w:r>
      <w:r w:rsidRPr="00361B59">
        <w:tab/>
        <w:t>mivel az EUB megerősítette, hogy a dokumentumokhoz való nyilvános hozzáférés a részvételi demokrácia alapvető részét képezi; mivel megállapította, hogy a jogalkotási tevékenységek során felhasznált információk nyilvánosság általi ellenőrzése a demokratikus hatáskörök megfelelő működésének és a demokratikus jogok gyakorlásának előfeltétele; mivel az EUB azt is hangsúlyozta, hogy az átláthatóság a jogalkotási folyamat szerves részét képezi, és hogy a döntéseket a lehető legnyilvánosabban és a polgárokhoz a lehető legközelebb eső szinten kell meghozni;</w:t>
      </w:r>
    </w:p>
    <w:p w14:paraId="60C2B963" w14:textId="77777777" w:rsidR="003C39AE" w:rsidRPr="00361B59" w:rsidRDefault="003C39AE" w:rsidP="00630A1B">
      <w:pPr>
        <w:pStyle w:val="NormalHanging"/>
        <w:ind w:left="567" w:hanging="567"/>
      </w:pPr>
      <w:r w:rsidRPr="00361B59">
        <w:t>C.</w:t>
      </w:r>
      <w:r w:rsidRPr="00361B59">
        <w:tab/>
        <w:t>mivel az 1049/2001/EK rendelet elismeri, hogy különösen fontos a dokumentumokhoz való szélesebb körű hozzáférés azokban az esetekben, amikor az intézmények jogalkotói minőségükben járnak el, és hangsúlyozza a jogalkotási dokumentumokhoz való közvetlen hozzáférés különös szükségességét;</w:t>
      </w:r>
    </w:p>
    <w:p w14:paraId="294F0639" w14:textId="77777777" w:rsidR="003C39AE" w:rsidRPr="00361B59" w:rsidRDefault="003C39AE" w:rsidP="00630A1B">
      <w:pPr>
        <w:pStyle w:val="NormalHanging"/>
        <w:ind w:left="567" w:hanging="567"/>
      </w:pPr>
      <w:r w:rsidRPr="00361B59">
        <w:lastRenderedPageBreak/>
        <w:t>D.</w:t>
      </w:r>
      <w:r w:rsidRPr="00361B59">
        <w:tab/>
        <w:t>mivel a polgárok jogosan várják el a hatóságoktól az átláthatóságot, a hatékonyságot és az elszámoltathatóságot, és az uniós intézményeknek, szerveknek, hivataloknak és ügynökségeknek világos és érthető módon kell reagálniuk ezekre az elvárásokra; mivel az EU működésében és döntéshozatali folyamataiban a nyitottság és a jó kormányzás elengedhetetlen a polgárok Unióba vetett bizalmának kiépítéséhez, és a közigazgatás fokozott legitimációjának, hatékonyságának és elszámoltathatóságának biztosításához; mivel a nyitottság és az átláthatóság elveinek nemcsak a döntéshozatali folyamatban kell érvényesülniük, hanem a szövegek elkészítésének módjában is;</w:t>
      </w:r>
    </w:p>
    <w:p w14:paraId="57AE8AD4" w14:textId="77777777" w:rsidR="003C39AE" w:rsidRPr="00361B59" w:rsidRDefault="003C39AE" w:rsidP="00630A1B">
      <w:pPr>
        <w:pStyle w:val="NormalHanging"/>
        <w:ind w:left="567" w:hanging="567"/>
      </w:pPr>
      <w:r w:rsidRPr="00361B59">
        <w:t>E.</w:t>
      </w:r>
      <w:r w:rsidRPr="00361B59">
        <w:tab/>
        <w:t>mivel a megbízható és pontos információkhoz való, kellő időben történő hozzáférés elengedhetetlen a félretájékoztatással szembeni védelemhez és a dezinformáció terjedése elleni hatékony küzdelemhez; mivel az ilyen hozzáférés biztosításának késedelme aláássa ezt a folyamatot;</w:t>
      </w:r>
    </w:p>
    <w:p w14:paraId="5E10C3DA" w14:textId="77777777" w:rsidR="003C39AE" w:rsidRPr="00361B59" w:rsidRDefault="003C39AE" w:rsidP="00630A1B">
      <w:pPr>
        <w:pStyle w:val="NormalHanging"/>
        <w:ind w:left="567" w:hanging="567"/>
      </w:pPr>
      <w:r w:rsidRPr="00361B59">
        <w:t>F.</w:t>
      </w:r>
      <w:r w:rsidRPr="00361B59">
        <w:tab/>
        <w:t>mivel az Unió a képviseleti demokrácián alapul, és a nyilvánosság általi szigorú ellenőrzés és a polgárok jó kormányzásban való érdemi részvételének lehetővé tétele érdekében intézményeinek, szerveinek, hivatalainak és ügynökségeinek tiszteletben kell tartaniuk az átláthatóság és a feddhetetlenség legmagasabb szintű normáit;</w:t>
      </w:r>
    </w:p>
    <w:p w14:paraId="44365E0F" w14:textId="77777777" w:rsidR="003C39AE" w:rsidRPr="00361B59" w:rsidRDefault="003C39AE" w:rsidP="00630A1B">
      <w:pPr>
        <w:pStyle w:val="NormalHanging"/>
        <w:ind w:left="567" w:hanging="567"/>
      </w:pPr>
      <w:r w:rsidRPr="00361B59">
        <w:t>G.</w:t>
      </w:r>
      <w:r w:rsidRPr="00361B59">
        <w:tab/>
        <w:t>mivel az európai ombudsman alapvető szerepet játszott a dokumentumokhoz való nyilvános hozzáférés biztosításában, többek között az OI/2/2022/OAM. sz. különjelentésben foglalt ajánlások révén; mivel az uniós intézményeknek biztosítaniuk kell, hogy az európai ombudsman továbbra is hatékonyan betölthesse ezt a szerepet;</w:t>
      </w:r>
    </w:p>
    <w:p w14:paraId="74C33372" w14:textId="77777777" w:rsidR="003C39AE" w:rsidRPr="00361B59" w:rsidRDefault="003C39AE" w:rsidP="00630A1B">
      <w:pPr>
        <w:pStyle w:val="NormalHanging"/>
        <w:ind w:left="567" w:hanging="567"/>
      </w:pPr>
      <w:r w:rsidRPr="00361B59">
        <w:t>H.</w:t>
      </w:r>
      <w:r w:rsidRPr="00361B59">
        <w:tab/>
        <w:t>mivel az európai ombudsmannak a különjelentésben felvázolt stratégiai vizsgálata rendszerszintű és jelentős késedelmeket tárt fel a Bizottság részéről, különösen a megerősítő kérelmek (a kérelmezők által benyújtott, a Bizottság első válaszának felülvizsgálatára irányuló kérelmek) kezelése terén, miután a Bizottság kezdetben megtagadta a polgárok számára a dokumentumokhoz való hozzáférést;</w:t>
      </w:r>
    </w:p>
    <w:p w14:paraId="7F999FFC" w14:textId="77777777" w:rsidR="003C39AE" w:rsidRPr="00361B59" w:rsidRDefault="003C39AE" w:rsidP="00630A1B">
      <w:pPr>
        <w:pStyle w:val="NormalHanging"/>
        <w:ind w:left="567" w:hanging="567"/>
      </w:pPr>
      <w:r w:rsidRPr="00361B59">
        <w:t>I.</w:t>
      </w:r>
      <w:r w:rsidRPr="00361B59">
        <w:tab/>
        <w:t>mivel az 1499/2021/SF. számú ügyben az ombudsman egyértelműen megállapította, hogy hivatali visszásságnak minősül, hogy a Tanács megtagadta a nyilvánosság teljes körű hozzáférését a jogalkotási tárgyalásokkal kapcsolatos dokumentumokhoz;</w:t>
      </w:r>
    </w:p>
    <w:p w14:paraId="439B8540" w14:textId="77777777" w:rsidR="003C39AE" w:rsidRPr="00361B59" w:rsidRDefault="003C39AE" w:rsidP="00630A1B">
      <w:pPr>
        <w:pStyle w:val="NormalHanging"/>
        <w:ind w:left="567" w:hanging="567"/>
      </w:pPr>
      <w:r w:rsidRPr="00361B59">
        <w:t>J.</w:t>
      </w:r>
      <w:r w:rsidRPr="00361B59">
        <w:tab/>
        <w:t>mivel a dokumentumokhoz való hozzáférés engedélyezésére vagy megtagadására rendelkezésre álló, az 1049/2001/EK rendelet 7. cikke szerinti 15 napos határidő be nem tartása semmilyen szankciót nem von maga után;</w:t>
      </w:r>
    </w:p>
    <w:p w14:paraId="4053C815" w14:textId="77777777" w:rsidR="003C39AE" w:rsidRPr="00361B59" w:rsidRDefault="003C39AE" w:rsidP="00630A1B">
      <w:pPr>
        <w:pStyle w:val="NormalHanging"/>
        <w:ind w:left="567" w:hanging="567"/>
      </w:pPr>
      <w:r w:rsidRPr="00361B59">
        <w:t>K.</w:t>
      </w:r>
      <w:r w:rsidRPr="00361B59">
        <w:tab/>
        <w:t>mivel az 1049/2001/EK rendelet elismeri, hogy különösen fontos a dokumentumokhoz való széles körű hozzáférés azokban az esetekben, amikor az intézmények jogalkotói minőségükben járnak el, és hangsúlyozza a jogalkotási dokumentumokhoz való közvetlen hozzáférés biztosításának szükségességét;</w:t>
      </w:r>
    </w:p>
    <w:p w14:paraId="692FB3AE" w14:textId="5E138714" w:rsidR="003C39AE" w:rsidRPr="00361B59" w:rsidRDefault="003C39AE" w:rsidP="00630A1B">
      <w:pPr>
        <w:pStyle w:val="NormalHanging"/>
        <w:ind w:left="567" w:hanging="567"/>
      </w:pPr>
      <w:r w:rsidRPr="00361B59">
        <w:t>L.</w:t>
      </w:r>
      <w:r w:rsidRPr="00361B59">
        <w:tab/>
        <w:t xml:space="preserve">mivel 2021 májusában egy újságíró hozzáférést kért bizonyos dokumentumokhoz, többek között a Bizottság elnöke és a Pfizer közötti szöveges üzenetekhez, de a Bizottság kijelentette, hogy a nyilvántartásra vonatkozó belső szabályok alapján nem rendelkezik ilyen dokumentumokkal; mivel aggodalomra ad okot, hogy a Bizottság hogyan kezelte az ügyet; mivel az európai ombudsman megállapította, hogy a Bizottság e a válasza hivatali visszásságnak minősül, és az ügy nyomán számos ajánlást terjesztett elő, többek között a szöveges üzenetek rögzítésének módjára vonatkozóan, és az 1049/2001/EK rendelet szerinti nyilvános hozzáférésre vonatkozó kötelezettségekkel </w:t>
      </w:r>
      <w:r w:rsidRPr="00361B59">
        <w:lastRenderedPageBreak/>
        <w:t>összhangban újabb keresést javasolt; mivel a Törvényszék 2025. május 14-én megsemmisítette a Bizottság azon határozatát, hogy visszatartja a szöveges üzeneteket; mivel a Törvényszék szerint a Bizottság nem adott hihető magyarázatot arra, hogy miért nincsenek birtokában az üzenetek</w:t>
      </w:r>
      <w:r w:rsidR="00E27694" w:rsidRPr="00361B59">
        <w:rPr>
          <w:rStyle w:val="FootnoteReference"/>
        </w:rPr>
        <w:footnoteReference w:id="16"/>
      </w:r>
      <w:r w:rsidRPr="00361B59">
        <w:t>;</w:t>
      </w:r>
    </w:p>
    <w:p w14:paraId="660D032F" w14:textId="77777777" w:rsidR="003C39AE" w:rsidRPr="00361B59" w:rsidRDefault="003C39AE" w:rsidP="00630A1B">
      <w:pPr>
        <w:pStyle w:val="NormalHanging"/>
        <w:ind w:left="567" w:hanging="567"/>
      </w:pPr>
      <w:r w:rsidRPr="00361B59">
        <w:t>M.</w:t>
      </w:r>
      <w:r w:rsidRPr="00361B59">
        <w:tab/>
        <w:t>mivel az 1049/2001/EK rendelet értelmében a szöveges üzenetek akkor minősülnek „dokumentumnak”, ha azok egy intézmény hatáskörébe tartozó politikákkal, tevékenységekkel vagy döntésekkel kapcsolatos ügyekre vonatkoznak, mivel a „dokumentum” bármely tartalom lehet, függetlenül az adathordozójától (papír, elektronikus forma vagy hang-, kép- vagy audiovizuális felvétel); mivel ez nem jelenti azt, hogy minden váltott szöveges üzenetet nyilvántartásba kell venni és hozzáférhetővé kell tenni, hanem csak azokat, amelyek az Unió politikáival, tevékenységeivel vagy döntéseivel kapcsolatosak; mivel a Bizottság továbbra is megtagadhatja az ezekhez való teljes körű nyilvános hozzáférést, amennyiben az 1049/2001/EK rendeletben foglalt kivételek valamelyike, például a kereskedelmi érdek védelme, alkalmazandó;</w:t>
      </w:r>
    </w:p>
    <w:p w14:paraId="1C400E46" w14:textId="77777777" w:rsidR="003C39AE" w:rsidRPr="00361B59" w:rsidRDefault="003C39AE" w:rsidP="00630A1B">
      <w:pPr>
        <w:pStyle w:val="NormalHanging"/>
        <w:ind w:left="567" w:hanging="567"/>
      </w:pPr>
      <w:r w:rsidRPr="00361B59">
        <w:t>N.</w:t>
      </w:r>
      <w:r w:rsidRPr="00361B59">
        <w:tab/>
        <w:t>mivel 2025. október 6-án a Bizottság a Hivatalos Lapban (C/2025/5423) közzétette a jogalkotási javaslatok – különösen a COM(2011)0137 és a COM(2008)0229 – hivatalos visszavonását, amelyek célja a dokumentumokhoz való nyilvános hozzáférésről szóló 1049/2001/EK rendelet módosítása volt a Lisszaboni Szerződés és az Európai Unió Alapjogi Chartája hatálybalépésének fényében, arra hivatkozva, hogy a 2011 óta évekig tartó jogalkotási patthelyzetet követően semmilyen megállapodás nem várható; mivel ez a folyamatos patthelyzet aggályokat vet fel azzal kapcsolatban, hogy a 2001. évi keretre való támaszkodás a modern intézményi és technológiai környezetben önmagában már nem feltétlenül elegendő az uniós dokumentumokhoz való nyilvános hozzáférés jogának hatékony megerősítéséhez;</w:t>
      </w:r>
    </w:p>
    <w:p w14:paraId="607051FE" w14:textId="77777777" w:rsidR="003C39AE" w:rsidRPr="00361B59" w:rsidRDefault="003C39AE" w:rsidP="00630A1B">
      <w:pPr>
        <w:pStyle w:val="NormalHanging"/>
        <w:ind w:left="567" w:hanging="567"/>
      </w:pPr>
      <w:r w:rsidRPr="00361B59">
        <w:t>O.</w:t>
      </w:r>
      <w:r w:rsidRPr="00361B59">
        <w:tab/>
        <w:t>mivel a mesterségesintelligencia-technológiák gyors fejlődése lehetőségeket és kihívásokat is jelent az információk pontosságának és átláthatóságának biztosítása terén az Unión belül és annak intézményei, szervei, hivatalai és ügynökségei számára, miközben a megfelelően megtervezett és irányított MI-rendszerek segíthetnek a félretájékoztatás és a dezinformáció felderítésében és enyhítésében, valamint az elszámoltathatóság előmozdításában, feltéve, hogy alkalmazásuk teljes mértékben tiszteletben tartja az alapvető jogokat, előmozdítja az elszámoltathatóságot és fenntartja a magas szintű átláthatósági normákat a közbizalom fenntartása és a demokratikus kormányzás megerősítése érdekében;</w:t>
      </w:r>
    </w:p>
    <w:p w14:paraId="500670D0" w14:textId="2E31E634" w:rsidR="003C39AE" w:rsidRPr="00361B59" w:rsidRDefault="003C39AE" w:rsidP="00630A1B">
      <w:pPr>
        <w:pStyle w:val="NormalHanging"/>
        <w:ind w:left="567" w:hanging="567"/>
      </w:pPr>
      <w:r w:rsidRPr="00361B59">
        <w:t>P.</w:t>
      </w:r>
      <w:r w:rsidRPr="00361B59">
        <w:tab/>
        <w:t>mivel a játékok biztonságára vonatkozó műszaki szabványokhoz való hozzáférést kérő nonprofit szervezetek kérelmére vonatkozó C-588/21 P. sz. ügyben</w:t>
      </w:r>
      <w:r w:rsidR="00E27694" w:rsidRPr="00361B59">
        <w:rPr>
          <w:rStyle w:val="FootnoteReference"/>
        </w:rPr>
        <w:footnoteReference w:id="17"/>
      </w:r>
      <w:r w:rsidRPr="00361B59">
        <w:t xml:space="preserve"> a Bíróság kimondta, hogy a Bizottságnak el kellett volna ismernie az 1049/2001/EK rendelet 4. cikkének (2) bekezdése szerinti nyomós közérdek fennállását, amely indokolja az ilyen harmonizált szabványok hozzáférhetővé tételét;</w:t>
      </w:r>
    </w:p>
    <w:p w14:paraId="2222B8DA" w14:textId="77777777" w:rsidR="003C39AE" w:rsidRPr="00361B59" w:rsidRDefault="003C39AE" w:rsidP="00630A1B">
      <w:pPr>
        <w:pStyle w:val="NormalHanging12a"/>
        <w:ind w:left="567" w:hanging="567"/>
      </w:pPr>
      <w:r w:rsidRPr="00361B59">
        <w:lastRenderedPageBreak/>
        <w:t>1.</w:t>
      </w:r>
      <w:r w:rsidRPr="00361B59">
        <w:tab/>
        <w:t>nyomatékosan hangsúlyozza, hogy az átláthatóság és a dokumentumokhoz való hozzáférés az uniós jog szerinti alapvető jog, amely elengedhetetlen a polgárok átlátható, demokratikus, elszámoltatható és érdemi részvételének biztosításához;</w:t>
      </w:r>
    </w:p>
    <w:p w14:paraId="291A3C24" w14:textId="77777777" w:rsidR="003C39AE" w:rsidRPr="00361B59" w:rsidRDefault="003C39AE" w:rsidP="00630A1B">
      <w:pPr>
        <w:pStyle w:val="Normal12a"/>
        <w:ind w:left="567" w:hanging="567"/>
      </w:pPr>
      <w:r w:rsidRPr="00361B59">
        <w:rPr>
          <w:b/>
          <w:i/>
        </w:rPr>
        <w:t>Éves jelentések a dokumentumokhoz való nyilvános hozzáférésről</w:t>
      </w:r>
    </w:p>
    <w:p w14:paraId="6E820CB7" w14:textId="77777777" w:rsidR="003C39AE" w:rsidRPr="00361B59" w:rsidRDefault="003C39AE" w:rsidP="00630A1B">
      <w:pPr>
        <w:pStyle w:val="NormalHanging12a"/>
        <w:ind w:left="567" w:hanging="567"/>
      </w:pPr>
      <w:r w:rsidRPr="00361B59">
        <w:t>2.</w:t>
      </w:r>
      <w:r w:rsidRPr="00361B59">
        <w:tab/>
        <w:t>megjegyzi, hogy 2024-ben a Bizottság a felülvizsgált eljárási szabályzat elfogadásával módosította átláthatósági keretrendszerét, megkísérelve egyértelművé tenni az 1049/2001/EK rendelet szerinti dokumentumokhoz való nyilvános hozzáférésre vonatkozó szabályokat; hangsúlyozza, hogy egyes érdekelt felek aggodalmukat fejezték ki a felülvizsgált szabályokkal, különösen annak meghatározásával kapcsolatban, hogy mi minősül „dokumentumnak”, a dokumentumok nyilvántartásba vételére vonatkozó kötelezettség alóli további kivételekkel vagy a közzététel megtagadására vonatkozó vélelmekkel, e fogalommeghatározásnak és e kivételeknek és vélelmeknek az EUB állandó ítélkezési gyakorlatának való megfelelésével, valamint azzal a ténnyel kapcsolatban, hogy ezek aláásnák az átláthatóságot, ami visszalépést jelentene, és aláásná az 1049/2001/EK rendelet egységes alkalmazását is;</w:t>
      </w:r>
    </w:p>
    <w:p w14:paraId="0E2EA7F1" w14:textId="59F58DCE" w:rsidR="003C39AE" w:rsidRPr="00361B59" w:rsidRDefault="003C39AE" w:rsidP="00630A1B">
      <w:pPr>
        <w:pStyle w:val="NormalHanging12a"/>
        <w:ind w:left="567" w:hanging="567"/>
      </w:pPr>
      <w:r w:rsidRPr="00361B59">
        <w:t>3.</w:t>
      </w:r>
      <w:r w:rsidRPr="00361B59">
        <w:tab/>
        <w:t>megjegyzi, hogy 2024-ben a Bizottság 6</w:t>
      </w:r>
      <w:r w:rsidR="00630A1B" w:rsidRPr="00361B59">
        <w:t> </w:t>
      </w:r>
      <w:r w:rsidRPr="00361B59">
        <w:t>938 eredeti hozzáférési kérelmet és 641 megerősítő kérelmet kapott a dokumentumokhoz, ami a megerősítő kérelmek esetében 7%-os növekedést jelent 2023-hoz képest</w:t>
      </w:r>
      <w:r w:rsidR="00E27694" w:rsidRPr="00361B59">
        <w:rPr>
          <w:rStyle w:val="FootnoteReference"/>
        </w:rPr>
        <w:footnoteReference w:id="18"/>
      </w:r>
      <w:r w:rsidRPr="00361B59">
        <w:t>; megjegyzi, hogy 2023-ban a Bizottság 7</w:t>
      </w:r>
      <w:r w:rsidR="00630A1B" w:rsidRPr="00361B59">
        <w:t> </w:t>
      </w:r>
      <w:r w:rsidRPr="00361B59">
        <w:t>274 eredeti hozzáférési kérelmet és 599 megerősítő kérelmet kapott a dokumentumokhoz, ami a megerősítő kérelmek esetében 43%-os növekedést jelent 2022-höz képest</w:t>
      </w:r>
      <w:r w:rsidR="00E27694" w:rsidRPr="00361B59">
        <w:rPr>
          <w:rStyle w:val="FootnoteReference"/>
        </w:rPr>
        <w:footnoteReference w:id="19"/>
      </w:r>
      <w:r w:rsidRPr="00361B59">
        <w:t>; megjegyzi, hogy 2022-ben a Bizottság 7</w:t>
      </w:r>
      <w:r w:rsidR="00630A1B" w:rsidRPr="00361B59">
        <w:t> </w:t>
      </w:r>
      <w:r w:rsidRPr="00361B59">
        <w:t>410 eredeti hozzáférési kérelmet és 418 megerősítő kérelmet kapott a dokumentumokhoz, ami a megerősítő kérelmek esetében 17,8%-os növekedést jelent 2021-hez képest</w:t>
      </w:r>
      <w:r w:rsidR="00E27694" w:rsidRPr="00361B59">
        <w:rPr>
          <w:rStyle w:val="FootnoteReference"/>
        </w:rPr>
        <w:footnoteReference w:id="20"/>
      </w:r>
      <w:r w:rsidRPr="00361B59">
        <w:t>;</w:t>
      </w:r>
    </w:p>
    <w:p w14:paraId="2EED8BEA" w14:textId="77777777" w:rsidR="003C39AE" w:rsidRPr="00361B59" w:rsidRDefault="003C39AE" w:rsidP="00630A1B">
      <w:pPr>
        <w:pStyle w:val="NormalHanging12a"/>
        <w:ind w:left="567" w:hanging="567"/>
      </w:pPr>
      <w:r w:rsidRPr="00361B59">
        <w:t>4.</w:t>
      </w:r>
      <w:r w:rsidRPr="00361B59">
        <w:tab/>
        <w:t>kiemeli, hogy a Bizottság a megerősítő kérelmeket illetően 2022-ben az esetek 51%-ában, 2023-ban az esetek 85%-ában, 2024-ben pedig az esetek 60%-ában határozott úgy, hogy részleges vagy teljes hozzáférést biztosít a dokumentumokhoz; úgy véli, hogy a megerősítő kérelmek száma növekedett, míg az eredeti kérelmek száma csökkent, és a megerősítő kérelem szakaszában megváltoztatott határozatok aránya megfordult; hangsúlyozza, ez azt mutatja, hogy az eredeti kérelmeket nem sikerült alaposan értékelni;</w:t>
      </w:r>
    </w:p>
    <w:p w14:paraId="6A1D4ECC" w14:textId="3C4DF413" w:rsidR="003C39AE" w:rsidRPr="00361B59" w:rsidRDefault="003C39AE" w:rsidP="00630A1B">
      <w:pPr>
        <w:pStyle w:val="NormalHanging12a"/>
        <w:ind w:left="567" w:hanging="567"/>
      </w:pPr>
      <w:r w:rsidRPr="00361B59">
        <w:t>5.</w:t>
      </w:r>
      <w:r w:rsidRPr="00361B59">
        <w:tab/>
        <w:t>kiemeli, hogy 2024. december 31-ig a Parlament nyilvános dokumentumtára 918</w:t>
      </w:r>
      <w:r w:rsidR="00630A1B" w:rsidRPr="00361B59">
        <w:t> </w:t>
      </w:r>
      <w:r w:rsidRPr="00361B59">
        <w:t>803 hivatkozást tartalmazott (a 2023 végi 898</w:t>
      </w:r>
      <w:r w:rsidR="00630A1B" w:rsidRPr="00361B59">
        <w:t> </w:t>
      </w:r>
      <w:r w:rsidRPr="00361B59">
        <w:t xml:space="preserve">267-hez képest); megjegyzi, hogy az általános </w:t>
      </w:r>
      <w:r w:rsidRPr="00361B59">
        <w:lastRenderedPageBreak/>
        <w:t>pozitív válaszadási arány továbbra is magas, 91% volt, és a kérelmeket átlagosan körülbelül kilenc munkanap alatt dolgozták fel</w:t>
      </w:r>
      <w:r w:rsidR="00E27694" w:rsidRPr="00361B59">
        <w:rPr>
          <w:rStyle w:val="FootnoteReference"/>
        </w:rPr>
        <w:footnoteReference w:id="21"/>
      </w:r>
      <w:r w:rsidRPr="00361B59">
        <w:t>;</w:t>
      </w:r>
    </w:p>
    <w:p w14:paraId="0164CA32" w14:textId="77777777" w:rsidR="003C39AE" w:rsidRPr="00361B59" w:rsidRDefault="003C39AE" w:rsidP="00630A1B">
      <w:pPr>
        <w:pStyle w:val="NormalHanging12a"/>
        <w:ind w:left="567" w:hanging="567"/>
      </w:pPr>
      <w:r w:rsidRPr="00361B59">
        <w:t>6.</w:t>
      </w:r>
      <w:r w:rsidRPr="00361B59">
        <w:tab/>
        <w:t>elismeri, hogy az összes uniós intézmény közül a Bizottság – ezen belül is a Főtitkárság és az Egészségügyi és Élelmiszerbiztonsági Főigazgatóság – kapta a dokumentumokhoz való hozzáférés iránti legtöbb kérelmet;</w:t>
      </w:r>
    </w:p>
    <w:p w14:paraId="12AD8ABA" w14:textId="15994762" w:rsidR="003C39AE" w:rsidRPr="00361B59" w:rsidRDefault="003C39AE" w:rsidP="00630A1B">
      <w:pPr>
        <w:pStyle w:val="NormalHanging12a"/>
        <w:ind w:left="567" w:hanging="567"/>
      </w:pPr>
      <w:r w:rsidRPr="00361B59">
        <w:t>7.</w:t>
      </w:r>
      <w:r w:rsidRPr="00361B59">
        <w:tab/>
        <w:t>megjegyzi, hogy 2024-ben a Bizottság az eredeti kérelmekre reagálva 5 542 választ, a megerősítő kérelmekre reagálva pedig 305 választ adott ki, és a többi uniós intézmény is előrelépést tett az átláthatóság javítására irányuló erőfeszítései terén: a Tanács nyilvántartása 2024 végére több mint 527 000 dokumentumot tartalmazott, amelyek több mint 72%-a nyilvánosan hozzáférhető volt, és több mint 2 800, főként a civil társadalomtól és a tudományos köröktől érkező hozzáférési kérelmet dolgozott fel, az esetek 85%-ában teljes vagy részleges hozzáférést biztosítva</w:t>
      </w:r>
      <w:r w:rsidR="00E27694" w:rsidRPr="00361B59">
        <w:rPr>
          <w:rStyle w:val="FootnoteReference"/>
        </w:rPr>
        <w:footnoteReference w:id="22"/>
      </w:r>
      <w:r w:rsidRPr="00361B59">
        <w:t>;</w:t>
      </w:r>
    </w:p>
    <w:p w14:paraId="26AFBBA5" w14:textId="77777777" w:rsidR="003C39AE" w:rsidRPr="00361B59" w:rsidRDefault="003C39AE" w:rsidP="00630A1B">
      <w:pPr>
        <w:pStyle w:val="NormalHanging12a"/>
        <w:ind w:left="567" w:hanging="567"/>
      </w:pPr>
      <w:r w:rsidRPr="00361B59">
        <w:t>8.</w:t>
      </w:r>
      <w:r w:rsidRPr="00361B59">
        <w:tab/>
        <w:t>üdvözli ezeket a tendenciákat, mivel rávilágítanak az EU átláthatóság iránti folyamatos elkötelezettségére az összetett jogi és politikai kihívások közepette; megjegyzi azonban, hogy a vizsgált esetek 85%-ában a Bizottság nem hozott határozatot a jogszabályban előírt határidőn belül, és hogy az esetek 60%-ában a késedelem meghaladta a 60 munkanapot;</w:t>
      </w:r>
    </w:p>
    <w:p w14:paraId="3EBE5F27" w14:textId="77777777" w:rsidR="003C39AE" w:rsidRPr="00361B59" w:rsidRDefault="003C39AE" w:rsidP="00630A1B">
      <w:pPr>
        <w:pStyle w:val="Normal12a"/>
        <w:ind w:left="567" w:hanging="567"/>
      </w:pPr>
      <w:r w:rsidRPr="00361B59">
        <w:rPr>
          <w:b/>
          <w:i/>
        </w:rPr>
        <w:t>A legfrissebb fejlemények</w:t>
      </w:r>
    </w:p>
    <w:p w14:paraId="285531D3" w14:textId="77777777" w:rsidR="003C39AE" w:rsidRPr="00361B59" w:rsidRDefault="003C39AE" w:rsidP="00630A1B">
      <w:pPr>
        <w:pStyle w:val="NormalHanging12a"/>
        <w:ind w:left="567" w:hanging="567"/>
      </w:pPr>
      <w:r w:rsidRPr="00361B59">
        <w:t>9.</w:t>
      </w:r>
      <w:r w:rsidRPr="00361B59">
        <w:tab/>
        <w:t>hangsúlyozza, hogy az 1049/2001/EK rendelet 4. cikkének (6) bekezdésével összhangban, ha még bizonyos információkat indokolt esetben vissza is kell tartani, meg kell fontolni a részleges közzétételt, és a kért dokumentum egyéb részeit közzé kell tenni, figyelembe véve az átláthatósághoz és a közzétételhez fűződő nyomós közérdeket, amely magában foglalja a felelősségteljes kormányzás, az intézményi hatékonyság, a demokratikus elszámoltathatóság és a döntéshozatali folyamatban való fokozott polgári szerepvállalás elvét;</w:t>
      </w:r>
    </w:p>
    <w:p w14:paraId="676534EE" w14:textId="77777777" w:rsidR="003C39AE" w:rsidRPr="00361B59" w:rsidRDefault="003C39AE" w:rsidP="00630A1B">
      <w:pPr>
        <w:pStyle w:val="NormalHanging12a"/>
        <w:ind w:left="567" w:hanging="567"/>
      </w:pPr>
      <w:r w:rsidRPr="00361B59">
        <w:t>10.</w:t>
      </w:r>
      <w:r w:rsidRPr="00361B59">
        <w:tab/>
        <w:t>szilárd meggyőződése, hogy a dokumentumokhoz való nyilvános hozzáférés és az átláthatóság iránti erős és következetes elkötelezettség az EU demokratikus rendszerének alapvető pillére, amely fokozza a polgárok szerepvállalását és részvételét, és hozzájárul a jó kormányzáshoz és a hatékony és eredményes pénzgazdálkodáshoz; úgy véli, hogy tekintettel a hibrid fenyegetések és hadviselés jelenlegi kontextusára, fontos segíteni a konspirációs narratívák és a dezinformáció elleni küzdelmet, és hogy az erre irányuló kötelezettségvállalás hozzá fog járulni az EU külföldi beavatkozással és az integritásának aláásására irányuló kísérletekkel szembeni rezilienciájának megerősítéséhez;</w:t>
      </w:r>
    </w:p>
    <w:p w14:paraId="30AC8107" w14:textId="77777777" w:rsidR="003C39AE" w:rsidRPr="00361B59" w:rsidRDefault="003C39AE" w:rsidP="00630A1B">
      <w:pPr>
        <w:pStyle w:val="NormalHanging12a"/>
        <w:ind w:left="567" w:hanging="567"/>
      </w:pPr>
      <w:r w:rsidRPr="00361B59">
        <w:t>11.</w:t>
      </w:r>
      <w:r w:rsidRPr="00361B59">
        <w:tab/>
        <w:t xml:space="preserve">úgy véli, hogy a proaktív megközelítés alkalmazása, valamint a hozzáférés megtagadása miatti panaszok kezelésére szolgáló gyorsabb, kevésbé nehézkes és hozzáférhetőbb </w:t>
      </w:r>
      <w:r w:rsidRPr="00361B59">
        <w:lastRenderedPageBreak/>
        <w:t>eljárások elfogadása elősegítené a tényleges átláthatóság biztosítását, a jogviták megelőzését, valamint a szükségtelen költségek és terhek elkerülését;</w:t>
      </w:r>
    </w:p>
    <w:p w14:paraId="64DEB8F7" w14:textId="77777777" w:rsidR="003C39AE" w:rsidRPr="00361B59" w:rsidRDefault="003C39AE" w:rsidP="00630A1B">
      <w:pPr>
        <w:pStyle w:val="NormalHanging12a"/>
        <w:ind w:left="567" w:hanging="567"/>
      </w:pPr>
      <w:r w:rsidRPr="00361B59">
        <w:t>12.</w:t>
      </w:r>
      <w:r w:rsidRPr="00361B59">
        <w:tab/>
        <w:t>aggodalmát fejezi ki amiatt, hogy az uniós intézmények, szervek, hivatalok és ügynökségek a hivatalos dokumentumokat tartósan felülminősítik, ami az átláthatóság elvének megsértését jelenti; megismétli a dokumentumokhoz való nyilvános hozzáférésről szóló korábbi állásfoglalásaiban megfogalmazott, régóta hangoztatott felhívását, hogy a demokratikus elszámoltathatóság biztosítása érdekében hozzanak létre egyértelmű, következetes és jogilag kötelező erejű szabályokat a dokumentumok minősítésére és minősítésének feloldására vonatkozóan;</w:t>
      </w:r>
    </w:p>
    <w:p w14:paraId="4F6ACA40" w14:textId="77777777" w:rsidR="003C39AE" w:rsidRPr="00361B59" w:rsidRDefault="003C39AE" w:rsidP="00630A1B">
      <w:pPr>
        <w:pStyle w:val="NormalHanging12a"/>
        <w:ind w:left="567" w:hanging="567"/>
      </w:pPr>
      <w:r w:rsidRPr="00361B59">
        <w:t>13.</w:t>
      </w:r>
      <w:r w:rsidRPr="00361B59">
        <w:tab/>
        <w:t>aggodalommal veszi tudomásul, hogy a dokumentumokhoz való hozzáférés kérelmezése során az emberek gyakran szembesülnek olyan problémákkal, hogy az intézmények, szervek vagy ügynökségek megalapozatlan érvekre hivatkozva megtagadják a hozzáférést, ugyanakkor a dokumentumokhoz való hasonló hozzáférés iránti kérelmek kezelése következetlenül zajlik;</w:t>
      </w:r>
    </w:p>
    <w:p w14:paraId="4EDDD004" w14:textId="77777777" w:rsidR="003C39AE" w:rsidRPr="00361B59" w:rsidRDefault="003C39AE" w:rsidP="00630A1B">
      <w:pPr>
        <w:pStyle w:val="NormalHanging12a"/>
        <w:ind w:left="567" w:hanging="567"/>
      </w:pPr>
      <w:r w:rsidRPr="00361B59">
        <w:t>14.</w:t>
      </w:r>
      <w:r w:rsidRPr="00361B59">
        <w:tab/>
        <w:t>aggodalmát fejezi ki amiatt, hogy az 1049/2001/EK rendelet 4. cikkében foglalt kivételeket gyakran a dokumentumokhoz való teljes hozzáférés megtagadására alkalmazzák; hangsúlyozza, hogy az átláthatóságnak és a dokumentumokhoz való hozzáférésnek továbbra is általános szabálynak kell maradnia, míg a vonatkozó jogszabályokban meghatározott korlátozott számú jogszerű kivételre, például biztonsági okokból, lehet hivatkozni, és azokat szigorúan kell értelmezni; emlékeztet arra, hogy az európai ombudsman szerint a dokumentumokhoz vagy információkhoz, köztük a jogalkotási dokumentumokhoz való nyilvános hozzáférésre vonatkozó bármely kivételnek vagy korlátozásnak kivételesnek kell lennie, és azt csak a feltétlenül szükséges mértékben szabad alkalmazni; megismétli, hogy az e cikk alapján a dokumentumokhoz való hozzáférésre vonatkozó kivételek egyikére hivatkozó intézménynek, szervnek, hivatalnak vagy ügynökségnek objektív és egyedi, eseti értékelést kell végeznie; felszólítja az uniós intézményeket, szerveket, hivatalokat és ügynökségeket, hogy építsék be ezeket az értékeléseket a dokumentumokhoz való hozzáférés biztosításának gyakorlatába;</w:t>
      </w:r>
    </w:p>
    <w:p w14:paraId="2E821055" w14:textId="34544335" w:rsidR="003C39AE" w:rsidRPr="00361B59" w:rsidRDefault="003C39AE" w:rsidP="00630A1B">
      <w:pPr>
        <w:pStyle w:val="NormalHanging12a"/>
        <w:ind w:left="567" w:hanging="567"/>
      </w:pPr>
      <w:r w:rsidRPr="00361B59">
        <w:t>15.</w:t>
      </w:r>
      <w:r w:rsidRPr="00361B59">
        <w:tab/>
        <w:t>felhívja a Bizottságot, hogy biztosítsa a komitológia keretében hozott határozatok átláthatóságát; emlékeztet arra, hogy az EUB úgy ítélte meg, hogy a komitológiai eljárás során a tagállamok álláspontjának felfedése önmagában nem veszélyezteti a döntéshozatali folyamatot</w:t>
      </w:r>
      <w:r w:rsidR="00E27694" w:rsidRPr="00361B59">
        <w:rPr>
          <w:rStyle w:val="FootnoteReference"/>
        </w:rPr>
        <w:footnoteReference w:id="23"/>
      </w:r>
      <w:r w:rsidRPr="00361B59">
        <w:t>;</w:t>
      </w:r>
    </w:p>
    <w:p w14:paraId="4EB94F6A" w14:textId="335CC140" w:rsidR="003C39AE" w:rsidRPr="00361B59" w:rsidRDefault="003C39AE" w:rsidP="00630A1B">
      <w:pPr>
        <w:pStyle w:val="NormalHanging12a"/>
        <w:ind w:left="567" w:hanging="567"/>
      </w:pPr>
      <w:r w:rsidRPr="00361B59">
        <w:t>16.</w:t>
      </w:r>
      <w:r w:rsidRPr="00361B59">
        <w:tab/>
        <w:t xml:space="preserve">aggodalmát fejezi ki amiatt, hogy egyes uniós ügynökségek dokumentumaihoz nehéz hozzáférni, és hogy ezek az ügynökségek megakadályozzák a nyilvánosság hozzáférését a dokumentumokhoz és azok megfelelő ellenőrizését; hangsúlyozza, hogy nagyobb átláthatóságra és az uniós ügynökségek dokumentumaihoz való proaktív hozzáférésre van szükség; felszólítja továbbá az uniós ügynökségeket, hogy a dokumentumokhoz való hozzáférésre vonatkozó szabályaikra alkalmazzák a 1049/2001/EK rendeletet; felhívja különösen az Európai Unió Menekültügyi Ügynökségét (EUAA), hogy a demokratikus felügyelet megerősítése érdekében az Európai Unió Menekültügyi </w:t>
      </w:r>
      <w:r w:rsidRPr="00361B59">
        <w:lastRenderedPageBreak/>
        <w:t>Ügynökségéről szóló (EU) 2021/2303 rendelettel</w:t>
      </w:r>
      <w:r w:rsidR="00E27694" w:rsidRPr="00361B59">
        <w:rPr>
          <w:rStyle w:val="FootnoteReference"/>
        </w:rPr>
        <w:footnoteReference w:id="24"/>
      </w:r>
      <w:r w:rsidRPr="00361B59">
        <w:t xml:space="preserve"> összhangban időben biztosítson hozzáférést az Európai Parlament számára dokumentumokhoz, különösen a biztonságos származási országokra és a biztonságos harmadik országokra vonatkozó információkhoz és elemzésekhez; kéri, hogy az 1049/</w:t>
      </w:r>
      <w:r w:rsidR="00CE7CA7">
        <w:t>20</w:t>
      </w:r>
      <w:r w:rsidRPr="00361B59">
        <w:t>01/EK rendelet 17. cikkében előírt, a rendelet végrehajtásáról szóló éves jelentéstételi kötelezettséget terjesszék ki az EUMSZ 15. cikkének hatálya alá tartozó összes többi uniós intézményre, ügynökségre és szervre;</w:t>
      </w:r>
    </w:p>
    <w:p w14:paraId="36287ABD" w14:textId="77777777" w:rsidR="003C39AE" w:rsidRPr="00361B59" w:rsidRDefault="003C39AE" w:rsidP="00630A1B">
      <w:pPr>
        <w:pStyle w:val="NormalHanging12a"/>
        <w:ind w:left="567" w:hanging="567"/>
      </w:pPr>
      <w:r w:rsidRPr="00361B59">
        <w:t>17.</w:t>
      </w:r>
      <w:r w:rsidRPr="00361B59">
        <w:tab/>
        <w:t>sajnálatát fejezi ki amiatt, hogy a dokumentumokhoz való hozzáférésről szóló korábbi parlamenti jelentésekben megfogalmazott ajánlások nyomán a Bizottság és a Tanács továbbra sem hoz érdemi intézkedéseket; sajnálatát fejezi ki továbbá amiatt, hogy az uniós intézmények nem tesznek közzé proaktív módon a jogalkotással kapcsolatos számos dokumentumot, meggátolva ezzel a polgárokat abban, hogy megismerhessék, melyek a ténylegesen létező dokumentumok, akadályozva ezáltal azon jogukat, hogy hozzáférést kérhessenek a dokumentumokhoz;</w:t>
      </w:r>
    </w:p>
    <w:p w14:paraId="49F96759" w14:textId="77777777" w:rsidR="003C39AE" w:rsidRPr="00361B59" w:rsidRDefault="003C39AE" w:rsidP="00630A1B">
      <w:pPr>
        <w:pStyle w:val="NormalHanging12a"/>
        <w:ind w:left="567" w:hanging="567"/>
      </w:pPr>
      <w:r w:rsidRPr="00361B59">
        <w:t>18.</w:t>
      </w:r>
      <w:r w:rsidRPr="00361B59">
        <w:tab/>
        <w:t>sajnálatát fejezi ki amiatt, hogy nehezen fér hozzá a Bizottságtól származó, az uniós jog végrehajtásával és érvényesítésével kapcsolatos információkhoz; ezért felhívja a Bizottságot, hogy biztosítsa a kötelezettszegési eljárások keretében hozott határozatok átláthatóságát;</w:t>
      </w:r>
    </w:p>
    <w:p w14:paraId="7FFE8E21" w14:textId="77777777" w:rsidR="003C39AE" w:rsidRPr="00361B59" w:rsidRDefault="003C39AE" w:rsidP="00630A1B">
      <w:pPr>
        <w:pStyle w:val="NormalHanging12a"/>
        <w:ind w:left="567" w:hanging="567"/>
      </w:pPr>
      <w:r w:rsidRPr="00361B59">
        <w:t>19.</w:t>
      </w:r>
      <w:r w:rsidRPr="00361B59">
        <w:tab/>
        <w:t>felhívja a Bizottságot, hogy biztosítsa uniós költségvetés – különösen a nem uniós országoknak nyújtott uniós finanszírozás – tekintetében, valamint a migráció és biztonság területén hozott döntések átláthatóságát, beleértve a finanszírozás összegére, céljára és forrására vonatkozó információkat, annak érdekében, hogy a Parlament és a nyilvánosság ellenőrizhesse az EU költségvetésének végrehajtását;</w:t>
      </w:r>
    </w:p>
    <w:p w14:paraId="639F8F28" w14:textId="77777777" w:rsidR="003C39AE" w:rsidRPr="00361B59" w:rsidRDefault="003C39AE" w:rsidP="00630A1B">
      <w:pPr>
        <w:pStyle w:val="NormalHanging12a"/>
        <w:ind w:left="567" w:hanging="567"/>
      </w:pPr>
      <w:r w:rsidRPr="00361B59">
        <w:t>20.</w:t>
      </w:r>
      <w:r w:rsidRPr="00361B59">
        <w:tab/>
        <w:t>ismételten aggodalmát fejezi ki a Bizottság által a megerősítő kérelmekre adott válaszok terén az európai ombudsmannak az OI/2/2022/OAM különjelentésben említett vizsgálata által feltárt rendszerszintű késedelmek miatt, amely megállapította, hogy a strukturális hiányosságok, az elégtelen erőforrások és a nem hatékony kommunikáció végső soron visszatartotta az egyéneket attól, hogy a dokumentumokhoz való hozzáférésük jogát gyakorolják; sajnálja, hogy a Bizottság még nem hajtotta teljes mértékben végre az ombudsman néhány kulcsfontosságú ajánlását, különösen a határidők betartására vonatkozókat, és nem tanúsított kézzelfogható elkötelezettséget ezek végrehajtása iránt; felhívja azonban a Bizottságot és a Tanácsot, hogy az ombudsman ajánlásainak való megfelelés biztosításához fogadják el a szükséges intézkedéseket, és foglalkozzanak olyan alapvető kérdésekkel, mint az állandó késedelmek, a kérelmezőkkel való együttműködés hiánya és a nagy horderejű ügyekben a nem megfelelő átláthatóság; sürgeti a Bizottságot, hogy orvosolja a dokumentumokhoz való nyilvános hozzáférés iránti kérelmek feldolgozása terén tapasztalható szisztematikus késedelmeket; úgy véli, hogy rendelkezni kell az esetleges szankciókról vagy következményekről arra az esetre, ha az intézmények nem válaszolnak a dokumentumokhoz való hozzáférés iránti kérelmekre;</w:t>
      </w:r>
    </w:p>
    <w:p w14:paraId="7B43E571" w14:textId="77777777" w:rsidR="003C39AE" w:rsidRPr="00361B59" w:rsidRDefault="003C39AE" w:rsidP="00630A1B">
      <w:pPr>
        <w:pStyle w:val="NormalHanging12a"/>
        <w:ind w:left="567" w:hanging="567"/>
      </w:pPr>
      <w:r w:rsidRPr="00361B59">
        <w:lastRenderedPageBreak/>
        <w:t>21.</w:t>
      </w:r>
      <w:r w:rsidRPr="00361B59">
        <w:tab/>
        <w:t>sajnálatát fejezi ki amiatt, hogy a Bizottság által benyújtott számos jogalkotási javaslatot kísérő hatásvizsgálat vagy az annak benyújtására vonatkozó kötelezettségtől való kellően indokolt eltérés nélkül nyújtottak be; hangsúlyozza, hogy a jogalkotási folyamat átláthatóságának tiszteletben tartása érdekében a társjogalkotókat teljeskörűen tájékoztatni kell a jogalkotási kezdeményezéseket alátámasztó bizonyítékokról; felhívja a Bizottságot annak biztosítására, hogy minden jövőbeli jogalkotási javaslat összeegyeztethető legyen az alapvető jogokkal, megbízható és ellenőrizhető adatokon alapuljon, amelyek egyértelműen bizonyítják a javaslatok szükségességét, arányosságát és várható hatékonyságát és költséghatékonyságát, és ezekhez készüljön átfogó hatásvizsgálat; sürgeti továbbá a Bizottságot, hogy biztosítsa a jogalkotási javaslatok előkészítése során megkérdezett érdekelt felek kiválasztásának teljes átláthatóságát, valamint hogy elegendő idő legyen a széles körű nyilvános konzultációkra;</w:t>
      </w:r>
    </w:p>
    <w:p w14:paraId="76C6202D" w14:textId="77777777" w:rsidR="003C39AE" w:rsidRPr="00361B59" w:rsidRDefault="003C39AE" w:rsidP="00630A1B">
      <w:pPr>
        <w:pStyle w:val="NormalHanging12a"/>
        <w:ind w:left="567" w:hanging="567"/>
      </w:pPr>
      <w:r w:rsidRPr="00361B59">
        <w:t>22.</w:t>
      </w:r>
      <w:r w:rsidRPr="00361B59">
        <w:tab/>
        <w:t>mélységesen sajnálja, hogy még mindig hiányzik a Tanácson belüli átláthatóság; mélységesen sajnálja, hogy a közelmúlt elemzései továbbra is a proaktív közzétételi és nyilvántartási gyakorlatok hiányára mutatnak rá; emlékeztet arra, hogy az EUSZ 16. cikkének (8) bekezdése értelmében a Tanács üléseinek nyilvánosnak kell lenniük, ha azokon jogalkotási aktus tervezetéről tanácskoznak vagy szavaznak; hangsúlyozza, hogy a folyamatban lévő jogalkotási eljárások során a legtöbb előkészítő dokumentum „LIMITE” megjelöléssel való ellátása aránytalanul korlátozza a polgárok ahhoz való jogát, hogy hozzáférjenek a jogalkotási dokumentumokhoz; hangsúlyozza, hogy annak érdekében, hogy a polgárok teljeskörűen gyakorolhassák a dokumentumokhoz való hozzáférési jogukat, az összes létrehozott és/vagy terjesztett jogalkotási dokumentumot szerepeltetni kell egy felhasználóbarát nyilvános dokumentumtárban; sürgeti a Tanácsot, hogy javítsa az átláthatóságra vonatkozó szabályait és eljárásait, beleértve a jogalkotási dokumentumok hozzáférhetőségét és osztályozását is; kiemeli továbbá, hogy az EUB ítélkezési gyakorlata elismeri a nyilvánosság jogát a jogalkotási eljárás keretében eljáró tanácsi munkacsoportok dokumentumaihoz való hozzáféréshez; megjegyzi azonban, hogy a hozzáférést továbbra is aktívan kérelmezni kell; komoly aggodalommal veszi tudomásul azokat a megállapításokat, miszerint a Tanács megtagadta a háromoldalú egyeztetések dokumentumaihoz – így a Tanács általános megközelítéseihez, a napirendekhez, az eredmények összefoglalóihoz és a háromoldalú egyeztetések jegyzőkönyveihez – való hozzáférést;</w:t>
      </w:r>
    </w:p>
    <w:p w14:paraId="29CD4F91" w14:textId="77777777" w:rsidR="003C39AE" w:rsidRPr="00361B59" w:rsidRDefault="003C39AE" w:rsidP="00630A1B">
      <w:pPr>
        <w:pStyle w:val="NormalHanging12a"/>
        <w:ind w:left="567" w:hanging="567"/>
      </w:pPr>
      <w:r w:rsidRPr="00361B59">
        <w:t>23.</w:t>
      </w:r>
      <w:r w:rsidRPr="00361B59">
        <w:tab/>
        <w:t>megismétli, hogy a Tanácsnak magasabb szintű átláthatósági normákat kell betartania; hangsúlyozza, hogy az intézményközi bizalom megrendül, ha valamely intézmény tartósan megtagadja a nyilvános hozzáférést az uniós döntéshozatal szempontjából releváns dokumentumokhoz;</w:t>
      </w:r>
    </w:p>
    <w:p w14:paraId="447232D6" w14:textId="77777777" w:rsidR="003C39AE" w:rsidRPr="00361B59" w:rsidRDefault="003C39AE" w:rsidP="00630A1B">
      <w:pPr>
        <w:pStyle w:val="NormalHanging12a"/>
        <w:ind w:left="567" w:hanging="567"/>
      </w:pPr>
      <w:r w:rsidRPr="00361B59">
        <w:t>24.</w:t>
      </w:r>
      <w:r w:rsidRPr="00361B59">
        <w:tab/>
        <w:t>hangsúlyozza, hogy a nemzetközi megállapodások kötelező joghatással bírnak, és alakítják az uniós jogszabályok kidolgozását; ennek megfelelően kitart amellett, hogy feltétlenül biztosítani kell a teljes átláthatóságot a tárgyalási folyamat során azáltal, hogy az európai parlamenti képviselők számára időben és korlátlanul hozzáférést biztosítanak valamennyi vonatkozó dokumentumhoz; emlékeztet arra, hogy az EUMSZ 218. cikke (10) bekezdésének értelmében „az Európai Parlamentet az eljárás minden szakaszában haladéktalanul és teljeskörűen tájékoztatni kell”;</w:t>
      </w:r>
    </w:p>
    <w:p w14:paraId="6C150851" w14:textId="77777777" w:rsidR="003C39AE" w:rsidRPr="00361B59" w:rsidRDefault="003C39AE" w:rsidP="00630A1B">
      <w:pPr>
        <w:pStyle w:val="NormalHanging12a"/>
        <w:ind w:left="567" w:hanging="567"/>
      </w:pPr>
      <w:r w:rsidRPr="00361B59">
        <w:t>25.</w:t>
      </w:r>
      <w:r w:rsidRPr="00361B59">
        <w:tab/>
        <w:t xml:space="preserve">üdvözli az EUB Stevi és a New York Times kontra Bizottság ügyben hozott ítéletét, amely fontos hozzájárulás az EU intézményeinek, szerveinek, hivatalainak és ügynökségeinek átlátható gyakorlatát előmozdító ítélkezési gyakorlat irányvonalához; megjegyzi, hogy az EUB határozata lehetőséget hagy az 1049/2001/EK rendelet </w:t>
      </w:r>
      <w:r w:rsidRPr="00361B59">
        <w:lastRenderedPageBreak/>
        <w:t>modernizált értelmezésére a mai kommunikációs gyakorlatok és az átláthatósággal kapcsolatos növekvő elvárások fényében; emlékeztet arra, hogy az EUB egyértelművé tette, hogy a dokumentumokhoz való hozzáférés joga minden releváns formátumra kiterjed, és azt a nyilvántartásra vonatkozó belső szabályokkal vagy szelektív iratkezelési gyakorlatokkal nem lehet megkerülni; ezért felszólítja az összes uniós intézményt, szervet, hivatalt és ügynökséget, hogy proaktívan őrizzék meg, vegyék nyilvántartásba és tegyék hozzáférhetővé az összes hivatalos dokumentumot, minden releváns formátumban, amely magában foglalhatja például a digitális kommunikációt és a szöveges üzeneteket, amennyiben azok közügyeket érintenek;</w:t>
      </w:r>
    </w:p>
    <w:p w14:paraId="7DECFDB0" w14:textId="77777777" w:rsidR="003C39AE" w:rsidRPr="00361B59" w:rsidRDefault="003C39AE" w:rsidP="00630A1B">
      <w:pPr>
        <w:pStyle w:val="NormalHanging12a"/>
        <w:ind w:left="567" w:hanging="567"/>
      </w:pPr>
      <w:r w:rsidRPr="00361B59">
        <w:t>26.</w:t>
      </w:r>
      <w:r w:rsidRPr="00361B59">
        <w:tab/>
        <w:t>úgy véli, hogy az, ahogyan a Bizottság elnöke a dokumentumokhoz való hozzáférés iránti kérelmet kezelte ebben az ügyben, csökkentette a Bizottságba vetett bizalmat; sajnálatát fejezi ki amiatt, hogy a Bizottság folyamatosan megtagadja annak magyarázatát, hogy miért nem lehetett hozzáférést biztosítani a kért dokumentumokhoz; megjegyzi, hogy a hozzáférési jog hatékony gyakorlásának biztosítása érdekében az ítélet hangsúlyozza a dokumentumok proaktív módon történő megőrzésére vonatkozó kötelezettséget;</w:t>
      </w:r>
    </w:p>
    <w:p w14:paraId="07CD494B" w14:textId="77777777" w:rsidR="003C39AE" w:rsidRPr="00361B59" w:rsidRDefault="003C39AE" w:rsidP="00630A1B">
      <w:pPr>
        <w:pStyle w:val="NormalHanging12a"/>
        <w:ind w:left="567" w:hanging="567"/>
      </w:pPr>
      <w:r w:rsidRPr="00361B59">
        <w:t>27.</w:t>
      </w:r>
      <w:r w:rsidRPr="00361B59">
        <w:tab/>
        <w:t>e tekintetben megjegyzi, hogy egy dokumentum nyilvántartásba vétele a dokumentum létezésének következménye, nem pedig előfeltétele, és hogy a Bizottság nem hagyatkozhat kizárólag a rendszerében való nyilvántartás hiányára annak megállapításához, hogy nem rendelkezik a kért dokumentummal; határozottan úgy véli, hogy egy dokumentum pusztán amiatti elvesztése vagy törlése, hogy egy dokumentumot „rövid élettartamúnak” nyilvánítanak, alapvetően aláássa az átláthatóság és a jó kormányzás elvét, ami veszélyes precedenst teremt a dokumentumokhoz való hozzáférés iránti kérelmek jövőbeli kezelésére nézve;</w:t>
      </w:r>
    </w:p>
    <w:p w14:paraId="69817B90" w14:textId="506E23BE" w:rsidR="003C39AE" w:rsidRPr="00361B59" w:rsidRDefault="003C39AE" w:rsidP="00630A1B">
      <w:pPr>
        <w:pStyle w:val="NormalHanging12a"/>
        <w:ind w:left="567" w:hanging="567"/>
      </w:pPr>
      <w:r w:rsidRPr="00361B59">
        <w:t>28.</w:t>
      </w:r>
      <w:r w:rsidRPr="00361B59">
        <w:tab/>
        <w:t>aggodalmát fejezi ki az átláthatóság azon hiánya miatt, amelyről a Bizottság a Covid19-járvánnyal összefüggő beszerzési megállapodások közzétételével kapcsolatban tett tanúbizonyságot; kiemeli, hogy az EUB úgy ítélte meg, hogy a Bizottság nem biztosított kellően széles körű hozzáférést a nyilvánosság számára a Covid19-oltóanyagokra vonatkozó beszerzési megállapodásokhoz</w:t>
      </w:r>
      <w:r w:rsidR="00E27694" w:rsidRPr="00361B59">
        <w:rPr>
          <w:rStyle w:val="FootnoteReference"/>
        </w:rPr>
        <w:footnoteReference w:id="25"/>
      </w:r>
      <w:r w:rsidRPr="00361B59">
        <w:t>;</w:t>
      </w:r>
    </w:p>
    <w:p w14:paraId="276E41CB" w14:textId="77777777" w:rsidR="003C39AE" w:rsidRPr="00361B59" w:rsidRDefault="003C39AE" w:rsidP="00630A1B">
      <w:pPr>
        <w:pStyle w:val="NormalHanging12a"/>
        <w:ind w:left="567" w:hanging="567"/>
      </w:pPr>
      <w:r w:rsidRPr="00361B59">
        <w:t>29.</w:t>
      </w:r>
      <w:r w:rsidRPr="00361B59">
        <w:tab/>
        <w:t>felszólítja az uniós intézményeket, szerveket, hivatalokat és ügynökségeket, hogy alkalmazzanak beépített átláthatósági politikát, és proaktív módon tegyék közzé a dokumentumokat azzal a végső céllal, hogy a polgárok teljes mértékben gyakorolhassák a dokumentumokhoz való hozzáférés jogát és ellenőrizhessék a tevékenységeket;</w:t>
      </w:r>
    </w:p>
    <w:p w14:paraId="4BDED399" w14:textId="77777777" w:rsidR="003C39AE" w:rsidRPr="00361B59" w:rsidRDefault="003C39AE" w:rsidP="00630A1B">
      <w:pPr>
        <w:pStyle w:val="NormalHanging12a"/>
        <w:ind w:left="567" w:hanging="567"/>
      </w:pPr>
      <w:r w:rsidRPr="00361B59">
        <w:t>30.</w:t>
      </w:r>
      <w:r w:rsidRPr="00361B59">
        <w:tab/>
        <w:t>sürgeti a Bizottságot, hogy ismerje el, hogy az átláthatósághoz és a dokumentumokhoz való hozzáféréshez való jog polgárok általi gyakorlása nem a bizalmatlanság jele, amelyet ezért korlátozni vagy akadályozni kell, hanem inkább lehetőség az uniós intézmények számára arra, hogy bemutassák a döntéshozatal módját, és növeljék a társadalom Unióba vetett bizalmát;</w:t>
      </w:r>
    </w:p>
    <w:p w14:paraId="3E688008" w14:textId="77777777" w:rsidR="003C39AE" w:rsidRPr="00361B59" w:rsidRDefault="003C39AE" w:rsidP="00630A1B">
      <w:pPr>
        <w:pStyle w:val="NormalHanging12a"/>
        <w:ind w:left="567" w:hanging="567"/>
      </w:pPr>
      <w:r w:rsidRPr="00361B59">
        <w:t>31.</w:t>
      </w:r>
      <w:r w:rsidRPr="00361B59">
        <w:tab/>
        <w:t xml:space="preserve">aggodalommal jegyzi meg, hogy jelenleg a polgárok csak úgy támadhatják meg a dokumentumokhoz való hozzáférés iránti kérelem elutasítását vagy az időben történő válaszadás hiányát a határidők be nem tartása esetén, hogy panaszt tesznek az ombudsmannál – akinek az ajánlásai sajnos nem jogilag kötelező erejűek –, vagy </w:t>
      </w:r>
      <w:r w:rsidRPr="00361B59">
        <w:lastRenderedPageBreak/>
        <w:t>bírósági eljárást indítanak az intézmény ellen az Európai Unió Bíróságán, ami egy rendkívül hosszadalmas és költséges, bizonytalan kimenetelű folyamat, ami olyan indokolatlan terhet jelent, amely elrettenti azokat a polgárokat, akik fellebbezni kívánnak a hozzáférés megtagadása ellen; kiemeli, hogy a rendkívül magas jogi költségek visszatartó hatással vannak a polgárokra és a civil társadalomra a jogérvényesítéshez való jogukat és a Charta által biztosított hatékony jogorvoslathoz való jogukat illetően;</w:t>
      </w:r>
    </w:p>
    <w:p w14:paraId="4A047884" w14:textId="77777777" w:rsidR="003C39AE" w:rsidRPr="00361B59" w:rsidRDefault="003C39AE" w:rsidP="00630A1B">
      <w:pPr>
        <w:pStyle w:val="Normal12a"/>
        <w:ind w:left="567" w:hanging="567"/>
      </w:pPr>
      <w:r w:rsidRPr="00361B59">
        <w:rPr>
          <w:b/>
          <w:i/>
        </w:rPr>
        <w:t>Ajánlások</w:t>
      </w:r>
    </w:p>
    <w:p w14:paraId="28902FFA" w14:textId="77777777" w:rsidR="003C39AE" w:rsidRPr="00361B59" w:rsidRDefault="003C39AE" w:rsidP="00630A1B">
      <w:pPr>
        <w:pStyle w:val="NormalHanging12a"/>
        <w:ind w:left="567" w:hanging="567"/>
      </w:pPr>
      <w:r w:rsidRPr="00361B59">
        <w:t>32.</w:t>
      </w:r>
      <w:r w:rsidRPr="00361B59">
        <w:tab/>
        <w:t>tudomásul veszi a Bizottság dokumentumokhoz való hozzáférésre vonatkozó felülvizsgált belső szabályzatának elfogadását, és hogy kérdések merültek fel a szabályzatnak a Chartával, az EUSZ-szel, az EUMSZ-szel és az 1049/2001/EK rendelettel való összeegyeztethetőségét illetően, és megjegyzi, hogy az Európai Unió Törvényszéke előtt több eljárás van folyamatban; sürgeti a Bizottságot, hogy a vonatkozó ítélkezési gyakorlat fényében vizsgálja felül az iratkezelésre és az irattárra vonatkozó szabályait, és a legmagasabb szintű átláthatóság elérése érdekében pontosítsa vagy igazítsa ki azokat összhangban az EUMSZ 15. cikkének és az 1049/2001/EK rendelet követelményeivel és szellemével; úgy véli, hogy ez hozzájárul az EU demokratikus hitelességéhez;</w:t>
      </w:r>
    </w:p>
    <w:p w14:paraId="3E8D635C" w14:textId="77777777" w:rsidR="003C39AE" w:rsidRPr="00361B59" w:rsidRDefault="003C39AE" w:rsidP="00630A1B">
      <w:pPr>
        <w:pStyle w:val="NormalHanging12a"/>
        <w:ind w:left="567" w:hanging="567"/>
      </w:pPr>
      <w:r w:rsidRPr="00361B59">
        <w:t>33.</w:t>
      </w:r>
      <w:r w:rsidRPr="00361B59">
        <w:tab/>
        <w:t>felszólítja az uniós intézményeket, szerveket, hivatalokat és ügynökségeket, hogy fogadjanak el hozzáférhető eljárásokat a hozzáférés megtagadásával kapcsolatos panaszok kezelésére, és hozzanak intézkedéseket annak biztosítására, hogy a polgárok szükség esetén megtámadhassák a határozatokat; emlékeztet arra, hogy az uniós intézmények kötelesek személyre szabott válaszokat adni, és nem támaszkodhatnak kizárólag a hozzáférhetővé tétel megtagadásának általános vélelmére;</w:t>
      </w:r>
    </w:p>
    <w:p w14:paraId="51299C95" w14:textId="77777777" w:rsidR="003C39AE" w:rsidRPr="00361B59" w:rsidRDefault="003C39AE" w:rsidP="00630A1B">
      <w:pPr>
        <w:pStyle w:val="NormalHanging12a"/>
        <w:ind w:left="567" w:hanging="567"/>
      </w:pPr>
      <w:r w:rsidRPr="00361B59">
        <w:t>34.</w:t>
      </w:r>
      <w:r w:rsidRPr="00361B59">
        <w:tab/>
        <w:t>tudomásul veszi, hogy a Bizottság visszavonta az 1049/2001/EK rendelet felülvizsgálatára irányuló 2008-as és 2011-es javaslatait; sajnálatát fejezi ki amiatt a döntés miatt, hogy az éveken át tartó patthelyzetet követően egyértelmű ütemterv, határidő vagy érdemi konzultáció nélkül visszavonják javaslatokat, és ezáltal elszalasztva egy fontos lehetőséget a meglévő, elavult keret korszerűsítésére; határozottan javasolja, hogy a Bizottság tanulmányozza a dokumentumokhoz való hozzáférésre vonatkozó különböző, többek között azokban a tagállamok érvényes nemzeti jogszabályokat és gyakorlatokat, ahol az átláthatóságra vonatkozóan az uniós szintűnél magasabb szintű normák vannak;</w:t>
      </w:r>
    </w:p>
    <w:p w14:paraId="4468EA01" w14:textId="77777777" w:rsidR="003C39AE" w:rsidRPr="00361B59" w:rsidRDefault="003C39AE" w:rsidP="00630A1B">
      <w:pPr>
        <w:pStyle w:val="NormalHanging12a"/>
        <w:ind w:left="567" w:hanging="567"/>
      </w:pPr>
      <w:r w:rsidRPr="00361B59">
        <w:t>35.</w:t>
      </w:r>
      <w:r w:rsidRPr="00361B59">
        <w:tab/>
        <w:t>felhívja a Bizottságot, hogy terjesszen elő aktualizált és ambiciózusabb javaslatot, amely magában foglalja az EUB és az EJEB ítélkezési gyakorlatát, figyelembe veszi a Parlament ajánlásait, többek között az 1049/2001/EK rendelet javasolt felülvizsgálatáról szóló, 2011. évi álláspontját, és amely szankciókat tartalmaz az átláthatósági szabályok be nem tartása esetére; felhívja továbbá a Bizottságot, hogy a kivételeket szűkítse a feltétlenül szükséges esetekre, és ambiciózus, új uniós normát határozzon meg a dokumentumokhoz való nyílt és nyilvános hozzáférésre vonatkozóan; egy aktualizált javaslat elkészültéig kéri, hogy az 1049/2001/EK rendeletet a vonatkozó ítélkezési gyakorlattal és a lehető legszélesebb körű hozzáférés biztosításának elvével összhangban szigorúan értelmezzék és következetesen alkalmazzák;</w:t>
      </w:r>
    </w:p>
    <w:p w14:paraId="07E5F518" w14:textId="77777777" w:rsidR="003C39AE" w:rsidRPr="00361B59" w:rsidRDefault="003C39AE" w:rsidP="00630A1B">
      <w:pPr>
        <w:pStyle w:val="NormalHanging12a"/>
        <w:ind w:left="567" w:hanging="567"/>
      </w:pPr>
      <w:r w:rsidRPr="00361B59">
        <w:t>36.</w:t>
      </w:r>
      <w:r w:rsidRPr="00361B59">
        <w:tab/>
        <w:t xml:space="preserve">hangsúlyozza, hogy az Európai Parlamentnek jó példát kell mutatnia azáltal, hogy a jogalkotás átláthatóságára vonatkozó bevett gyakorlatának megfelelően proaktívan </w:t>
      </w:r>
      <w:r w:rsidRPr="00361B59">
        <w:lastRenderedPageBreak/>
        <w:t>közzéteszi a dokumentumokat, és ezt a megközelítést kiterjeszti jogalkotási aktákhoz és munkához kapcsolódó dokumentumokra is, például a koordinátorok üléseinek napirendjére és jegyzőkönyveire, valamint az Elnökök Konferenciájának napirendjeire is;</w:t>
      </w:r>
    </w:p>
    <w:p w14:paraId="1BF84D32" w14:textId="77777777" w:rsidR="003C39AE" w:rsidRPr="00361B59" w:rsidRDefault="003C39AE" w:rsidP="00630A1B">
      <w:pPr>
        <w:pStyle w:val="NormalHanging12a"/>
        <w:ind w:left="567" w:hanging="567"/>
      </w:pPr>
      <w:r w:rsidRPr="00361B59">
        <w:t>37.</w:t>
      </w:r>
      <w:r w:rsidRPr="00361B59">
        <w:tab/>
        <w:t>ismételten felszólítja a Bizottságot, hogy a jogi kötelezettségek betartása, valamint a nyilvánosság bizalmának és részvételének támogatása érdekébenhaladéktalanul foglalkozzon a megerősítő kérelmek kezelése terén tapasztalható rendszerszintű késedelmekkel, proaktív megközelítést alkalmazva, javítva a belső eljárásokat, alapos igényfelmérés alapján elegendő emberi és pénzügyi erőforrást különítve el, valamint biztosítva a kérelmezőkkel való időben történő és átlátható kommunikációt;</w:t>
      </w:r>
    </w:p>
    <w:p w14:paraId="1FB648D7" w14:textId="77777777" w:rsidR="003C39AE" w:rsidRPr="00361B59" w:rsidRDefault="003C39AE" w:rsidP="00630A1B">
      <w:pPr>
        <w:pStyle w:val="NormalHanging12a"/>
        <w:ind w:left="567" w:hanging="567"/>
      </w:pPr>
      <w:r w:rsidRPr="00361B59">
        <w:t>38.</w:t>
      </w:r>
      <w:r w:rsidRPr="00361B59">
        <w:tab/>
        <w:t>javasolja, hogy az uniós intézmények, szervek, hivatalok és ügynökségek a kérelmek feldolgozásának megkönnyítése érdekében tegyenek közzé tanácsokat a honlapjukon arra vonatkozóan, hogy milyen információkat kell tartalmaznia az 1049/2001/EK rendelet szerinti dokumentumokhoz való hozzáférés iránti kérelemnek;</w:t>
      </w:r>
    </w:p>
    <w:p w14:paraId="2F151322" w14:textId="77777777" w:rsidR="003C39AE" w:rsidRPr="00361B59" w:rsidRDefault="003C39AE" w:rsidP="00630A1B">
      <w:pPr>
        <w:pStyle w:val="NormalHanging12a"/>
        <w:ind w:left="567" w:hanging="567"/>
      </w:pPr>
      <w:r w:rsidRPr="00361B59">
        <w:t>39.</w:t>
      </w:r>
      <w:r w:rsidRPr="00361B59">
        <w:tab/>
        <w:t>hangsúlyozza, hogy a hatóságok birtokában lévő környezeti információk közérdekűek, és hogy az Aarhusi Egyezmény szerint a nyilvánosság számára széles körű hozzáférést kell biztosítani ezekhez az információkhoz; sajnálatát fejezi ki amiatt, hogy a kibocsátások környezetre gyakorolt hatásaira vonatkozó információkhoz való hozzáférés megtagadása – például a vegyi szennyezés területén – negatív hatással lehet a közegészségre és a polgárok veszélyes anyagokkal szembeni védelmére;</w:t>
      </w:r>
    </w:p>
    <w:p w14:paraId="568BCD93" w14:textId="77777777" w:rsidR="003C39AE" w:rsidRPr="00361B59" w:rsidRDefault="003C39AE" w:rsidP="00630A1B">
      <w:pPr>
        <w:pStyle w:val="NormalHanging12a"/>
        <w:ind w:left="567" w:hanging="567"/>
      </w:pPr>
      <w:r w:rsidRPr="00361B59">
        <w:t>40.</w:t>
      </w:r>
      <w:r w:rsidRPr="00361B59">
        <w:tab/>
        <w:t>üdvözli, hogy az európai ombudsman gyors felülvizsgálati eljárást vezetett be a hozzáférés iránti kérelmek elutasítása esetén;</w:t>
      </w:r>
    </w:p>
    <w:p w14:paraId="4C5A7285" w14:textId="77777777" w:rsidR="003C39AE" w:rsidRPr="00361B59" w:rsidRDefault="003C39AE" w:rsidP="00630A1B">
      <w:pPr>
        <w:pStyle w:val="NormalHanging12a"/>
        <w:ind w:left="567" w:hanging="567"/>
      </w:pPr>
      <w:r w:rsidRPr="00361B59">
        <w:t>41.</w:t>
      </w:r>
      <w:r w:rsidRPr="00361B59">
        <w:tab/>
        <w:t>felhívja az uniós intézményeket, szerveket, hivatalokat és ügynökségeket, hogy az átláthatóság, az elszámoltathatóság és a jó kormányzás belső kultúrájának előmozdítása érdekében hozzanak létre és kínáljanak képzési programokat a személyzet valamennyi érintett tagja, különösen a dokumentumokat kezelők és a döntéshozatali folyamatok irányítói számára;</w:t>
      </w:r>
    </w:p>
    <w:p w14:paraId="44E8244B" w14:textId="77777777" w:rsidR="003C39AE" w:rsidRPr="00361B59" w:rsidRDefault="003C39AE" w:rsidP="00630A1B">
      <w:pPr>
        <w:pStyle w:val="NormalHanging12a"/>
        <w:ind w:left="567" w:hanging="567"/>
      </w:pPr>
      <w:r w:rsidRPr="00361B59">
        <w:t>42.</w:t>
      </w:r>
      <w:r w:rsidRPr="00361B59">
        <w:tab/>
        <w:t>felszólít arra, hogy a hozzáférési kérelmek elutasításáról szóló döntéseket objektív és egyedi, eseti értékelés alapján hozzák meg, azokat indokolatlan késedelem nélkül közöljék, részletes és konkrét indoklással lássák el, a vonatkozó ítélkezési gyakorlatnak megfelelően; emlékezteti az EU valamennyi intézményét, szervét, hivatalát és ügynökségét, hogy a dokumentumokhoz való nyilvános hozzáférés megtagadásáról szóló döntéseknek a feltétlenül szükséges mértékre kell korlátozódniuk, és azokat szigorúan kell értelmezni, hogy lehetővé váljon a nyilvánosság általi ellenőrzés és a demokratikus hitelesség azáltal, hogy a polgárok megértsék, miért utasították el a hozzáférést, és szükség esetén igénybe vehessék a rendelkezésre álló jogorvoslati lehetőségeket;</w:t>
      </w:r>
    </w:p>
    <w:p w14:paraId="18C53222" w14:textId="77777777" w:rsidR="003C39AE" w:rsidRPr="00361B59" w:rsidRDefault="003C39AE" w:rsidP="00630A1B">
      <w:pPr>
        <w:pStyle w:val="NormalHanging12a"/>
        <w:ind w:left="567" w:hanging="567"/>
      </w:pPr>
      <w:r w:rsidRPr="00361B59">
        <w:t>43.</w:t>
      </w:r>
      <w:r w:rsidRPr="00361B59">
        <w:tab/>
        <w:t>felszólít egy független felügyeleti mechanizmus létrehozására, amely rendszeresen felülvizsgálja a minősítés és a minősítés feloldásának gyakorlatát;</w:t>
      </w:r>
    </w:p>
    <w:p w14:paraId="6020F081" w14:textId="2C5E1B2C" w:rsidR="003C39AE" w:rsidRPr="00361B59" w:rsidRDefault="003C39AE" w:rsidP="00630A1B">
      <w:pPr>
        <w:pStyle w:val="NormalHanging12a"/>
        <w:ind w:left="567" w:hanging="567"/>
      </w:pPr>
      <w:r w:rsidRPr="00361B59">
        <w:t>44.</w:t>
      </w:r>
      <w:r w:rsidRPr="00361B59">
        <w:tab/>
        <w:t xml:space="preserve">kéri a Bizottságot, hogy a harmadik felekkel kötött szerződéseket illetően biztosítson nagyobb átláthatóságot; kéri a Bizottságot, hogy legyen kezdeményezőbb azzal </w:t>
      </w:r>
      <w:r w:rsidRPr="00361B59">
        <w:lastRenderedPageBreak/>
        <w:t>kapcsolatban, hogy a pályázati eljárásokról a lehető legtöbb információt közzéteszi, összhangban a Parlament korábbi felhívásaival</w:t>
      </w:r>
      <w:r w:rsidR="00E27694" w:rsidRPr="00361B59">
        <w:rPr>
          <w:rStyle w:val="FootnoteReference"/>
        </w:rPr>
        <w:footnoteReference w:id="26"/>
      </w:r>
      <w:r w:rsidRPr="00361B59">
        <w:t>;</w:t>
      </w:r>
    </w:p>
    <w:p w14:paraId="6AB780DE" w14:textId="77777777" w:rsidR="003C39AE" w:rsidRPr="00361B59" w:rsidRDefault="003C39AE" w:rsidP="00630A1B">
      <w:pPr>
        <w:pStyle w:val="NormalHanging12a"/>
        <w:ind w:left="567" w:hanging="567"/>
      </w:pPr>
      <w:r w:rsidRPr="00361B59">
        <w:t>45.</w:t>
      </w:r>
      <w:r w:rsidRPr="00361B59">
        <w:tab/>
        <w:t>felszólítja az uniós intézményeket, hogy gondoskodjanak az ombudsman által a dokumentumokhoz való hozzáférés megtagadásával kapcsolatos panaszok nyomán hozott döntések és ajánlások teljes és gyors gyakorlatba ültetéséről; felszólítja az uniós intézményeket, szerveket, hivatalokat és ügynökségeket, hogy fogadjanak el gyorsabb, könnyebben hozzáférhető és tovább egyszerűsített eljárásokat a hozzáférés megtagadásával kapcsolatos panaszok kezelésére, és gondoskodjanak arról, hogy a polgárok szükség esetén fellebbezhessenek a döntések ellen; ebben az összefüggésben azt ajánlja, hogy nevezzenek ki vezető tisztviselőket vagy független szakértőket, akik képesek arra, hogy indokolatlan késedelem nélkül felülvizsgálják a dokumentumokhoz való hozzáférés iránti kérelmekkel kapcsolatos fellebbezéseket;</w:t>
      </w:r>
    </w:p>
    <w:p w14:paraId="1CD7B618" w14:textId="77777777" w:rsidR="003C39AE" w:rsidRPr="00361B59" w:rsidRDefault="003C39AE" w:rsidP="00630A1B">
      <w:pPr>
        <w:pStyle w:val="NormalHanging12a"/>
        <w:ind w:left="567" w:hanging="567"/>
      </w:pPr>
      <w:r w:rsidRPr="00361B59">
        <w:t>46.</w:t>
      </w:r>
      <w:r w:rsidRPr="00361B59">
        <w:tab/>
        <w:t>teljes átláthatóságot szorgalmaz az MI-rendszerek uniós intézmények döntéseiben és eljárásaiban való használata tekintetében, beleértve az algoritmusokra, a képzési adatokra és a hatásvizsgálatokra vonatkozó részletes információk közzétételét;</w:t>
      </w:r>
    </w:p>
    <w:p w14:paraId="1A716A59" w14:textId="77777777" w:rsidR="003C39AE" w:rsidRPr="00361B59" w:rsidRDefault="003C39AE" w:rsidP="00630A1B">
      <w:pPr>
        <w:pStyle w:val="NormalHanging12a"/>
        <w:ind w:left="567" w:hanging="567"/>
      </w:pPr>
      <w:r w:rsidRPr="00361B59">
        <w:t>47.</w:t>
      </w:r>
      <w:r w:rsidRPr="00361B59">
        <w:tab/>
        <w:t>hangsúlyozza, hogy a dokumentumok tényleges létezésével kapcsolatos ismeretek hiánya akadályozhatja a polgárokat az azokhoz való hozzáférés kérelmezéséhez való joguk gyakorlásában; hangsúlyozza, hogy a Szerződésekben és a Chartában előírt jogi követelmény és egyben a demokratikus ellenőrzés és általában a demokrácia egyik alapkövetelménye annak biztosítása, hogy a polgárok megérthessék és részletesen nyomon követhessék a jogalkotási folyamatot, valamint részt vehessenek abban; ezért mind uniós, mind nemzeti szinten célzott figyelemfelkeltő és tájékoztató kampányok folytatását szorgalmazza annak érdekében, hogy tájékoztassák a polgárokat a dokumentumokhoz való hozzáférési jogaikról, valamint e jogok gyakorlásához rendelkezésükre álló eszközökről és eljárásokról;</w:t>
      </w:r>
    </w:p>
    <w:p w14:paraId="0C099195" w14:textId="77777777" w:rsidR="003C39AE" w:rsidRPr="00361B59" w:rsidRDefault="003C39AE" w:rsidP="00630A1B">
      <w:pPr>
        <w:pStyle w:val="NormalHanging12a"/>
        <w:ind w:left="567" w:hanging="567"/>
      </w:pPr>
      <w:r w:rsidRPr="00361B59">
        <w:t>48.</w:t>
      </w:r>
      <w:r w:rsidRPr="00361B59">
        <w:tab/>
        <w:t>hangsúlyozza, hogy a nemzetközi megállapodások kötelező joghatással bírnak, és alakítják az uniós jogszabályok kidolgozását; ennek megfelelően kitart amellett, hogy feltétlenül biztosítani kell a teljes átláthatóságot a tárgyalási folyamat során azáltal, hogy a Parlament számára időben és korlátlanul hozzáférést biztosítanak valamennyi vonatkozó dokumentumhoz; felszólít arra, hogy az EUMSZ 218. cikkének (10) bekezdésével összhangban a Parlamentet haladéktalanul és maradéktalanul tájékoztatni kell az eljárás minden szakaszában;</w:t>
      </w:r>
    </w:p>
    <w:p w14:paraId="6622ABE9" w14:textId="77777777" w:rsidR="003C39AE" w:rsidRPr="00361B59" w:rsidRDefault="003C39AE" w:rsidP="00630A1B">
      <w:pPr>
        <w:pStyle w:val="NormalHanging12a"/>
        <w:ind w:left="567" w:hanging="567"/>
      </w:pPr>
      <w:r w:rsidRPr="00361B59">
        <w:t>49.</w:t>
      </w:r>
      <w:r w:rsidRPr="00361B59">
        <w:tab/>
        <w:t>sürgeti a Tanácsot, hogy javítsa a jogalkotás átláthatóságára vonatkozó szabályait és eljárásait; felszólít a Tanács általános és részleges megközelítéseinek, valamint a jogalkotási dossziékkal kapcsolatos valamennyi tanácsi előkészítő dokumentumnak – többek között az egyes tagállamok álláspontjának és a munkacsoportok üléseiről készült jegyzőkönyveknek – a proaktív és időben történő közzétételére, szokásos gyakorlattá téve közzétételüket a döntéshozatal valamennyi szakaszában, összhangban a Szerződésekben és a Chartában rögzített demokratikus részvétel elvével;</w:t>
      </w:r>
    </w:p>
    <w:p w14:paraId="5B29FEFB" w14:textId="31453715" w:rsidR="003C39AE" w:rsidRPr="00361B59" w:rsidRDefault="003C39AE" w:rsidP="00630A1B">
      <w:pPr>
        <w:pStyle w:val="NormalHanging12a"/>
        <w:ind w:left="567" w:hanging="567"/>
      </w:pPr>
      <w:r w:rsidRPr="00361B59">
        <w:lastRenderedPageBreak/>
        <w:t>50.</w:t>
      </w:r>
      <w:r w:rsidRPr="00361B59">
        <w:tab/>
        <w:t>felszólítja az uniós intézményeket, hogy teljes mértékben teljesítsék a Törvényszék által a négyhasábos dokumentumokhoz való hozzáférésről szóló, T-540/15 sz. ügyben</w:t>
      </w:r>
      <w:r w:rsidR="00E27694" w:rsidRPr="00361B59">
        <w:rPr>
          <w:rStyle w:val="FootnoteReference"/>
        </w:rPr>
        <w:footnoteReference w:id="27"/>
      </w:r>
      <w:r w:rsidRPr="00361B59">
        <w:t xml:space="preserve"> hozott ítéletben foglaltakat; felhívja továbbá az uniós intézményeket, hogy proaktív módon tegyék közzé a háromoldalú egyeztetések egyéb dokumentumait, például a napirendeket, az eredmények összefoglalóit és a háromoldalú egyeztetések jegyzőkönyveit;</w:t>
      </w:r>
    </w:p>
    <w:p w14:paraId="7527CE41" w14:textId="77777777" w:rsidR="003C39AE" w:rsidRPr="00361B59" w:rsidRDefault="003C39AE" w:rsidP="00630A1B">
      <w:pPr>
        <w:pStyle w:val="NormalHanging12a"/>
        <w:ind w:left="567" w:hanging="567"/>
      </w:pPr>
      <w:r w:rsidRPr="00361B59">
        <w:t>51.</w:t>
      </w:r>
      <w:r w:rsidRPr="00361B59">
        <w:tab/>
        <w:t>hangsúlyozza, hogy az átláthatóságnak együtt kell járnia az elszámoltathatósággal; kéri, hogy az európai ombudsman vezessen be rendszeres ellenőrzéseket arra vonatkozóan, hogy az intézmények betartják-e átláthatósági kötelezettségeiket;</w:t>
      </w:r>
    </w:p>
    <w:p w14:paraId="1320831C" w14:textId="77777777" w:rsidR="003C39AE" w:rsidRPr="00361B59" w:rsidRDefault="003C39AE" w:rsidP="00630A1B">
      <w:pPr>
        <w:pStyle w:val="NormalHanging12a"/>
        <w:ind w:left="567" w:hanging="567"/>
      </w:pPr>
      <w:r w:rsidRPr="00361B59">
        <w:t>52.</w:t>
      </w:r>
      <w:r w:rsidRPr="00361B59">
        <w:tab/>
        <w:t>kéri, hogy a Parlament honlapján vezessenek be egy olyan felhasználóbarát rendszert, amelyben minden név szerinti szavazás esetében látható a szavazásra bocsátott szöveg, továbbá a szavazás eredménye képviselőcsoportok és európai parlamenti képviselők szerint, összhangban a Parlament nagyobb átláthatóságra és felhasználóbarát eszközökre irányuló korábbi felhívásával, amelyben szorgalmazta, hogy a Parlament eljárásai a polgárok számára hozzáférhetőbbé váljanak;</w:t>
      </w:r>
    </w:p>
    <w:p w14:paraId="61528770" w14:textId="77777777" w:rsidR="003C39AE" w:rsidRPr="00361B59" w:rsidRDefault="003C39AE" w:rsidP="00630A1B">
      <w:pPr>
        <w:pStyle w:val="NormalHanging12a"/>
        <w:ind w:left="567" w:hanging="567"/>
      </w:pPr>
      <w:r w:rsidRPr="00361B59">
        <w:t>53.</w:t>
      </w:r>
      <w:r w:rsidRPr="00361B59">
        <w:tab/>
        <w:t>határozottan felszólítja az EU-t és a tagállamokat, hogy alkalmazzák az Aarhusi Egyezmény Megfelelési Bizottságának és az ombudsman megállapításait és ajánlásait, tiszteletben tartva ugyanakkor az Aarhusi Egyezmény szerinti saját nemzetközi kötelezettségvállalásaikat és a jogállamiságot;</w:t>
      </w:r>
    </w:p>
    <w:p w14:paraId="3622AB5B" w14:textId="77777777" w:rsidR="003C39AE" w:rsidRPr="00361B59" w:rsidRDefault="003C39AE" w:rsidP="00630A1B">
      <w:pPr>
        <w:pStyle w:val="NormalCenter12a"/>
        <w:ind w:left="567" w:hanging="567"/>
      </w:pPr>
      <w:r w:rsidRPr="00361B59">
        <w:t>°</w:t>
      </w:r>
    </w:p>
    <w:p w14:paraId="6B148977" w14:textId="77777777" w:rsidR="003C39AE" w:rsidRPr="00361B59" w:rsidRDefault="003C39AE" w:rsidP="00630A1B">
      <w:pPr>
        <w:pStyle w:val="NormalCenter12a"/>
        <w:ind w:left="567" w:hanging="567"/>
      </w:pPr>
      <w:r w:rsidRPr="00361B59">
        <w:t>°</w:t>
      </w:r>
      <w:r w:rsidRPr="00361B59">
        <w:tab/>
        <w:t>°</w:t>
      </w:r>
    </w:p>
    <w:p w14:paraId="0DEA780B" w14:textId="3E0DC254" w:rsidR="00916989" w:rsidRPr="00916989" w:rsidRDefault="003C39AE" w:rsidP="00630A1B">
      <w:pPr>
        <w:pStyle w:val="NormalHanging12a"/>
        <w:ind w:left="567" w:hanging="567"/>
      </w:pPr>
      <w:r w:rsidRPr="00361B59">
        <w:t>54.</w:t>
      </w:r>
      <w:r w:rsidRPr="00361B59">
        <w:tab/>
        <w:t>utasítja elnökét, hogy továbbítsa ezt az állásfoglalást a Tanácsnak és a Bizottságnak.</w:t>
      </w:r>
    </w:p>
    <w:sectPr w:rsidR="00916989" w:rsidRPr="00916989" w:rsidSect="009169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AB02B" w14:textId="77777777" w:rsidR="007052C0" w:rsidRPr="00916989" w:rsidRDefault="007052C0">
      <w:r w:rsidRPr="00916989">
        <w:separator/>
      </w:r>
    </w:p>
  </w:endnote>
  <w:endnote w:type="continuationSeparator" w:id="0">
    <w:p w14:paraId="75EBE208" w14:textId="77777777" w:rsidR="007052C0" w:rsidRPr="00916989" w:rsidRDefault="007052C0">
      <w:r w:rsidRPr="009169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3DF06" w14:textId="77777777" w:rsidR="00064002" w:rsidRPr="009169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4F886" w14:textId="77777777" w:rsidR="00064002" w:rsidRPr="009169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8C43C" w14:textId="77777777" w:rsidR="00064002" w:rsidRPr="009169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2F4B1" w14:textId="77777777" w:rsidR="007052C0" w:rsidRPr="00916989" w:rsidRDefault="007052C0">
      <w:r w:rsidRPr="00916989">
        <w:separator/>
      </w:r>
    </w:p>
  </w:footnote>
  <w:footnote w:type="continuationSeparator" w:id="0">
    <w:p w14:paraId="2D5873FE" w14:textId="77777777" w:rsidR="007052C0" w:rsidRPr="00916989" w:rsidRDefault="007052C0">
      <w:r w:rsidRPr="00916989">
        <w:continuationSeparator/>
      </w:r>
    </w:p>
  </w:footnote>
  <w:footnote w:id="1">
    <w:p w14:paraId="456BBB7E" w14:textId="5B914563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fi-FI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fi-FI"/>
        </w:rPr>
        <w:t xml:space="preserve"> </w:t>
      </w:r>
      <w:r w:rsidRPr="00361B59">
        <w:rPr>
          <w:sz w:val="24"/>
          <w:szCs w:val="24"/>
          <w:lang w:val="fi-FI"/>
        </w:rPr>
        <w:tab/>
      </w:r>
      <w:r w:rsidRPr="00E27694">
        <w:rPr>
          <w:sz w:val="24"/>
          <w:szCs w:val="24"/>
          <w:lang w:val="hu-HU"/>
        </w:rPr>
        <w:t xml:space="preserve">HL L 145., 2001.5.31., 43. o., ELI: </w:t>
      </w:r>
      <w:hyperlink r:id="rId1" w:tgtFrame="http://data.europa.eu/eli/reg/2001/1049/oj" w:history="1">
        <w:r w:rsidRPr="00E27694">
          <w:rPr>
            <w:rStyle w:val="Hyperlink"/>
            <w:sz w:val="24"/>
            <w:szCs w:val="24"/>
            <w:lang w:val="hu-HU"/>
          </w:rPr>
          <w:t>http://data.europa.eu/eli/reg/2001/1049/oj</w:t>
        </w:r>
      </w:hyperlink>
      <w:r w:rsidRPr="00E27694">
        <w:rPr>
          <w:rStyle w:val="Hyperlink"/>
          <w:sz w:val="24"/>
          <w:szCs w:val="24"/>
          <w:lang w:val="hu-HU"/>
        </w:rPr>
        <w:t>.</w:t>
      </w:r>
    </w:p>
  </w:footnote>
  <w:footnote w:id="2">
    <w:p w14:paraId="3BA5B54E" w14:textId="11B46496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fi-FI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fi-FI"/>
        </w:rPr>
        <w:t xml:space="preserve"> </w:t>
      </w:r>
      <w:r w:rsidRPr="00361B59">
        <w:rPr>
          <w:sz w:val="24"/>
          <w:szCs w:val="24"/>
          <w:lang w:val="fi-FI"/>
        </w:rPr>
        <w:tab/>
      </w:r>
      <w:r w:rsidRPr="00E27694">
        <w:rPr>
          <w:sz w:val="24"/>
          <w:szCs w:val="24"/>
          <w:lang w:val="hu-HU"/>
        </w:rPr>
        <w:t xml:space="preserve">HL L 264., 2006.9.25., 13. o., ELI: </w:t>
      </w:r>
      <w:hyperlink r:id="rId2" w:tgtFrame="http://data.europa.eu/eli/reg/2006/1367/oj" w:history="1">
        <w:r w:rsidRPr="00E27694">
          <w:rPr>
            <w:rStyle w:val="Hyperlink"/>
            <w:sz w:val="24"/>
            <w:szCs w:val="24"/>
            <w:lang w:val="hu-HU"/>
          </w:rPr>
          <w:t>http://data.europa.eu/eli/reg/2006/1367/oj</w:t>
        </w:r>
      </w:hyperlink>
      <w:r w:rsidRPr="00E27694">
        <w:rPr>
          <w:rStyle w:val="Hyperlink"/>
          <w:sz w:val="24"/>
          <w:szCs w:val="24"/>
          <w:lang w:val="hu-HU"/>
        </w:rPr>
        <w:t>.</w:t>
      </w:r>
    </w:p>
  </w:footnote>
  <w:footnote w:id="3">
    <w:p w14:paraId="11E2A8A7" w14:textId="2C3069D1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pt-PT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HL C 168. E, 2013.6.14., 159. o.</w:t>
      </w:r>
    </w:p>
  </w:footnote>
  <w:footnote w:id="4">
    <w:p w14:paraId="3040DAB9" w14:textId="0C5B2DBF" w:rsidR="00E27694" w:rsidRPr="00CE7CA7" w:rsidRDefault="00E27694" w:rsidP="00361B59">
      <w:pPr>
        <w:pStyle w:val="FootnoteText"/>
        <w:ind w:left="567" w:hanging="567"/>
        <w:rPr>
          <w:sz w:val="24"/>
          <w:szCs w:val="24"/>
          <w:lang w:val="pt-PT"/>
        </w:rPr>
      </w:pPr>
      <w:r w:rsidRPr="00361B59">
        <w:rPr>
          <w:rStyle w:val="FootnoteReference"/>
          <w:sz w:val="24"/>
          <w:szCs w:val="24"/>
        </w:rPr>
        <w:footnoteRef/>
      </w:r>
      <w:r w:rsidRPr="00CE7CA7">
        <w:rPr>
          <w:sz w:val="24"/>
          <w:szCs w:val="24"/>
          <w:lang w:val="pt-PT"/>
        </w:rPr>
        <w:t xml:space="preserve"> </w:t>
      </w:r>
      <w:r w:rsidRPr="00CE7CA7">
        <w:rPr>
          <w:sz w:val="24"/>
          <w:szCs w:val="24"/>
          <w:lang w:val="pt-PT"/>
        </w:rPr>
        <w:tab/>
      </w:r>
      <w:r w:rsidRPr="00E27694">
        <w:rPr>
          <w:sz w:val="24"/>
          <w:szCs w:val="24"/>
          <w:lang w:val="hu-HU"/>
        </w:rPr>
        <w:t xml:space="preserve">HL L, 2024/3080, 2024.12.5., ELI: </w:t>
      </w:r>
      <w:hyperlink r:id="rId3" w:tgtFrame="http://data.europa.eu/eli/dec/2024/3080/oj" w:history="1">
        <w:r w:rsidRPr="00E27694">
          <w:rPr>
            <w:rStyle w:val="Hyperlink"/>
            <w:sz w:val="24"/>
            <w:szCs w:val="24"/>
            <w:lang w:val="hu-HU"/>
          </w:rPr>
          <w:t>http://data.europa.eu/eli/dec/2024/3080/oj</w:t>
        </w:r>
      </w:hyperlink>
      <w:r w:rsidRPr="00E27694">
        <w:rPr>
          <w:rStyle w:val="Hyperlink"/>
          <w:sz w:val="24"/>
          <w:szCs w:val="24"/>
          <w:lang w:val="hu-HU"/>
        </w:rPr>
        <w:t>.</w:t>
      </w:r>
    </w:p>
  </w:footnote>
  <w:footnote w:id="5">
    <w:p w14:paraId="65860F0E" w14:textId="50EF23B7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fi-FI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HL C 337., 2018.9.20., 120. o.</w:t>
      </w:r>
    </w:p>
  </w:footnote>
  <w:footnote w:id="6">
    <w:p w14:paraId="4399448A" w14:textId="0669B857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fi-FI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fi-FI"/>
        </w:rPr>
        <w:t xml:space="preserve"> </w:t>
      </w:r>
      <w:r w:rsidRPr="00361B59">
        <w:rPr>
          <w:sz w:val="24"/>
          <w:szCs w:val="24"/>
          <w:lang w:val="fi-FI"/>
        </w:rPr>
        <w:tab/>
      </w:r>
      <w:r w:rsidRPr="00E27694">
        <w:rPr>
          <w:sz w:val="24"/>
          <w:szCs w:val="24"/>
          <w:lang w:val="hu-HU"/>
        </w:rPr>
        <w:t xml:space="preserve">HL L 305., 2019.11.26., 17. o., ELI: </w:t>
      </w:r>
      <w:hyperlink r:id="rId4" w:tgtFrame="http://data.europa.eu/eli/dir/2019/1937/oj" w:history="1">
        <w:r w:rsidRPr="00E27694">
          <w:rPr>
            <w:rStyle w:val="Hyperlink"/>
            <w:sz w:val="24"/>
            <w:szCs w:val="24"/>
            <w:lang w:val="hu-HU"/>
          </w:rPr>
          <w:t>http://data.europa.eu/eli/dir/2019/1937/oj</w:t>
        </w:r>
      </w:hyperlink>
      <w:r w:rsidRPr="00E27694">
        <w:rPr>
          <w:rStyle w:val="Hyperlink"/>
          <w:sz w:val="24"/>
          <w:szCs w:val="24"/>
          <w:lang w:val="hu-HU"/>
        </w:rPr>
        <w:t>.</w:t>
      </w:r>
    </w:p>
  </w:footnote>
  <w:footnote w:id="7">
    <w:p w14:paraId="06BC6762" w14:textId="1A1426B1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fi-FI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HL C 465., 2021.11.17., 54. o.</w:t>
      </w:r>
    </w:p>
  </w:footnote>
  <w:footnote w:id="8">
    <w:p w14:paraId="2559EFBC" w14:textId="75C1C49B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fi-FI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 xml:space="preserve">HL C, C/2024/4014, 2024.7.17., ELI: </w:t>
      </w:r>
      <w:hyperlink r:id="rId5" w:history="1">
        <w:r w:rsidRPr="00E27694">
          <w:rPr>
            <w:rStyle w:val="Hyperlink"/>
            <w:sz w:val="24"/>
            <w:szCs w:val="24"/>
            <w:lang w:val="hu-HU"/>
          </w:rPr>
          <w:t>http://data.europa.eu/eli/C/2024/4014/oj</w:t>
        </w:r>
      </w:hyperlink>
      <w:r w:rsidRPr="00E27694">
        <w:rPr>
          <w:sz w:val="24"/>
          <w:szCs w:val="24"/>
          <w:lang w:val="hu-HU"/>
        </w:rPr>
        <w:t>.</w:t>
      </w:r>
    </w:p>
  </w:footnote>
  <w:footnote w:id="9">
    <w:p w14:paraId="6D5EAC57" w14:textId="47F00EB2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fi-FI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 xml:space="preserve">HL C, C/2024/6560, 2024.11.12., ELI: </w:t>
      </w:r>
      <w:hyperlink r:id="rId6" w:history="1">
        <w:r w:rsidRPr="00E27694">
          <w:rPr>
            <w:rStyle w:val="Hyperlink"/>
            <w:sz w:val="24"/>
            <w:szCs w:val="24"/>
            <w:lang w:val="hu-HU"/>
          </w:rPr>
          <w:t>http://data.europa.eu/eli/C/2024/6560/oj</w:t>
        </w:r>
      </w:hyperlink>
      <w:r w:rsidRPr="00E27694">
        <w:rPr>
          <w:sz w:val="24"/>
          <w:szCs w:val="24"/>
          <w:lang w:val="hu-HU"/>
        </w:rPr>
        <w:t>.</w:t>
      </w:r>
    </w:p>
  </w:footnote>
  <w:footnote w:id="10">
    <w:p w14:paraId="7B2CF147" w14:textId="4CC020ED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A Törvényszék T-689/21. sz., Auken és társai kontra Bizottság ügyben, T-689/21, ECLI:</w:t>
      </w:r>
      <w:proofErr w:type="gramStart"/>
      <w:r w:rsidRPr="00E27694">
        <w:rPr>
          <w:sz w:val="24"/>
          <w:szCs w:val="24"/>
          <w:lang w:val="hu-HU"/>
        </w:rPr>
        <w:t>EU:T</w:t>
      </w:r>
      <w:proofErr w:type="gramEnd"/>
      <w:r w:rsidRPr="00E27694">
        <w:rPr>
          <w:sz w:val="24"/>
          <w:szCs w:val="24"/>
          <w:lang w:val="hu-HU"/>
        </w:rPr>
        <w:t>:2024:476, valamint a T-761/21. sz., Courtois és társai kontra Bizottság ügyben, ECLI:EU:T:2024:477, hozott 2024. július 17-én ítéletei.</w:t>
      </w:r>
    </w:p>
  </w:footnote>
  <w:footnote w:id="11">
    <w:p w14:paraId="34E43590" w14:textId="4282D18D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A Törvényszék 2025. május 14-i ítélete, Stevi és a The New York Times kontra Bizottság, T‑36/23, ECLI:</w:t>
      </w:r>
      <w:proofErr w:type="gramStart"/>
      <w:r w:rsidRPr="00E27694">
        <w:rPr>
          <w:sz w:val="24"/>
          <w:szCs w:val="24"/>
          <w:lang w:val="hu-HU"/>
        </w:rPr>
        <w:t>EU:T</w:t>
      </w:r>
      <w:proofErr w:type="gramEnd"/>
      <w:r w:rsidRPr="00E27694">
        <w:rPr>
          <w:sz w:val="24"/>
          <w:szCs w:val="24"/>
          <w:lang w:val="hu-HU"/>
        </w:rPr>
        <w:t>:2025:483.</w:t>
      </w:r>
    </w:p>
  </w:footnote>
  <w:footnote w:id="12">
    <w:p w14:paraId="2AF94DF3" w14:textId="1204FE2E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Európai ombudsman, „Az európai ombudsman különjelentése az Európai Bizottság által a dokumentumokhoz való nyilvános hozzáférés iránti kérelmek elbírálására fordított idővel kapcsolatos stratégiai vizsgálatában (OI/2/2022/OAM)”, 2023. szeptember 21.</w:t>
      </w:r>
    </w:p>
  </w:footnote>
  <w:footnote w:id="13">
    <w:p w14:paraId="54B61ADD" w14:textId="7528C3EF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Európai ombudsman, „A Bizottság elnöke és egy gyógyszeripari vállalat vezérigazgatója között egy COVID-19 elleni oltóanyag beszerzésével kapcsolatban váltott szöveges üzenetekhez való nyilvános hozzáférés biztosításának az Európai Bizottság általi megtagadása (1316/2021/MIG ügy)”, 2022. július 12.</w:t>
      </w:r>
    </w:p>
  </w:footnote>
  <w:footnote w:id="14">
    <w:p w14:paraId="7EC7840F" w14:textId="77777777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Európai ombudsman, „Határozat a digitális piacokról szóló jogszabály tervezetéről folytatott tárgyalásokkal kapcsolatos dokumentumokhoz való teljes körű, nyilvános hozzáférés biztosításának az Európai Unió Tanácsa általi megtagadásáról”, 2022. június 27. (1499/2021/SF).</w:t>
      </w:r>
    </w:p>
  </w:footnote>
  <w:footnote w:id="15">
    <w:p w14:paraId="4EDCA24C" w14:textId="48B79A57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Az EUSZ 10. cikkének (3) bekezdése, a preambulum tizenharmadik preambulumbekezdésével, az EUSZ 1. cikkének (2) bekezdésével és 9. cikkével, valamint az EUMSZ 15. cikkével összefüggésben értelmezve.</w:t>
      </w:r>
    </w:p>
  </w:footnote>
  <w:footnote w:id="16">
    <w:p w14:paraId="1944C155" w14:textId="765A4931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 xml:space="preserve">A T-36/23. sz. Stevi és The New York Times kontra Bizottság ügy, sajtóközlemény: </w:t>
      </w:r>
      <w:hyperlink r:id="rId7" w:history="1">
        <w:r w:rsidRPr="00E27694">
          <w:rPr>
            <w:rStyle w:val="Hyperlink"/>
            <w:sz w:val="24"/>
            <w:szCs w:val="24"/>
            <w:lang w:val="hu-HU"/>
          </w:rPr>
          <w:t>https://curia.europa.eu/jcms/upload/docs/application/pdf/2025-05/cp250060hu.pdf</w:t>
        </w:r>
      </w:hyperlink>
      <w:r w:rsidRPr="00E27694">
        <w:rPr>
          <w:sz w:val="24"/>
          <w:szCs w:val="24"/>
          <w:lang w:val="hu-HU"/>
        </w:rPr>
        <w:t>.</w:t>
      </w:r>
    </w:p>
  </w:footnote>
  <w:footnote w:id="17">
    <w:p w14:paraId="11241D19" w14:textId="097CE6CD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 xml:space="preserve">A Bíróság 2024. március 5-i ítélete, </w:t>
      </w:r>
      <w:proofErr w:type="gramStart"/>
      <w:r w:rsidRPr="00E27694">
        <w:rPr>
          <w:sz w:val="24"/>
          <w:szCs w:val="24"/>
          <w:lang w:val="hu-HU"/>
        </w:rPr>
        <w:t>Public.Resource.Org</w:t>
      </w:r>
      <w:proofErr w:type="gramEnd"/>
      <w:r w:rsidRPr="00E27694">
        <w:rPr>
          <w:sz w:val="24"/>
          <w:szCs w:val="24"/>
          <w:lang w:val="hu-HU"/>
        </w:rPr>
        <w:t xml:space="preserve"> és Right to Know kontra Bizottság és társai, C-588/21 P. sz. ügy, ECLI:EU:C:2024:201.</w:t>
      </w:r>
    </w:p>
  </w:footnote>
  <w:footnote w:id="18">
    <w:p w14:paraId="67D6871A" w14:textId="72B3298B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A Bizottság 2025. május 19-i jelentése az Európai Parlament, a Tanács és a Bizottság dokumentumaihoz való nyilvános hozzáférésről szóló 1049/2001/EK rendelet 2023. évi alkalmazásáról (</w:t>
      </w:r>
      <w:proofErr w:type="gramStart"/>
      <w:r w:rsidRPr="00E27694">
        <w:rPr>
          <w:sz w:val="24"/>
          <w:szCs w:val="24"/>
          <w:lang w:val="hu-HU"/>
        </w:rPr>
        <w:t>COM(</w:t>
      </w:r>
      <w:proofErr w:type="gramEnd"/>
      <w:r w:rsidRPr="00E27694">
        <w:rPr>
          <w:sz w:val="24"/>
          <w:szCs w:val="24"/>
          <w:lang w:val="hu-HU"/>
        </w:rPr>
        <w:t>2025)0239).</w:t>
      </w:r>
    </w:p>
  </w:footnote>
  <w:footnote w:id="19">
    <w:p w14:paraId="01016638" w14:textId="38AB305F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A Bizottság 2024. július 3-i jelentése az Európai Parlament, a Tanács és a Bizottság dokumentumaihoz való nyilvános hozzáférésről szóló 1049/2001/EK rendelet 2023. évi alkalmazásáról (</w:t>
      </w:r>
      <w:proofErr w:type="gramStart"/>
      <w:r w:rsidRPr="00E27694">
        <w:rPr>
          <w:sz w:val="24"/>
          <w:szCs w:val="24"/>
          <w:lang w:val="hu-HU"/>
        </w:rPr>
        <w:t>COM(</w:t>
      </w:r>
      <w:proofErr w:type="gramEnd"/>
      <w:r w:rsidRPr="00E27694">
        <w:rPr>
          <w:sz w:val="24"/>
          <w:szCs w:val="24"/>
          <w:lang w:val="hu-HU"/>
        </w:rPr>
        <w:t>2024)0266).</w:t>
      </w:r>
    </w:p>
  </w:footnote>
  <w:footnote w:id="20">
    <w:p w14:paraId="63A0BA9A" w14:textId="71E56F7A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A Bizottság 2023. szeptember 13-i jelentése az Európai Parlament, a Tanács és a Bizottság dokumentumaihoz való nyilvános hozzáférésről szóló 1049/2001/EK rendelet 2023. évi alkalmazásáról (</w:t>
      </w:r>
      <w:proofErr w:type="gramStart"/>
      <w:r w:rsidRPr="00E27694">
        <w:rPr>
          <w:sz w:val="24"/>
          <w:szCs w:val="24"/>
          <w:lang w:val="hu-HU"/>
        </w:rPr>
        <w:t>COM(</w:t>
      </w:r>
      <w:proofErr w:type="gramEnd"/>
      <w:r w:rsidRPr="00E27694">
        <w:rPr>
          <w:sz w:val="24"/>
          <w:szCs w:val="24"/>
          <w:lang w:val="hu-HU"/>
        </w:rPr>
        <w:t>2023)0523).</w:t>
      </w:r>
    </w:p>
  </w:footnote>
  <w:footnote w:id="21">
    <w:p w14:paraId="3E57E1E4" w14:textId="00A76152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Európai Parlament, „A dokumentumokhoz való nyilvános hozzáférés 2024 – Az Európai Parlament éves jelentése”, Elnökségi Főigazgatóság, Átláthatósági Osztály, 2025. május.</w:t>
      </w:r>
    </w:p>
  </w:footnote>
  <w:footnote w:id="22">
    <w:p w14:paraId="0084BAEA" w14:textId="4F3AFD0E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A Bizottság 2024. július 3-i jelentése az Európai Parlament, a Tanács és a Bizottság dokumentumaihoz való nyilvános hozzáférésről szóló 1049/2001/EK rendelet 2023. évi alkalmazásáról (</w:t>
      </w:r>
      <w:proofErr w:type="gramStart"/>
      <w:r w:rsidRPr="00E27694">
        <w:rPr>
          <w:sz w:val="24"/>
          <w:szCs w:val="24"/>
          <w:lang w:val="hu-HU"/>
        </w:rPr>
        <w:t>COM(</w:t>
      </w:r>
      <w:proofErr w:type="gramEnd"/>
      <w:r w:rsidRPr="00E27694">
        <w:rPr>
          <w:sz w:val="24"/>
          <w:szCs w:val="24"/>
          <w:lang w:val="hu-HU"/>
        </w:rPr>
        <w:t>2024)0266).</w:t>
      </w:r>
    </w:p>
  </w:footnote>
  <w:footnote w:id="23">
    <w:p w14:paraId="435DFB79" w14:textId="64CEDF3E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Lásd a Törvényszék T-201/21. sz., Covington &amp; Burling és Van Vooren kontra Bizottság ügyben, 2023. június 14-én hozott ítélete, ECLI:</w:t>
      </w:r>
      <w:proofErr w:type="gramStart"/>
      <w:r w:rsidRPr="00E27694">
        <w:rPr>
          <w:sz w:val="24"/>
          <w:szCs w:val="24"/>
          <w:lang w:val="hu-HU"/>
        </w:rPr>
        <w:t>EU:T</w:t>
      </w:r>
      <w:proofErr w:type="gramEnd"/>
      <w:r w:rsidRPr="00E27694">
        <w:rPr>
          <w:sz w:val="24"/>
          <w:szCs w:val="24"/>
          <w:lang w:val="hu-HU"/>
        </w:rPr>
        <w:t>:2023:333.</w:t>
      </w:r>
    </w:p>
  </w:footnote>
  <w:footnote w:id="24">
    <w:p w14:paraId="7C2F580A" w14:textId="73A09EDF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 xml:space="preserve">Az Európai Parlament és a Tanács (EU) 2021/2303 rendelete (2021. december 15.) az Európai Unió Menekültügyi Ügynökségéről és a 439/2010/EU rendelet hatályon kívül helyezéséről (HL L 468., 2021.12.30., 1. o., ELI: </w:t>
      </w:r>
      <w:hyperlink r:id="rId8" w:tgtFrame="http://data.europa.eu/eli/reg/2021/2303/oj" w:history="1">
        <w:r w:rsidRPr="00E27694">
          <w:rPr>
            <w:rStyle w:val="Hyperlink"/>
            <w:sz w:val="24"/>
            <w:szCs w:val="24"/>
            <w:lang w:val="hu-HU"/>
          </w:rPr>
          <w:t>http://data.europa.eu/eli/reg/2021/2303/oj</w:t>
        </w:r>
      </w:hyperlink>
      <w:r w:rsidRPr="00E27694">
        <w:rPr>
          <w:rStyle w:val="Hyperlink"/>
          <w:sz w:val="24"/>
          <w:szCs w:val="24"/>
          <w:lang w:val="hu-HU"/>
        </w:rPr>
        <w:t>)</w:t>
      </w:r>
      <w:r w:rsidRPr="00E27694">
        <w:rPr>
          <w:sz w:val="24"/>
          <w:szCs w:val="24"/>
          <w:lang w:val="hu-HU"/>
        </w:rPr>
        <w:t>.</w:t>
      </w:r>
    </w:p>
  </w:footnote>
  <w:footnote w:id="25">
    <w:p w14:paraId="2AB244C6" w14:textId="1A90E969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T-689/21. sz. Auken és társai kontra Bizottság ügy és T-761/21. sz. Courtois és társai kontra Bizottság ügy.</w:t>
      </w:r>
    </w:p>
  </w:footnote>
  <w:footnote w:id="26">
    <w:p w14:paraId="2B4E41E6" w14:textId="53ADC7FC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Például a közbeszerzésről szóló, 2025. szeptember 9-i állásfoglalásában (Elfogadott szövegek, P10_</w:t>
      </w:r>
      <w:proofErr w:type="gramStart"/>
      <w:r w:rsidRPr="00E27694">
        <w:rPr>
          <w:sz w:val="24"/>
          <w:szCs w:val="24"/>
          <w:lang w:val="hu-HU"/>
        </w:rPr>
        <w:t>TA(</w:t>
      </w:r>
      <w:proofErr w:type="gramEnd"/>
      <w:r w:rsidRPr="00E27694">
        <w:rPr>
          <w:sz w:val="24"/>
          <w:szCs w:val="24"/>
          <w:lang w:val="hu-HU"/>
        </w:rPr>
        <w:t>2025)0174).</w:t>
      </w:r>
    </w:p>
  </w:footnote>
  <w:footnote w:id="27">
    <w:p w14:paraId="0FAB3DAE" w14:textId="7857365D" w:rsidR="00E27694" w:rsidRPr="00361B59" w:rsidRDefault="00E27694" w:rsidP="00361B59">
      <w:pPr>
        <w:pStyle w:val="FootnoteText"/>
        <w:ind w:left="567" w:hanging="567"/>
        <w:rPr>
          <w:sz w:val="24"/>
          <w:szCs w:val="24"/>
          <w:lang w:val="hu-HU"/>
        </w:rPr>
      </w:pPr>
      <w:r w:rsidRPr="00361B59">
        <w:rPr>
          <w:rStyle w:val="FootnoteReference"/>
          <w:sz w:val="24"/>
          <w:szCs w:val="24"/>
        </w:rPr>
        <w:footnoteRef/>
      </w:r>
      <w:r w:rsidRPr="00361B59">
        <w:rPr>
          <w:sz w:val="24"/>
          <w:szCs w:val="24"/>
          <w:lang w:val="hu-HU"/>
        </w:rPr>
        <w:t xml:space="preserve"> </w:t>
      </w:r>
      <w:r w:rsidRPr="00361B59">
        <w:rPr>
          <w:sz w:val="24"/>
          <w:szCs w:val="24"/>
          <w:lang w:val="hu-HU"/>
        </w:rPr>
        <w:tab/>
      </w:r>
      <w:r w:rsidRPr="00E27694">
        <w:rPr>
          <w:sz w:val="24"/>
          <w:szCs w:val="24"/>
          <w:lang w:val="hu-HU"/>
        </w:rPr>
        <w:t>A Törvényszék 2018. március 22-i ítélete, De Capitani kontra Tanács, T-540/15, ECLI:</w:t>
      </w:r>
      <w:proofErr w:type="gramStart"/>
      <w:r w:rsidRPr="00E27694">
        <w:rPr>
          <w:sz w:val="24"/>
          <w:szCs w:val="24"/>
          <w:lang w:val="hu-HU"/>
        </w:rPr>
        <w:t>EU:T</w:t>
      </w:r>
      <w:proofErr w:type="gramEnd"/>
      <w:r w:rsidRPr="00E27694">
        <w:rPr>
          <w:sz w:val="24"/>
          <w:szCs w:val="24"/>
          <w:lang w:val="hu-HU"/>
        </w:rPr>
        <w:t>:2023:167.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C80F" w14:textId="77777777" w:rsidR="00064002" w:rsidRPr="009169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2FD47" w14:textId="77777777" w:rsidR="00064002" w:rsidRPr="009169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0198E" w14:textId="77777777" w:rsidR="00064002" w:rsidRPr="009169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7401355">
    <w:abstractNumId w:val="9"/>
  </w:num>
  <w:num w:numId="2" w16cid:durableId="671491775">
    <w:abstractNumId w:val="9"/>
  </w:num>
  <w:num w:numId="3" w16cid:durableId="1854998772">
    <w:abstractNumId w:val="7"/>
  </w:num>
  <w:num w:numId="4" w16cid:durableId="1916666465">
    <w:abstractNumId w:val="7"/>
  </w:num>
  <w:num w:numId="5" w16cid:durableId="340352976">
    <w:abstractNumId w:val="6"/>
  </w:num>
  <w:num w:numId="6" w16cid:durableId="1483232452">
    <w:abstractNumId w:val="6"/>
  </w:num>
  <w:num w:numId="7" w16cid:durableId="1063329205">
    <w:abstractNumId w:val="5"/>
  </w:num>
  <w:num w:numId="8" w16cid:durableId="1648125718">
    <w:abstractNumId w:val="5"/>
  </w:num>
  <w:num w:numId="9" w16cid:durableId="1155413098">
    <w:abstractNumId w:val="4"/>
  </w:num>
  <w:num w:numId="10" w16cid:durableId="478428004">
    <w:abstractNumId w:val="4"/>
  </w:num>
  <w:num w:numId="11" w16cid:durableId="284043260">
    <w:abstractNumId w:val="8"/>
  </w:num>
  <w:num w:numId="12" w16cid:durableId="187180944">
    <w:abstractNumId w:val="8"/>
  </w:num>
  <w:num w:numId="13" w16cid:durableId="1000542529">
    <w:abstractNumId w:val="3"/>
  </w:num>
  <w:num w:numId="14" w16cid:durableId="894925270">
    <w:abstractNumId w:val="3"/>
  </w:num>
  <w:num w:numId="15" w16cid:durableId="661739882">
    <w:abstractNumId w:val="2"/>
  </w:num>
  <w:num w:numId="16" w16cid:durableId="1662001926">
    <w:abstractNumId w:val="2"/>
  </w:num>
  <w:num w:numId="17" w16cid:durableId="1122264338">
    <w:abstractNumId w:val="1"/>
  </w:num>
  <w:num w:numId="18" w16cid:durableId="1961183675">
    <w:abstractNumId w:val="1"/>
  </w:num>
  <w:num w:numId="19" w16cid:durableId="1383670811">
    <w:abstractNumId w:val="0"/>
  </w:num>
  <w:num w:numId="20" w16cid:durableId="899823544">
    <w:abstractNumId w:val="0"/>
  </w:num>
  <w:num w:numId="21" w16cid:durableId="1812822021">
    <w:abstractNumId w:val="9"/>
  </w:num>
  <w:num w:numId="22" w16cid:durableId="1597791734">
    <w:abstractNumId w:val="7"/>
  </w:num>
  <w:num w:numId="23" w16cid:durableId="1342272704">
    <w:abstractNumId w:val="6"/>
  </w:num>
  <w:num w:numId="24" w16cid:durableId="928587346">
    <w:abstractNumId w:val="5"/>
  </w:num>
  <w:num w:numId="25" w16cid:durableId="627862152">
    <w:abstractNumId w:val="4"/>
  </w:num>
  <w:num w:numId="26" w16cid:durableId="37827708">
    <w:abstractNumId w:val="8"/>
  </w:num>
  <w:num w:numId="27" w16cid:durableId="1295140135">
    <w:abstractNumId w:val="3"/>
  </w:num>
  <w:num w:numId="28" w16cid:durableId="1300067860">
    <w:abstractNumId w:val="2"/>
  </w:num>
  <w:num w:numId="29" w16cid:durableId="563570205">
    <w:abstractNumId w:val="1"/>
  </w:num>
  <w:num w:numId="30" w16cid:durableId="1420784293">
    <w:abstractNumId w:val="0"/>
  </w:num>
  <w:num w:numId="31" w16cid:durableId="1949896010">
    <w:abstractNumId w:val="9"/>
  </w:num>
  <w:num w:numId="32" w16cid:durableId="2003771990">
    <w:abstractNumId w:val="7"/>
  </w:num>
  <w:num w:numId="33" w16cid:durableId="1153596339">
    <w:abstractNumId w:val="6"/>
  </w:num>
  <w:num w:numId="34" w16cid:durableId="1580210549">
    <w:abstractNumId w:val="5"/>
  </w:num>
  <w:num w:numId="35" w16cid:durableId="1657684821">
    <w:abstractNumId w:val="4"/>
  </w:num>
  <w:num w:numId="36" w16cid:durableId="1424180479">
    <w:abstractNumId w:val="8"/>
  </w:num>
  <w:num w:numId="37" w16cid:durableId="610666518">
    <w:abstractNumId w:val="3"/>
  </w:num>
  <w:num w:numId="38" w16cid:durableId="1567255909">
    <w:abstractNumId w:val="2"/>
  </w:num>
  <w:num w:numId="39" w16cid:durableId="823623166">
    <w:abstractNumId w:val="1"/>
  </w:num>
  <w:num w:numId="40" w16cid:durableId="1581020786">
    <w:abstractNumId w:val="0"/>
  </w:num>
  <w:num w:numId="41" w16cid:durableId="311569224">
    <w:abstractNumId w:val="10"/>
  </w:num>
  <w:num w:numId="42" w16cid:durableId="1906447133">
    <w:abstractNumId w:val="10"/>
  </w:num>
  <w:num w:numId="43" w16cid:durableId="450443777">
    <w:abstractNumId w:val="10"/>
  </w:num>
  <w:num w:numId="44" w16cid:durableId="6379520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1/2026"/>
    <w:docVar w:name="dvlangue" w:val="HU"/>
    <w:docVar w:name="dvnumam" w:val="0"/>
    <w:docVar w:name="dvpe" w:val="778.284"/>
    <w:docVar w:name="dvrapporteur" w:val="Előadó: "/>
    <w:docVar w:name="dvtitre" w:val="Az Európai Parlament 2026.  ...-i állásfoglalása a dokumentumokhoz való nyilvános hozzáférésről – a 2022–2024 közötti időszakra vonatkozó jelentés(2025/2137(INI))"/>
  </w:docVars>
  <w:rsids>
    <w:rsidRoot w:val="007052C0"/>
    <w:rsid w:val="00002272"/>
    <w:rsid w:val="00064002"/>
    <w:rsid w:val="000677B9"/>
    <w:rsid w:val="000831BA"/>
    <w:rsid w:val="000A42CC"/>
    <w:rsid w:val="000A7AD9"/>
    <w:rsid w:val="000E7DD9"/>
    <w:rsid w:val="0010095E"/>
    <w:rsid w:val="00125B37"/>
    <w:rsid w:val="00150707"/>
    <w:rsid w:val="00187494"/>
    <w:rsid w:val="001F32AE"/>
    <w:rsid w:val="002767FF"/>
    <w:rsid w:val="002B18FE"/>
    <w:rsid w:val="002B5493"/>
    <w:rsid w:val="00343214"/>
    <w:rsid w:val="00361B59"/>
    <w:rsid w:val="00361C00"/>
    <w:rsid w:val="00395FA1"/>
    <w:rsid w:val="003C39AE"/>
    <w:rsid w:val="003E15D4"/>
    <w:rsid w:val="003E511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0A1B"/>
    <w:rsid w:val="006631B6"/>
    <w:rsid w:val="00666120"/>
    <w:rsid w:val="00680577"/>
    <w:rsid w:val="006F74FA"/>
    <w:rsid w:val="007052C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98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CA7"/>
    <w:rsid w:val="00CF071A"/>
    <w:rsid w:val="00D058B8"/>
    <w:rsid w:val="00D56C11"/>
    <w:rsid w:val="00D834A0"/>
    <w:rsid w:val="00D872DF"/>
    <w:rsid w:val="00D91E21"/>
    <w:rsid w:val="00DA7FCD"/>
    <w:rsid w:val="00E2769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110120"/>
  <w15:chartTrackingRefBased/>
  <w15:docId w15:val="{BDCE0C7C-306C-4C96-848C-69A1BE52B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3C39AE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3C39A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3C39AE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3C39A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3C39AE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3C39AE"/>
    <w:rPr>
      <w:color w:val="0000FF"/>
      <w:u w:val="single"/>
    </w:rPr>
  </w:style>
  <w:style w:type="paragraph" w:styleId="Revision">
    <w:name w:val="Revision"/>
    <w:hidden/>
    <w:uiPriority w:val="99"/>
    <w:semiHidden/>
    <w:rsid w:val="00630A1B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666120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rsid w:val="00E27694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E27694"/>
    <w:rPr>
      <w:lang w:val="hu-HU"/>
    </w:rPr>
  </w:style>
  <w:style w:type="character" w:styleId="EndnoteReference">
    <w:name w:val="endnote reference"/>
    <w:basedOn w:val="DefaultParagraphFont"/>
    <w:rsid w:val="00E276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2303/oj" TargetMode="External"/><Relationship Id="rId3" Type="http://schemas.openxmlformats.org/officeDocument/2006/relationships/hyperlink" Target="http://data.europa.eu/eli/dec/2024/3080/oj" TargetMode="External"/><Relationship Id="rId7" Type="http://schemas.openxmlformats.org/officeDocument/2006/relationships/hyperlink" Target="https://curia.europa.eu/jcms/upload/docs/application/pdf/2025-05/cp250060hu.pdf" TargetMode="External"/><Relationship Id="rId2" Type="http://schemas.openxmlformats.org/officeDocument/2006/relationships/hyperlink" Target="http://data.europa.eu/eli/reg/2006/1367/oj" TargetMode="External"/><Relationship Id="rId1" Type="http://schemas.openxmlformats.org/officeDocument/2006/relationships/hyperlink" Target="http://data.europa.eu/eli/reg/2001/1049/oj" TargetMode="External"/><Relationship Id="rId6" Type="http://schemas.openxmlformats.org/officeDocument/2006/relationships/hyperlink" Target="http://data.europa.eu/eli/C/2024/6560/oj" TargetMode="External"/><Relationship Id="rId5" Type="http://schemas.openxmlformats.org/officeDocument/2006/relationships/hyperlink" Target="http://data.europa.eu/eli/C/2024/4014/oj" TargetMode="External"/><Relationship Id="rId4" Type="http://schemas.openxmlformats.org/officeDocument/2006/relationships/hyperlink" Target="http://data.europa.eu/eli/dir/2019/19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5013</Words>
  <Characters>36337</Characters>
  <Application>Microsoft Office Word</Application>
  <DocSecurity>0</DocSecurity>
  <Lines>1453</Lines>
  <Paragraphs>510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2026-04-20T09:31:00Z</dcterms:created>
  <dcterms:modified xsi:type="dcterms:W3CDTF">2026-04-20T09:31:00Z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A10-0011/2026</vt:lpwstr>
  </property>
  <property fmtid="{D5CDD505-2E9C-101B-9397-08002B2CF9AE}" pid="4" name="&lt;Type&gt;">
    <vt:lpwstr>RR</vt:lpwstr>
  </property>
</Properties>
</file>