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1D58" w14:paraId="1AE1E7CE" w14:textId="77777777" w:rsidTr="0010095E">
        <w:trPr>
          <w:trHeight w:hRule="exact" w:val="1418"/>
        </w:trPr>
        <w:tc>
          <w:tcPr>
            <w:tcW w:w="6804" w:type="dxa"/>
            <w:shd w:val="clear" w:color="auto" w:fill="auto"/>
            <w:vAlign w:val="center"/>
          </w:tcPr>
          <w:p w14:paraId="7CAA3861" w14:textId="77777777" w:rsidR="00751A4A" w:rsidRPr="00D71D58" w:rsidRDefault="005668E6" w:rsidP="0010095E">
            <w:pPr>
              <w:pStyle w:val="EPName"/>
            </w:pPr>
            <w:r w:rsidRPr="00D71D58">
              <w:t>Europa-Parlamentet</w:t>
            </w:r>
          </w:p>
          <w:p w14:paraId="2941E56A" w14:textId="77777777" w:rsidR="00751A4A" w:rsidRPr="00D71D58" w:rsidRDefault="005F1B17" w:rsidP="005F1B17">
            <w:pPr>
              <w:pStyle w:val="EPTerm"/>
              <w:rPr>
                <w:rStyle w:val="HideTWBExt"/>
                <w:noProof w:val="0"/>
                <w:vanish w:val="0"/>
                <w:color w:val="auto"/>
              </w:rPr>
            </w:pPr>
            <w:r w:rsidRPr="00D71D58">
              <w:t>2024</w:t>
            </w:r>
            <w:r w:rsidR="00817416" w:rsidRPr="00D71D58">
              <w:t>-202</w:t>
            </w:r>
            <w:r w:rsidRPr="00D71D58">
              <w:t>9</w:t>
            </w:r>
          </w:p>
        </w:tc>
        <w:tc>
          <w:tcPr>
            <w:tcW w:w="2268" w:type="dxa"/>
            <w:shd w:val="clear" w:color="auto" w:fill="auto"/>
          </w:tcPr>
          <w:p w14:paraId="600AD6DE" w14:textId="77777777" w:rsidR="00751A4A" w:rsidRPr="00D71D58" w:rsidRDefault="00187494" w:rsidP="0010095E">
            <w:pPr>
              <w:pStyle w:val="EPLogo"/>
            </w:pPr>
            <w:r w:rsidRPr="00D71D58">
              <w:rPr>
                <w:noProof/>
                <w:lang w:eastAsia="ja-JP"/>
              </w:rPr>
              <w:drawing>
                <wp:inline distT="0" distB="0" distL="0" distR="0" wp14:anchorId="56FCFE97" wp14:editId="42BFBF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86858D" w14:textId="77777777" w:rsidR="00D058B8" w:rsidRPr="00D71D58" w:rsidRDefault="00D058B8" w:rsidP="004C5D52">
      <w:pPr>
        <w:pStyle w:val="LineTop"/>
      </w:pPr>
    </w:p>
    <w:p w14:paraId="2EBE6983" w14:textId="77777777" w:rsidR="00680577" w:rsidRPr="00D71D58" w:rsidRDefault="005668E6" w:rsidP="00680577">
      <w:pPr>
        <w:pStyle w:val="EPBodyTA1"/>
      </w:pPr>
      <w:r w:rsidRPr="00D71D58">
        <w:t>VEDTAGNE TEKSTER</w:t>
      </w:r>
    </w:p>
    <w:p w14:paraId="59E280A8" w14:textId="77777777" w:rsidR="00D058B8" w:rsidRPr="00D71D58" w:rsidRDefault="00D058B8" w:rsidP="00D058B8">
      <w:pPr>
        <w:pStyle w:val="LineBottom"/>
      </w:pPr>
    </w:p>
    <w:p w14:paraId="616EA477" w14:textId="4DFC507D" w:rsidR="005668E6" w:rsidRPr="003A2703" w:rsidRDefault="005668E6" w:rsidP="005668E6">
      <w:pPr>
        <w:pStyle w:val="ATHeading1"/>
      </w:pPr>
      <w:bookmarkStart w:id="0" w:name="TANumber"/>
      <w:r w:rsidRPr="003A2703">
        <w:t>P10_TA(2026)00</w:t>
      </w:r>
      <w:r w:rsidR="0081079A">
        <w:t>66</w:t>
      </w:r>
      <w:bookmarkEnd w:id="0"/>
    </w:p>
    <w:p w14:paraId="6CA85799" w14:textId="77777777" w:rsidR="005668E6" w:rsidRPr="003A2703" w:rsidRDefault="005668E6" w:rsidP="005668E6">
      <w:pPr>
        <w:pStyle w:val="ATHeading2"/>
      </w:pPr>
      <w:bookmarkStart w:id="1" w:name="title"/>
      <w:r w:rsidRPr="003A2703">
        <w:t>Ophavsret og generativ kunstig intelligens – muligheder og udfordringer</w:t>
      </w:r>
      <w:bookmarkEnd w:id="1"/>
    </w:p>
    <w:p w14:paraId="113577C7" w14:textId="77777777" w:rsidR="005668E6" w:rsidRPr="00D71D58" w:rsidRDefault="005668E6" w:rsidP="005668E6">
      <w:pPr>
        <w:rPr>
          <w:i/>
          <w:vanish/>
        </w:rPr>
      </w:pPr>
      <w:r w:rsidRPr="00D71D58">
        <w:rPr>
          <w:i/>
        </w:rPr>
        <w:fldChar w:fldCharType="begin"/>
      </w:r>
      <w:r w:rsidRPr="00D71D58">
        <w:rPr>
          <w:i/>
        </w:rPr>
        <w:instrText xml:space="preserve"> TC"(</w:instrText>
      </w:r>
      <w:bookmarkStart w:id="2" w:name="DocNumber"/>
      <w:r w:rsidRPr="00D71D58">
        <w:rPr>
          <w:i/>
        </w:rPr>
        <w:instrText>A10-0019/2026</w:instrText>
      </w:r>
      <w:bookmarkEnd w:id="2"/>
      <w:r w:rsidRPr="00D71D58">
        <w:rPr>
          <w:i/>
        </w:rPr>
        <w:instrText xml:space="preserve"> - Ordfører: Axel Voss)"\l3 \n&gt; \* MERGEFORMAT </w:instrText>
      </w:r>
      <w:r w:rsidRPr="00D71D58">
        <w:rPr>
          <w:i/>
        </w:rPr>
        <w:fldChar w:fldCharType="end"/>
      </w:r>
    </w:p>
    <w:p w14:paraId="4B40D60C" w14:textId="77777777" w:rsidR="005668E6" w:rsidRPr="00D71D58" w:rsidRDefault="005668E6" w:rsidP="005668E6">
      <w:pPr>
        <w:rPr>
          <w:vanish/>
        </w:rPr>
      </w:pPr>
      <w:bookmarkStart w:id="3" w:name="Commission"/>
      <w:r w:rsidRPr="00D71D58">
        <w:rPr>
          <w:vanish/>
        </w:rPr>
        <w:t>Retsudvalget</w:t>
      </w:r>
      <w:bookmarkEnd w:id="3"/>
    </w:p>
    <w:p w14:paraId="11607283" w14:textId="77777777" w:rsidR="005668E6" w:rsidRPr="00D71D58" w:rsidRDefault="005668E6" w:rsidP="005668E6">
      <w:pPr>
        <w:rPr>
          <w:vanish/>
        </w:rPr>
      </w:pPr>
      <w:bookmarkStart w:id="4" w:name="PE"/>
      <w:r w:rsidRPr="00D71D58">
        <w:rPr>
          <w:vanish/>
        </w:rPr>
        <w:t>PE775.433</w:t>
      </w:r>
      <w:bookmarkEnd w:id="4"/>
    </w:p>
    <w:p w14:paraId="3C15D180" w14:textId="6EFFCD1A" w:rsidR="005668E6" w:rsidRPr="003A2703" w:rsidRDefault="005668E6" w:rsidP="005668E6">
      <w:pPr>
        <w:pStyle w:val="ATHeading3"/>
      </w:pPr>
      <w:bookmarkStart w:id="5" w:name="Sujet"/>
      <w:r w:rsidRPr="003A2703">
        <w:t xml:space="preserve">Europa-Parlamentets beslutning af </w:t>
      </w:r>
      <w:r w:rsidR="00CE1469" w:rsidRPr="003A2703">
        <w:t>10</w:t>
      </w:r>
      <w:r w:rsidRPr="003A2703">
        <w:t>. marts 2026 Ophavsret og generativ kunstig intelligens – muligheder og udfordringer</w:t>
      </w:r>
      <w:bookmarkEnd w:id="5"/>
      <w:r w:rsidRPr="003A2703">
        <w:t xml:space="preserve"> </w:t>
      </w:r>
      <w:bookmarkStart w:id="6" w:name="References"/>
      <w:r w:rsidRPr="003A2703">
        <w:t>(2025/2058(INI))</w:t>
      </w:r>
      <w:bookmarkEnd w:id="6"/>
    </w:p>
    <w:p w14:paraId="545A393A" w14:textId="77777777" w:rsidR="005F681C" w:rsidRPr="00D71D58" w:rsidRDefault="005F681C" w:rsidP="005F681C">
      <w:pPr>
        <w:pStyle w:val="EPComma"/>
      </w:pPr>
      <w:r w:rsidRPr="00D71D58">
        <w:rPr>
          <w:i/>
        </w:rPr>
        <w:t>Europa-Parlamentet,</w:t>
      </w:r>
    </w:p>
    <w:p w14:paraId="24525BB6" w14:textId="77777777" w:rsidR="005F681C" w:rsidRPr="00D71D58" w:rsidRDefault="005F681C" w:rsidP="005F681C">
      <w:pPr>
        <w:pStyle w:val="NormalHanging12a"/>
      </w:pPr>
      <w:r w:rsidRPr="00D71D58">
        <w:t>–</w:t>
      </w:r>
      <w:r w:rsidRPr="00D71D58">
        <w:tab/>
        <w:t>der henviser til traktaten om Den Europæiske Unions funktionsmåde, særlig artikel 4, 16, 26, 114, 118 og 179,</w:t>
      </w:r>
    </w:p>
    <w:p w14:paraId="06951CFA" w14:textId="77777777" w:rsidR="005F681C" w:rsidRPr="00D71D58" w:rsidRDefault="005F681C" w:rsidP="005F681C">
      <w:pPr>
        <w:pStyle w:val="NormalHanging12a"/>
      </w:pPr>
      <w:r w:rsidRPr="00D71D58">
        <w:t>–</w:t>
      </w:r>
      <w:r w:rsidRPr="00D71D58">
        <w:tab/>
        <w:t>der henviser til artikel 17, stk. 2, i Den Europæiske Unions charter om grundlæggende rettigheder,</w:t>
      </w:r>
    </w:p>
    <w:p w14:paraId="21855DB7" w14:textId="77777777" w:rsidR="005F681C" w:rsidRPr="00D71D58" w:rsidRDefault="005F681C" w:rsidP="005F681C">
      <w:pPr>
        <w:pStyle w:val="NormalHanging12a"/>
      </w:pPr>
      <w:r w:rsidRPr="00D71D58">
        <w:t>–</w:t>
      </w:r>
      <w:r w:rsidRPr="00D71D58">
        <w:tab/>
        <w:t>der henviser til artikel 27 i verdenserklæringen om menneskerettigheder, der blev vedtaget af FN's Generalforsamling den 10. december 1948 (resolution 217 A), som bekræfter retten til frit at deltage i samfundets kulturliv, til kunstnydelse og til at blive delagtiggjort i videnskabens fremskridt og dens goder samt retten til beskyttelse af de moralske og materielle interesser, der hidrører fra en hvilken som helst videnskabelig, litterær eller kunstnerisk frembringelse,</w:t>
      </w:r>
    </w:p>
    <w:p w14:paraId="1469067B" w14:textId="77777777" w:rsidR="005F681C" w:rsidRPr="00D71D58" w:rsidRDefault="005F681C" w:rsidP="005F681C">
      <w:pPr>
        <w:pStyle w:val="NormalHanging12a"/>
      </w:pPr>
      <w:r w:rsidRPr="00D71D58">
        <w:t>–</w:t>
      </w:r>
      <w:r w:rsidRPr="00D71D58">
        <w:tab/>
        <w:t xml:space="preserve">der henviser til Bernerkonventionen til værn for litterære og kunstneriske værker, som ændret den 28. september 1979, og til Rom-konventionen om beskyttelse af udøvende kunstnere, fremstillere af fonogrammer samt radio- og fjernsynsforetagender af 26. oktober 1961, </w:t>
      </w:r>
    </w:p>
    <w:p w14:paraId="1C2A5DB9" w14:textId="77777777" w:rsidR="005F681C" w:rsidRPr="00D71D58" w:rsidRDefault="005F681C" w:rsidP="005F681C">
      <w:pPr>
        <w:pStyle w:val="NormalHanging12a"/>
      </w:pPr>
      <w:r w:rsidRPr="00D71D58">
        <w:t>–</w:t>
      </w:r>
      <w:r w:rsidRPr="00D71D58">
        <w:tab/>
        <w:t>der henviser til aftalen om handelsrelaterede aspekter af intellektuelle ejendomsrettigheder (TRIPS) af 15. april 1994,</w:t>
      </w:r>
    </w:p>
    <w:p w14:paraId="205A4F29" w14:textId="77777777" w:rsidR="005F681C" w:rsidRPr="00D71D58" w:rsidRDefault="005F681C" w:rsidP="005F681C">
      <w:pPr>
        <w:pStyle w:val="NormalHanging12a"/>
      </w:pPr>
      <w:r w:rsidRPr="00D71D58">
        <w:t>–</w:t>
      </w:r>
      <w:r w:rsidRPr="00D71D58">
        <w:tab/>
        <w:t>der henviser til Europa-Parlamentets og Rådets direktiv 96/9/EF af 11. marts 1996 om retlig beskyttelse af databaser</w:t>
      </w:r>
      <w:r w:rsidRPr="00D71D58">
        <w:rPr>
          <w:rStyle w:val="FootnoteReference"/>
          <w:color w:val="000000"/>
        </w:rPr>
        <w:footnoteReference w:id="1"/>
      </w:r>
      <w:r w:rsidRPr="00D71D58">
        <w:t xml:space="preserve"> (databasedirektivet),</w:t>
      </w:r>
    </w:p>
    <w:p w14:paraId="439BA046" w14:textId="77777777" w:rsidR="005F681C" w:rsidRPr="00D71D58" w:rsidRDefault="005F681C" w:rsidP="005F681C">
      <w:pPr>
        <w:pStyle w:val="NormalHanging12a"/>
      </w:pPr>
      <w:r w:rsidRPr="00D71D58">
        <w:t>–</w:t>
      </w:r>
      <w:r w:rsidRPr="00D71D58">
        <w:tab/>
        <w:t xml:space="preserve">der henviser til Europa-Parlamentets og Rådets direktiv 2001/29/EF af 22. maj 2001 om harmonisering af visse aspekter af ophavsret og beslægtede rettigheder i </w:t>
      </w:r>
      <w:r w:rsidRPr="00D71D58">
        <w:lastRenderedPageBreak/>
        <w:t>informationssamfundet</w:t>
      </w:r>
      <w:r w:rsidRPr="00D71D58">
        <w:rPr>
          <w:rStyle w:val="FootnoteReference"/>
          <w:color w:val="000000"/>
        </w:rPr>
        <w:footnoteReference w:id="2"/>
      </w:r>
      <w:r w:rsidRPr="00D71D58">
        <w:t xml:space="preserve"> (</w:t>
      </w:r>
      <w:proofErr w:type="spellStart"/>
      <w:r w:rsidRPr="00D71D58">
        <w:t>Infosoc</w:t>
      </w:r>
      <w:proofErr w:type="spellEnd"/>
      <w:r w:rsidRPr="00D71D58">
        <w:t>-direktivet),</w:t>
      </w:r>
    </w:p>
    <w:p w14:paraId="4460891A" w14:textId="77777777" w:rsidR="005F681C" w:rsidRPr="00D71D58" w:rsidRDefault="005F681C" w:rsidP="005F681C">
      <w:pPr>
        <w:pStyle w:val="NormalHanging12a"/>
      </w:pPr>
      <w:r w:rsidRPr="00D71D58">
        <w:t>–</w:t>
      </w:r>
      <w:r w:rsidRPr="00D71D58">
        <w:tab/>
        <w:t>der henviser til Europa-Parlamentets og Rådets direktiv 2004/48/EF af 29. april 2004 om håndhævelsen af intellektuelle ejendomsrettigheder</w:t>
      </w:r>
      <w:r w:rsidRPr="00D71D58">
        <w:rPr>
          <w:rStyle w:val="FootnoteReference"/>
          <w:color w:val="000000"/>
        </w:rPr>
        <w:footnoteReference w:id="3"/>
      </w:r>
      <w:r w:rsidRPr="00D71D58">
        <w:t>,</w:t>
      </w:r>
    </w:p>
    <w:p w14:paraId="467884F5" w14:textId="77777777" w:rsidR="005F681C" w:rsidRPr="00D71D58" w:rsidRDefault="005F681C" w:rsidP="005F681C">
      <w:pPr>
        <w:pStyle w:val="NormalHanging12a"/>
      </w:pPr>
      <w:r w:rsidRPr="00D71D58">
        <w:t>–</w:t>
      </w:r>
      <w:r w:rsidRPr="00D71D58">
        <w:tab/>
        <w:t>der henviser til artikel 1 i protokol nr. 1 til konventionen til beskyttelse af menneskerettigheder og grundlæggende frihedsrettigheder (ETS nr. 009), der garanterer retten til respekt for ejendom, hvilket er blevet fortolket af Den Europæiske Menneskerettighedsdomstol til at omfatte intellektuelle ejendomsrettigheder, bl.a. i sagen Anheuser-Busch Inc. mod Portugal (11. januar 2007),</w:t>
      </w:r>
    </w:p>
    <w:p w14:paraId="18919508" w14:textId="77777777" w:rsidR="005F681C" w:rsidRPr="00D71D58" w:rsidRDefault="005F681C" w:rsidP="005F681C">
      <w:pPr>
        <w:pStyle w:val="NormalHanging12a"/>
      </w:pPr>
      <w:r w:rsidRPr="00D71D58">
        <w:t>–</w:t>
      </w:r>
      <w:r w:rsidRPr="00D71D58">
        <w:tab/>
        <w:t>der henviser til Europa-Parlamentets og Rådets direktiv 2009/24/EF af 23. april 2009 om retlig beskyttelse af edb-programmer</w:t>
      </w:r>
      <w:r w:rsidRPr="00D71D58">
        <w:rPr>
          <w:rStyle w:val="FootnoteReference"/>
          <w:color w:val="000000"/>
        </w:rPr>
        <w:footnoteReference w:id="4"/>
      </w:r>
      <w:r w:rsidRPr="00D71D58">
        <w:t>,</w:t>
      </w:r>
    </w:p>
    <w:p w14:paraId="240F0835" w14:textId="77777777" w:rsidR="005F681C" w:rsidRPr="00D71D58" w:rsidRDefault="005F681C" w:rsidP="005F681C">
      <w:pPr>
        <w:pStyle w:val="NormalHanging12a"/>
      </w:pPr>
      <w:r w:rsidRPr="00D71D58">
        <w:t>–</w:t>
      </w:r>
      <w:r w:rsidRPr="00D71D58">
        <w:tab/>
        <w:t>der henviser til Europa-Parlamentets og Rådets forordning (EU) 2016/679 af 27. april 2016 om beskyttelse af fysiske personer i forbindelse med behandling af personoplysninger og om fri udveksling af sådanne oplysninger og om ophævelse af direktiv 95/46/EF (generel forordning om databeskyttelse)</w:t>
      </w:r>
      <w:r w:rsidRPr="00D71D58">
        <w:rPr>
          <w:rStyle w:val="FootnoteReference"/>
          <w:color w:val="000000"/>
        </w:rPr>
        <w:footnoteReference w:id="5"/>
      </w:r>
      <w:r w:rsidRPr="00D71D58">
        <w:t>,</w:t>
      </w:r>
    </w:p>
    <w:p w14:paraId="6FBAAAD9" w14:textId="77777777" w:rsidR="005F681C" w:rsidRPr="00D71D58" w:rsidRDefault="005F681C" w:rsidP="005F681C">
      <w:pPr>
        <w:pStyle w:val="NormalHanging12a"/>
      </w:pPr>
      <w:r w:rsidRPr="00D71D58">
        <w:t>–</w:t>
      </w:r>
      <w:r w:rsidRPr="00D71D58">
        <w:tab/>
        <w:t>der henviser til Europa-Parlamentets og Rådets direktiv (EU) 2016/943 af 8. juni 2016 om beskyttelse af fortrolig knowhow og fortrolige forretningsoplysninger (forretningshemmeligheder) mod ulovlig erhvervelse, brug og videregivelse</w:t>
      </w:r>
      <w:r w:rsidRPr="00D71D58">
        <w:rPr>
          <w:rStyle w:val="FootnoteReference"/>
          <w:color w:val="000000"/>
        </w:rPr>
        <w:footnoteReference w:id="6"/>
      </w:r>
      <w:r w:rsidRPr="00D71D58">
        <w:t>,</w:t>
      </w:r>
    </w:p>
    <w:p w14:paraId="67393F9D" w14:textId="77777777" w:rsidR="005F681C" w:rsidRPr="00D71D58" w:rsidRDefault="005F681C" w:rsidP="005F681C">
      <w:pPr>
        <w:pStyle w:val="NormalHanging12a"/>
      </w:pPr>
      <w:r w:rsidRPr="00D71D58">
        <w:t>–</w:t>
      </w:r>
      <w:r w:rsidRPr="00D71D58">
        <w:tab/>
        <w:t>der henviser til Europa-Parlamentets og Rådets forordning (EU) 2018/1807 af 14. november 2018 om en ramme for fri udveksling af andre data end personoplysninger i Den Europæiske Union</w:t>
      </w:r>
      <w:r w:rsidRPr="00D71D58">
        <w:rPr>
          <w:rStyle w:val="FootnoteReference"/>
          <w:color w:val="000000"/>
        </w:rPr>
        <w:footnoteReference w:id="7"/>
      </w:r>
      <w:r w:rsidRPr="00D71D58">
        <w:t>,</w:t>
      </w:r>
    </w:p>
    <w:p w14:paraId="1A4A62BF" w14:textId="77777777" w:rsidR="005F681C" w:rsidRPr="00D71D58" w:rsidRDefault="005F681C" w:rsidP="005F681C">
      <w:pPr>
        <w:pStyle w:val="NormalHanging12a"/>
      </w:pPr>
      <w:r w:rsidRPr="00D71D58">
        <w:t>–</w:t>
      </w:r>
      <w:r w:rsidRPr="00D71D58">
        <w:tab/>
        <w:t>der henviser til Europa-Parlamentets og Rådets direktiv (EU) 2019/790 af 17. april 2019 om ophavsret og beslægtede rettigheder på det digitale indre marked og om ændring af direktiv 96/9/EF og 2001/29/EF</w:t>
      </w:r>
      <w:r w:rsidRPr="00D71D58">
        <w:rPr>
          <w:rStyle w:val="FootnoteReference"/>
          <w:color w:val="000000"/>
        </w:rPr>
        <w:footnoteReference w:id="8"/>
      </w:r>
      <w:r w:rsidRPr="00D71D58">
        <w:t>,</w:t>
      </w:r>
    </w:p>
    <w:p w14:paraId="32BB04C4" w14:textId="77777777" w:rsidR="005F681C" w:rsidRPr="00D71D58" w:rsidRDefault="005F681C" w:rsidP="005F681C">
      <w:pPr>
        <w:pStyle w:val="NormalHanging12a"/>
      </w:pPr>
      <w:r w:rsidRPr="00D71D58">
        <w:t>–</w:t>
      </w:r>
      <w:r w:rsidRPr="00D71D58">
        <w:tab/>
        <w:t>der henviser til Europa-Parlamentets og Rådets direktiv (EU) 2019/1024 af 20. juni 2019 om åbne data og videreanvendelse af den offentlige sektors informationer</w:t>
      </w:r>
      <w:r w:rsidRPr="00D71D58">
        <w:rPr>
          <w:rStyle w:val="FootnoteReference"/>
          <w:color w:val="000000"/>
        </w:rPr>
        <w:footnoteReference w:id="9"/>
      </w:r>
      <w:r w:rsidRPr="00D71D58">
        <w:t>,</w:t>
      </w:r>
    </w:p>
    <w:p w14:paraId="4BB2A2B4" w14:textId="77777777" w:rsidR="005F681C" w:rsidRPr="00D71D58" w:rsidRDefault="005F681C" w:rsidP="005F681C">
      <w:pPr>
        <w:pStyle w:val="NormalHanging12a"/>
      </w:pPr>
      <w:r w:rsidRPr="00D71D58">
        <w:t>–</w:t>
      </w:r>
      <w:r w:rsidRPr="00D71D58">
        <w:tab/>
        <w:t>der henviser til Europa-Parlamentets og Rådets forordning (EU) 2019/1150 af 20. juni 2019 om fremme af retfærdighed og gennemsigtighed for erhvervsbrugere af onlineformidlingstjenester</w:t>
      </w:r>
      <w:r w:rsidRPr="00D71D58">
        <w:rPr>
          <w:rStyle w:val="FootnoteReference"/>
          <w:color w:val="000000"/>
        </w:rPr>
        <w:footnoteReference w:id="10"/>
      </w:r>
      <w:r w:rsidRPr="00D71D58">
        <w:t>,</w:t>
      </w:r>
    </w:p>
    <w:p w14:paraId="1F18A284" w14:textId="77777777" w:rsidR="005F681C" w:rsidRPr="00D71D58" w:rsidRDefault="005F681C" w:rsidP="005F681C">
      <w:pPr>
        <w:pStyle w:val="NormalHanging12a"/>
      </w:pPr>
      <w:r w:rsidRPr="00D71D58">
        <w:t>–</w:t>
      </w:r>
      <w:r w:rsidRPr="00D71D58">
        <w:tab/>
        <w:t>der henviser til Kommissionens hvidbog af 19. februar 2020 om kunstig intelligens – en europæisk tilgang til ekspertise og tillid (COM(2020)0065),</w:t>
      </w:r>
    </w:p>
    <w:p w14:paraId="0F1F749A" w14:textId="77777777" w:rsidR="005F681C" w:rsidRPr="00D71D58" w:rsidRDefault="005F681C" w:rsidP="005F681C">
      <w:pPr>
        <w:pStyle w:val="NormalHanging12a"/>
      </w:pPr>
      <w:r w:rsidRPr="00D71D58">
        <w:t>–</w:t>
      </w:r>
      <w:r w:rsidRPr="00D71D58">
        <w:tab/>
        <w:t xml:space="preserve">der henviser til Verdensorganisationen for Intellektuel Ejendomsrets traktat om </w:t>
      </w:r>
      <w:r w:rsidRPr="00D71D58">
        <w:lastRenderedPageBreak/>
        <w:t>ophavsret og det reviderede holdningsdokument om politikkerne for intellektuel ejendomsret og kunstig intelligens (WIPO/IP/AI/2/GE/20/1 REV) af 29. maj 2020,</w:t>
      </w:r>
    </w:p>
    <w:p w14:paraId="44C8F8D5" w14:textId="77777777" w:rsidR="005F681C" w:rsidRPr="00D71D58" w:rsidRDefault="005F681C" w:rsidP="005F681C">
      <w:pPr>
        <w:pStyle w:val="NormalHanging12a"/>
      </w:pPr>
      <w:r w:rsidRPr="00D71D58">
        <w:t>–</w:t>
      </w:r>
      <w:r w:rsidRPr="00D71D58">
        <w:tab/>
        <w:t>der henviser til sin beslutning af 20. oktober 2020 om intellektuel ejendomsret i forbindelse med udvikling af teknologier vedrørende kunstig intelligens</w:t>
      </w:r>
      <w:r w:rsidRPr="00D71D58">
        <w:rPr>
          <w:rStyle w:val="FootnoteReference"/>
        </w:rPr>
        <w:footnoteReference w:id="11"/>
      </w:r>
      <w:r w:rsidRPr="00D71D58">
        <w:t>,</w:t>
      </w:r>
    </w:p>
    <w:p w14:paraId="6CFEE8C1" w14:textId="77777777" w:rsidR="005F681C" w:rsidRPr="00D71D58" w:rsidRDefault="005F681C" w:rsidP="005F681C">
      <w:pPr>
        <w:pStyle w:val="NormalHanging12a"/>
      </w:pPr>
      <w:r w:rsidRPr="00D71D58">
        <w:t>–</w:t>
      </w:r>
      <w:r w:rsidRPr="00D71D58">
        <w:tab/>
        <w:t>der henviser til Europa-Parlamentets og Rådets forordning (EU) 2022/868 af 30. maj 2022 om europæisk datastyring og om ændring af forordning (EU) 2018/1724 (forordning om datastyring)</w:t>
      </w:r>
      <w:r w:rsidRPr="00D71D58">
        <w:rPr>
          <w:rStyle w:val="FootnoteReference"/>
          <w:color w:val="000000"/>
        </w:rPr>
        <w:footnoteReference w:id="12"/>
      </w:r>
      <w:r w:rsidRPr="00D71D58">
        <w:t>,</w:t>
      </w:r>
    </w:p>
    <w:p w14:paraId="0A342B1A" w14:textId="77777777" w:rsidR="005F681C" w:rsidRPr="00D71D58" w:rsidRDefault="005F681C" w:rsidP="005F681C">
      <w:pPr>
        <w:pStyle w:val="NormalHanging12a"/>
      </w:pPr>
      <w:r w:rsidRPr="00D71D58">
        <w:t>–</w:t>
      </w:r>
      <w:r w:rsidRPr="00D71D58">
        <w:tab/>
        <w:t>der henviser til den fælles europæiske erklæring om digitale rettigheder og principper for det digitale årti fra Europa-Parlamentet, Rådet og Kommissionen af 23. januar 2023</w:t>
      </w:r>
      <w:r w:rsidRPr="00D71D58">
        <w:rPr>
          <w:rStyle w:val="FootnoteReference"/>
        </w:rPr>
        <w:footnoteReference w:id="13"/>
      </w:r>
      <w:r w:rsidRPr="00D71D58">
        <w:t>,</w:t>
      </w:r>
    </w:p>
    <w:p w14:paraId="0E664902" w14:textId="77777777" w:rsidR="005F681C" w:rsidRPr="00D71D58" w:rsidRDefault="005F681C" w:rsidP="005F681C">
      <w:pPr>
        <w:pStyle w:val="NormalHanging12a"/>
      </w:pPr>
      <w:r w:rsidRPr="00D71D58">
        <w:t>–</w:t>
      </w:r>
      <w:r w:rsidRPr="00D71D58">
        <w:tab/>
        <w:t>der henviser til Europa-Parlamentets og Rådets forordning (EU) 2023/2854 af 13. december 2023 om harmoniserede regler om fair adgang til og anvendelse af data og om ændring af forordning (EU) 2017/2394 og direktiv (EU) 2020/1828 (dataforordningen)</w:t>
      </w:r>
      <w:r w:rsidRPr="00D71D58">
        <w:rPr>
          <w:rStyle w:val="FootnoteReference"/>
          <w:color w:val="000000"/>
        </w:rPr>
        <w:footnoteReference w:id="14"/>
      </w:r>
      <w:r w:rsidRPr="00D71D58">
        <w:t>,</w:t>
      </w:r>
    </w:p>
    <w:p w14:paraId="050B8CED" w14:textId="77777777" w:rsidR="005F681C" w:rsidRPr="00D71D58" w:rsidRDefault="005F681C" w:rsidP="005F681C">
      <w:pPr>
        <w:pStyle w:val="NormalHanging12a"/>
      </w:pPr>
      <w:r w:rsidRPr="00D71D58">
        <w:t>–</w:t>
      </w:r>
      <w:r w:rsidRPr="00D71D58">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D71D58">
        <w:rPr>
          <w:rStyle w:val="FootnoteReference"/>
          <w:color w:val="000000"/>
        </w:rPr>
        <w:footnoteReference w:id="15"/>
      </w:r>
      <w:r w:rsidRPr="00D71D58">
        <w:t>,</w:t>
      </w:r>
    </w:p>
    <w:p w14:paraId="272A003E" w14:textId="77777777" w:rsidR="005F681C" w:rsidRPr="00D71D58" w:rsidRDefault="005F681C" w:rsidP="005F681C">
      <w:pPr>
        <w:pStyle w:val="NormalHanging12a"/>
      </w:pPr>
      <w:r w:rsidRPr="00D71D58">
        <w:t>–</w:t>
      </w:r>
      <w:r w:rsidRPr="00D71D58">
        <w:tab/>
        <w:t xml:space="preserve">der henviser til Mario </w:t>
      </w:r>
      <w:proofErr w:type="spellStart"/>
      <w:r w:rsidRPr="00D71D58">
        <w:t>Draghis</w:t>
      </w:r>
      <w:proofErr w:type="spellEnd"/>
      <w:r w:rsidRPr="00D71D58">
        <w:t xml:space="preserve"> rapport af 9. september 2024 om fremtiden for den europæiske konkurrenceevne,</w:t>
      </w:r>
    </w:p>
    <w:p w14:paraId="11582172" w14:textId="77777777" w:rsidR="005F681C" w:rsidRPr="00D71D58" w:rsidRDefault="005F681C" w:rsidP="005F681C">
      <w:pPr>
        <w:pStyle w:val="NormalHanging12a"/>
      </w:pPr>
      <w:r w:rsidRPr="00D71D58">
        <w:t>–</w:t>
      </w:r>
      <w:r w:rsidRPr="00D71D58">
        <w:tab/>
        <w:t>der henviser til Kommissionens meddelelse af 29. januar 2025 med titlen "Et konkurrenceevnekompas for EU" (COM(2025)0030),</w:t>
      </w:r>
    </w:p>
    <w:p w14:paraId="7D07BA7F" w14:textId="77777777" w:rsidR="005F681C" w:rsidRPr="00D71D58" w:rsidRDefault="005F681C" w:rsidP="005F681C">
      <w:pPr>
        <w:pStyle w:val="NormalHanging12a"/>
      </w:pPr>
      <w:r w:rsidRPr="00D71D58">
        <w:t>–</w:t>
      </w:r>
      <w:r w:rsidRPr="00D71D58">
        <w:tab/>
        <w:t xml:space="preserve">der henviser til rapporten af 12. maj 2025 fra Den Europæiske Unions Kontor for Intellektuel Ejendomsret med titlen "The Development of Generative </w:t>
      </w:r>
      <w:proofErr w:type="spellStart"/>
      <w:r w:rsidRPr="00D71D58">
        <w:t>Artificial</w:t>
      </w:r>
      <w:proofErr w:type="spellEnd"/>
      <w:r w:rsidRPr="00D71D58">
        <w:t xml:space="preserve"> Intelligence from a Copyright Perspective" (Udviklingen af generativ kunstig intelligens fra et ophavsretsperspektiv),</w:t>
      </w:r>
    </w:p>
    <w:p w14:paraId="2C8AA129" w14:textId="77777777" w:rsidR="005F681C" w:rsidRPr="00D71D58" w:rsidRDefault="005F681C" w:rsidP="005F681C">
      <w:pPr>
        <w:pStyle w:val="NormalHanging12a"/>
      </w:pPr>
      <w:r w:rsidRPr="00D71D58">
        <w:t>–</w:t>
      </w:r>
      <w:r w:rsidRPr="00D71D58">
        <w:tab/>
        <w:t>der henviser til Kommissionens meddelelse af 16. juni 2025 med titlen "Status over det digitale årti 2025 – Vi skal fortsætte med at styrke EU's suverænitet og digitale fremtid" (COM(2025)0290),</w:t>
      </w:r>
    </w:p>
    <w:p w14:paraId="5D5561A8" w14:textId="77777777" w:rsidR="005F681C" w:rsidRPr="00D71D58" w:rsidRDefault="005F681C" w:rsidP="005F681C">
      <w:pPr>
        <w:pStyle w:val="NormalHanging12a"/>
      </w:pPr>
      <w:r w:rsidRPr="00D71D58">
        <w:t>–</w:t>
      </w:r>
      <w:r w:rsidRPr="00D71D58">
        <w:tab/>
        <w:t>der henviser til adfærdskodeksen for AI-modeller til almen brug, navnlig kapitlet om ophavsret, som blev offentliggjort af Kommissionen den 10. juli 2025 og trådte i kraft den 2. august 2025,</w:t>
      </w:r>
    </w:p>
    <w:p w14:paraId="2F9059FA" w14:textId="77777777" w:rsidR="005F681C" w:rsidRPr="00D71D58" w:rsidRDefault="005F681C" w:rsidP="005F681C">
      <w:pPr>
        <w:pStyle w:val="NormalHanging12a"/>
      </w:pPr>
      <w:r w:rsidRPr="00D71D58">
        <w:t>–</w:t>
      </w:r>
      <w:r w:rsidRPr="00D71D58">
        <w:tab/>
        <w:t xml:space="preserve">der henviser til den forklarende meddelelse og skabelonen for den offentlige sammenfatning af træningsindhold for AI-modeller til almen brug, der blev </w:t>
      </w:r>
      <w:r w:rsidRPr="00D71D58">
        <w:lastRenderedPageBreak/>
        <w:t>offentliggjort af Kommissionen den 24. juli 2025 og trådte i kraft den 2. august 2025,</w:t>
      </w:r>
    </w:p>
    <w:p w14:paraId="4FD88D88" w14:textId="77777777" w:rsidR="005F681C" w:rsidRPr="00D71D58" w:rsidRDefault="005F681C" w:rsidP="005F681C">
      <w:pPr>
        <w:pStyle w:val="NormalHanging12a"/>
      </w:pPr>
      <w:r w:rsidRPr="00D71D58">
        <w:t>–</w:t>
      </w:r>
      <w:r w:rsidRPr="00D71D58">
        <w:tab/>
        <w:t>der henviser til undersøgelsen med titlen "Generative AI and Copyright – Training, Creation, Regulation" (Generativ AI og ophavsret – træning, skabelse, regulering) bestilt af Europa-Parlamentets Temaafdeling for Retlige Anliggender, Borgernes Rettigheder og Institutionelle Anliggender efter anmodning fra Retsudvalget</w:t>
      </w:r>
      <w:r w:rsidRPr="00D71D58">
        <w:rPr>
          <w:rStyle w:val="FootnoteReference"/>
        </w:rPr>
        <w:footnoteReference w:id="16"/>
      </w:r>
      <w:r w:rsidRPr="00D71D58">
        <w:t>,</w:t>
      </w:r>
    </w:p>
    <w:p w14:paraId="41BA7FB6" w14:textId="77777777" w:rsidR="005F681C" w:rsidRPr="00D71D58" w:rsidRDefault="005F681C" w:rsidP="005F681C">
      <w:pPr>
        <w:pStyle w:val="NormalHanging12a"/>
      </w:pPr>
      <w:r w:rsidRPr="00D71D58">
        <w:t>–</w:t>
      </w:r>
      <w:r w:rsidRPr="00D71D58">
        <w:tab/>
        <w:t>der henviser til forretningsordenens artikel 55,</w:t>
      </w:r>
    </w:p>
    <w:p w14:paraId="2AC232C6" w14:textId="77777777" w:rsidR="005F681C" w:rsidRPr="00D71D58" w:rsidRDefault="005F681C" w:rsidP="005F681C">
      <w:pPr>
        <w:pStyle w:val="NormalHanging12a"/>
      </w:pPr>
      <w:r w:rsidRPr="00D71D58">
        <w:t>–</w:t>
      </w:r>
      <w:r w:rsidRPr="00D71D58">
        <w:tab/>
        <w:t>der henviser til betænkning fra Retsudvalget (A10-0019/2026),</w:t>
      </w:r>
    </w:p>
    <w:p w14:paraId="77229E9B" w14:textId="77777777" w:rsidR="005F681C" w:rsidRPr="00D71D58" w:rsidRDefault="005F681C" w:rsidP="005F681C">
      <w:pPr>
        <w:pStyle w:val="NormalHanging12a"/>
      </w:pPr>
      <w:r w:rsidRPr="00D71D58">
        <w:t>A.</w:t>
      </w:r>
      <w:r w:rsidRPr="00D71D58">
        <w:tab/>
        <w:t>der henviser til, at ejendomsretten, herunder intellektuel ejendomsret, er fastlagt som en grundlæggende rettighed i artikel 17 i Den Europæiske Unions charter om grundlæggende rettigheder og er klart præciseret af retspraksis; der henviser til, at respekten for denne ret skal sikres i alle faser af den digitale omstilling og udviklingen af generativ kunstig intelligens (GenAI);</w:t>
      </w:r>
    </w:p>
    <w:p w14:paraId="062BA7DC" w14:textId="77777777" w:rsidR="005F681C" w:rsidRPr="00D71D58" w:rsidRDefault="005F681C" w:rsidP="005F681C">
      <w:pPr>
        <w:pStyle w:val="NormalHanging12a"/>
      </w:pPr>
      <w:r w:rsidRPr="00D71D58">
        <w:t>B.</w:t>
      </w:r>
      <w:r w:rsidRPr="00D71D58">
        <w:tab/>
        <w:t xml:space="preserve">der henviser til, at EU står over for den strategiske udfordring, at den halter bagefter den internationale udvikling inden for kunstig intelligens (AI); der henviser til, at Kommissionen på AI Action Summit i februar 2025 i Paris bebudede handlingsplanen for AI-kontinentet med et mål om at gøre Europa til en af verdens førende inden for AI; der henviser til, at det derfor er afgørende at fremme og ikke hindre udviklingen af GenAI-teknologier og </w:t>
      </w:r>
      <w:r w:rsidRPr="00D71D58">
        <w:noBreakHyphen/>
        <w:t>tjenester i offentlighedens interesse i EU for at beskytte Europas teknologiske suverænitet, konkurrenceevne, flersprogede kultur og innovationskapacitet, samtidig med at man er tro mod dets værdier og sikrer, at den teknologiske udvikling understøtter bæredygtig økonomisk vækst, konkurrenceevne og innovation og fremmer bred adgang til AI-teknologier i hele EU; der henviser til, at opretholdelse af konkurrenceevnen i kapløbet om at forbedre GenAI også kræver adgang til indhold af høj kvalitet, hvilket understreger vigtigheden af en rimeligt aflønnet kreativ sektor som kilde til træningsdata for AI af høj kvalitet;</w:t>
      </w:r>
    </w:p>
    <w:p w14:paraId="53D346A9" w14:textId="77777777" w:rsidR="005F681C" w:rsidRPr="00D71D58" w:rsidRDefault="005F681C" w:rsidP="005F681C">
      <w:pPr>
        <w:pStyle w:val="NormalHanging12a"/>
      </w:pPr>
      <w:r w:rsidRPr="00D71D58">
        <w:t>C.</w:t>
      </w:r>
      <w:r w:rsidRPr="00D71D58">
        <w:tab/>
        <w:t xml:space="preserve">der henviser til, at den kreative og kulturelle sektor er afgørende for at beskytte europæiske værdier og kulturel mangfoldighed, da den udgør omkring 4 % af den europæiske merværdi og 6,9 % af EU's bruttonationalprodukt; der henviser til, at sektoren beskæftiger omkring otte millioner mennesker og understøtter Europas kulturelle mangfoldighed, sociale samhørighed, værdier og demokratiske dialog; </w:t>
      </w:r>
    </w:p>
    <w:p w14:paraId="6B4AB3E2" w14:textId="77777777" w:rsidR="005F681C" w:rsidRPr="00D71D58" w:rsidRDefault="005F681C" w:rsidP="005F681C">
      <w:pPr>
        <w:pStyle w:val="NormalHanging12a"/>
      </w:pPr>
      <w:r w:rsidRPr="00D71D58">
        <w:t>D.</w:t>
      </w:r>
      <w:r w:rsidRPr="00D71D58">
        <w:tab/>
        <w:t xml:space="preserve">der henviser til, at der i den fælles europæiske erklæring om digitale rettigheder og principper for det digitale årti blev fastlagt et mål om at sikre et retfærdigt og sikkert digitalt miljø, hvor alle, herunder små og mellemstore virksomheder (SMV'er), bør have mulighed for at konkurrere på lige fod og på en innovativ måde; der henviser til, at dette indebærer foranstaltninger til at fremme sporbarheden, sikkerheden og overensstemmelsen af de produkter og tjenester, som tilbydes på det digitale indre marked; der henviser til, at parterne forpligter sig til at fremme menneskecentrerede, pålidelige og etiske AI-systemer, som anvendes på en gennemsigtig måde og i overensstemmelse med EU's værdier; der henviser til, at det i erklæringen fastslås, at den digitale omstilling bør bidrage til et retfærdigt og inklusivt samfund og en retfærdig og inklusiv økonomi samt fremme kulturel og sproglig mangfoldighed og åbne </w:t>
      </w:r>
      <w:r w:rsidRPr="00D71D58">
        <w:lastRenderedPageBreak/>
        <w:t>teknologier og standarder som et middel til yderligere at styrke tilliden til teknologi og forbrugernes evne til at træffe selvstændige og informerede valg;</w:t>
      </w:r>
    </w:p>
    <w:p w14:paraId="2BE3D3EC" w14:textId="77777777" w:rsidR="005F681C" w:rsidRPr="00D71D58" w:rsidRDefault="005F681C" w:rsidP="005F681C">
      <w:pPr>
        <w:pStyle w:val="NormalHanging12a"/>
      </w:pPr>
      <w:r w:rsidRPr="00D71D58">
        <w:t xml:space="preserve">E. </w:t>
      </w:r>
      <w:r w:rsidRPr="00D71D58">
        <w:tab/>
        <w:t xml:space="preserve">der henviser til, at det virker til, at målene for EU's digitale årti ikke kan opnås uden en transformativ ændring af investeringslandskabet; </w:t>
      </w:r>
    </w:p>
    <w:p w14:paraId="5E45D116" w14:textId="77777777" w:rsidR="005F681C" w:rsidRPr="00D71D58" w:rsidRDefault="005F681C" w:rsidP="005F681C">
      <w:pPr>
        <w:pStyle w:val="NormalHanging12a"/>
      </w:pPr>
      <w:r w:rsidRPr="00D71D58">
        <w:t>F.</w:t>
      </w:r>
      <w:r w:rsidRPr="00D71D58">
        <w:tab/>
        <w:t>der henviser til, at konkurrenceevnekompasset for EU har til hensigt at styrke innovation, navnlig ved at skabe et imødekommende miljø i Europa, hvor nye virksomheder kan starte op og udvikle sig, med en dedikeret europæisk opstarts- og opskaleringsstrategi, der blev lanceret den 28. maj 2025; der henviser til, at denne bør ledsages af et initiativ for anvendelse af AI i virksomheder af alle størrelser for at fremskynde integrationen af AI-teknologier på tværs af strategiske sektorer og forstærke EU's teknologiske suverænitet; der henviser til, at de kulturelle og kreative sektorer skaber nye og kvalificerede job og bidrager til Europas vækst, diplomatiske styrke og opblomstringen af talenter; der henviser til, at SMV'er udgør størstedelen af virksomhederne i den kreative sektor;</w:t>
      </w:r>
    </w:p>
    <w:p w14:paraId="3773165B" w14:textId="77777777" w:rsidR="005F681C" w:rsidRPr="00D71D58" w:rsidRDefault="005F681C" w:rsidP="005F681C">
      <w:pPr>
        <w:pStyle w:val="NormalHanging12a"/>
      </w:pPr>
      <w:r w:rsidRPr="00D71D58">
        <w:t>G.</w:t>
      </w:r>
      <w:r w:rsidRPr="00D71D58">
        <w:tab/>
        <w:t>der henviser til, at ophavsret og beslægtede rettigheder automatisk træder i kraft uden registreringskrav; der henviser til, at en række rettighedshavere (ophavsmænd, udøvende kunstnere, producenter, forlag og radio- og TV-selskaber) derved får tildelt omfattende enerettigheder, herunder rettigheder til at reproducere værker og andre frembringelser og tilpasse, distribuere og overføre dem til almenheden;</w:t>
      </w:r>
    </w:p>
    <w:p w14:paraId="552D60F9" w14:textId="77777777" w:rsidR="005F681C" w:rsidRPr="00D71D58" w:rsidRDefault="005F681C" w:rsidP="005F681C">
      <w:pPr>
        <w:pStyle w:val="NormalHanging12a"/>
      </w:pPr>
      <w:r w:rsidRPr="00D71D58">
        <w:t>H.</w:t>
      </w:r>
      <w:r w:rsidRPr="00D71D58">
        <w:tab/>
        <w:t>der henviser til, at der er en stor mangfoldighed i Europas kulturelle og kreative industrier, hvis kontraktlige praksis, værdikæder og typer af indhold, der er beskyttet af ophavsret og lignende rettigheder, varierer betydeligt; der henviser til, at rettighedshavere i nogle sektorer organiserer sig kollektivt for at beskytte deres interesser; der henviser til, at de værker, som produceres af disse meget forskellige aktører, ligeledes er forskellige og derfor kan have forskellig værdi;</w:t>
      </w:r>
    </w:p>
    <w:p w14:paraId="48EE07F9" w14:textId="77777777" w:rsidR="005F681C" w:rsidRPr="00D71D58" w:rsidRDefault="005F681C" w:rsidP="005F681C">
      <w:pPr>
        <w:pStyle w:val="NormalHanging12a"/>
        <w:rPr>
          <w:szCs w:val="24"/>
        </w:rPr>
      </w:pPr>
      <w:r w:rsidRPr="00D71D58">
        <w:t xml:space="preserve">I. </w:t>
      </w:r>
      <w:r w:rsidRPr="00D71D58">
        <w:tab/>
        <w:t>der henviser til, at ophavsretten skal holde trit med udviklingen af nye teknologier, både juridisk og teknisk; der henviser til, at det er afgørende med en harmonisering af de nationale ophavsretsordninger i en digital verden;</w:t>
      </w:r>
    </w:p>
    <w:p w14:paraId="6EB4BB4A" w14:textId="77777777" w:rsidR="005F681C" w:rsidRPr="00D71D58" w:rsidRDefault="005F681C" w:rsidP="005F681C">
      <w:pPr>
        <w:pStyle w:val="NormalHanging12a"/>
        <w:rPr>
          <w:szCs w:val="24"/>
        </w:rPr>
      </w:pPr>
      <w:r w:rsidRPr="00D71D58">
        <w:t xml:space="preserve">J. </w:t>
      </w:r>
      <w:r w:rsidRPr="00D71D58">
        <w:tab/>
        <w:t xml:space="preserve"> der henviser til, at GenAI er en type AI, der i modsætning til andre AI-systemer, som primært er designet til at klassificere eller forudsige, genererer nyt indhold såsom tekst, billeder, musik, videoer og kode på grundlag af træning ved hjælp af meget store datasæt, hvorfra de lærer mønstre og strukturer; der henviser til, at GenAI-output er skabt gennem forudsigelser baseret på statistiske modeller, der som regel efterligner menneskelig kreativitet og er baseret på allerede eksisterende indhold, som kan omfatte ophavsretligt beskyttet materiale; der henviser til, at denne digitale anvendelse af ophavsretligt beskyttet indhold gør det nødvendigt at tilpasse den digitale beskyttelse af indhold, der er omfattet af ophavsret;</w:t>
      </w:r>
    </w:p>
    <w:p w14:paraId="2681EBF0" w14:textId="77777777" w:rsidR="005F681C" w:rsidRPr="00D71D58" w:rsidRDefault="005F681C" w:rsidP="005F681C">
      <w:pPr>
        <w:pStyle w:val="NormalHanging12a"/>
      </w:pPr>
      <w:r w:rsidRPr="00D71D58">
        <w:t xml:space="preserve">K. </w:t>
      </w:r>
      <w:r w:rsidRPr="00D71D58">
        <w:tab/>
        <w:t xml:space="preserve">der henviser til, at udviklingen, idriftsættelsen og anvendelsen af AI skal være i fuld overensstemmelse med den eksisterende retlige ramme; der henviser til, at det er uacceptabelt, at denne teknologiske udvikling krænker eksisterende erhvervede rettigheder; der henviser til, at de nuværende systemer til forbehold ("fravalg") vedrørende rettigheder til ophavsretsbeskyttet indhold ofte er upraktiske, ikke dækker alle relevante tilfælde af tekst- og datamining og mangler den nødvendige gennemsigtighed til effektiv gennemførelse og håndhævelse; der henviser til, at </w:t>
      </w:r>
      <w:r w:rsidRPr="00D71D58">
        <w:lastRenderedPageBreak/>
        <w:t>udviklingen af nye teknologier som AI og opretholdelse af erhvervede rettigheder, herunder dem, der er fastsat i ophavsretslovgivningen, ikke bør udelukke hinanden, men i stedet videreudvikles parallelt;</w:t>
      </w:r>
    </w:p>
    <w:p w14:paraId="614518F2" w14:textId="77777777" w:rsidR="005F681C" w:rsidRPr="00D71D58" w:rsidRDefault="005F681C" w:rsidP="005F681C">
      <w:pPr>
        <w:pStyle w:val="NormalHanging12a"/>
        <w:rPr>
          <w:szCs w:val="24"/>
        </w:rPr>
      </w:pPr>
      <w:r w:rsidRPr="00D71D58">
        <w:t xml:space="preserve">L. </w:t>
      </w:r>
      <w:r w:rsidRPr="00D71D58">
        <w:tab/>
        <w:t>der henviser til, at der er dokumentation for, at GenAI-udbydere i stort omfang har overtrådt ophavsretsreglerne, herunder uautoriseret indsamling af værker fra internettet, manglende overholdelse af rettighedshavernes forbehold vedrørende rettigheder i forbindelse med tekst- og datamining, brug af kilder med piratkopier til indsamling af værker samt manglende indhentning af licenser; der henviser til, at dette mønster, som udgør en klar krænkelse af skabernes grundlæggende rettigheder og en uretmæssig tilegnelse af værdi til skade for EU's kultur- og informationssektor, viser, at der er behov for stærke foranstaltninger for at sikre, at AI-økosystemet i EU er retfærdigt og etisk;</w:t>
      </w:r>
    </w:p>
    <w:p w14:paraId="32DAF60C" w14:textId="77777777" w:rsidR="005F681C" w:rsidRPr="00D71D58" w:rsidRDefault="005F681C" w:rsidP="005F681C">
      <w:pPr>
        <w:pStyle w:val="NormalHanging12a"/>
      </w:pPr>
      <w:r w:rsidRPr="00D71D58">
        <w:t>M.</w:t>
      </w:r>
      <w:r w:rsidRPr="00D71D58">
        <w:tab/>
        <w:t>der henviser til, at et af de vigtigste juridiske spørgsmål om samspillet mellem GenAI og ophavsret og beslægtede rettigheder er spørgsmålet om, hvorvidt anvendelse af ophavsretligt beskyttede værker og andre frembringelser i træningsdatasæt er lovlig i henhold til EU-retten og medlemsstaternes nationale ret, hvilken retlig status AI-genereret indhold bør have, og hvordan man kan sikre gennemsigtighed, samtykke og retfærdig aflønning af skabere og rettighedshavere, når deres beskyttede værker og andre frembringelser bruges til generering, udbredelse og distribution af AI-output;</w:t>
      </w:r>
    </w:p>
    <w:p w14:paraId="151E070C" w14:textId="77777777" w:rsidR="005F681C" w:rsidRPr="00D71D58" w:rsidRDefault="005F681C" w:rsidP="005F681C">
      <w:pPr>
        <w:pStyle w:val="NormalHanging12a"/>
      </w:pPr>
      <w:r w:rsidRPr="00D71D58">
        <w:t>N.</w:t>
      </w:r>
      <w:r w:rsidRPr="00D71D58">
        <w:tab/>
        <w:t>der henviser til, at GenAI ved i stor stil og billigt at skabe indhold, der efterligner menneskelig kreativitet, konkurrerer direkte med ophavsmændenes værker, navnlig kulturelt indhold og medieindhold; der henviser til, at denne konkurrence kan føre til et fald i kvaliteten af onlineindhold, som følge af at ophavsmænd mister modet, og dermed til et generelt fald i den menneskelige kulturelle og kreative produktion;</w:t>
      </w:r>
    </w:p>
    <w:p w14:paraId="3C012549" w14:textId="77777777" w:rsidR="005F681C" w:rsidRPr="00D71D58" w:rsidRDefault="005F681C" w:rsidP="005F681C">
      <w:pPr>
        <w:pStyle w:val="NormalHanging12a"/>
      </w:pPr>
      <w:r w:rsidRPr="00D71D58">
        <w:t>O.</w:t>
      </w:r>
      <w:r w:rsidRPr="00D71D58">
        <w:tab/>
        <w:t>der henviser til, at denne risiko for en gradvis forsvinden af den menneskelige dimension af skabelse til fordel for AI-genereret indhold ud over at underminere den kreative sektors økonomiske levedygtighed udgør en eksistentiel risiko for det europæiske samfund og demokrati, idet den udvisker grænserne mellem sande og falske oplysninger, opfattelsen af udsagn og ophavsmændene hertil og forstyrrer vores kognitive evner og evne til kritisk tænkning; der henviser til, at forordningen om kunstig intelligens (AI-forordningen) tager hensyn til disse risici, men ikke kan betragtes som fuldstændig uden en solid beskyttelse af ophavsret og beslægtede rettigheder;</w:t>
      </w:r>
    </w:p>
    <w:p w14:paraId="130037C4" w14:textId="77777777" w:rsidR="005F681C" w:rsidRPr="00D71D58" w:rsidRDefault="005F681C" w:rsidP="005F681C">
      <w:pPr>
        <w:pStyle w:val="NormalHanging12a"/>
      </w:pPr>
      <w:r w:rsidRPr="00D71D58">
        <w:t>P.</w:t>
      </w:r>
      <w:r w:rsidRPr="00D71D58">
        <w:tab/>
        <w:t>der henviser til, at sikring af korrekt håndhævelse af lovgivningen og lige konkurrencevilkår i hele EU og for alle AI-udbydere kræver, at EU's og medlemsstaternes regler om ophavsret og beslægtede rettigheder finder ensartet anvendelse på alle AI-udbydere, der idriftsætter produkter eller udbyder tjenester i EU, uanset hvor de er etableret, uanset i hvilken jurisdiktion de ophavsretsrelevante handlinger, der ligger til grund for træningen af deres AI-modeller, fandt sted, og uanset hvor det output, der er genereret af AI-systemet, anvendes i EU; der henviser til, at det samme krav bør finde tilsvarende anvendelse på enhver efterfølgende brug af indhold til udledning, hentningsforstærket generering eller finjustering, ikke kun for udbydere af AI-modeller, som det i øjeblikket er fastsat i artikel 53 i AI-forordningen, men også for udbydere og idriftsættere af AI-systemer; der henviser til, at indgåelse af nye licensaftaler ikke fejlagtigt må forstås således, at de råder bod på tidligere uautoriseret brug af ophavsretligt beskyttet indhold;</w:t>
      </w:r>
    </w:p>
    <w:p w14:paraId="0A68104E" w14:textId="77777777" w:rsidR="005F681C" w:rsidRPr="00D71D58" w:rsidRDefault="005F681C" w:rsidP="005F681C">
      <w:pPr>
        <w:pStyle w:val="NormalHanging12a"/>
      </w:pPr>
      <w:r w:rsidRPr="00D71D58">
        <w:lastRenderedPageBreak/>
        <w:t>Q.</w:t>
      </w:r>
      <w:r w:rsidRPr="00D71D58">
        <w:tab/>
        <w:t>der henviser til, at alle AI-udbydere, der bringer en AI-model til almen brug i omsætning på EU-markedet, fortsat er ansvarlig for at kontrollere, at de foranstaltninger, der indgår i deres ophavsretspolitik som skitseret i adfærdskodeksen for AI-modeller til almen brug, er i overensstemmelse med medlemsstaternes gennemførelse af EU-retten om ophavsret og beslægtede rettigheder, inden de udfører enhver ophavsretsrelevant handling på den relevante medlemsstats område, da undladelse heraf kan medføre erstatningsansvar i henhold til EU-retten om ophavsret og beslægtede rettigheder;</w:t>
      </w:r>
    </w:p>
    <w:p w14:paraId="5546395B" w14:textId="77777777" w:rsidR="005F681C" w:rsidRPr="00D71D58" w:rsidRDefault="005F681C" w:rsidP="005F681C">
      <w:pPr>
        <w:pStyle w:val="NormalHanging12a"/>
      </w:pPr>
      <w:r w:rsidRPr="00D71D58">
        <w:t>R.</w:t>
      </w:r>
      <w:r w:rsidRPr="00D71D58">
        <w:tab/>
        <w:t>der henviser til, at adfærdskodeksen kun indebærer frivillig overholdelse, og at ikke alle AI-udbydere har underskrevet den, navnlig kapitlet om ophavsret;</w:t>
      </w:r>
    </w:p>
    <w:p w14:paraId="02133AAB" w14:textId="77777777" w:rsidR="005F681C" w:rsidRPr="00D71D58" w:rsidRDefault="005F681C" w:rsidP="005F681C">
      <w:pPr>
        <w:pStyle w:val="NormalHanging12a"/>
      </w:pPr>
      <w:r w:rsidRPr="00D71D58">
        <w:t>S.</w:t>
      </w:r>
      <w:r w:rsidRPr="00D71D58">
        <w:tab/>
        <w:t xml:space="preserve">der henviser til, at den globale karakter og den eksponentielle udvikling af AI-træning, </w:t>
      </w:r>
      <w:r w:rsidRPr="00D71D58">
        <w:noBreakHyphen/>
        <w:t xml:space="preserve">udbredelse og </w:t>
      </w:r>
      <w:r w:rsidRPr="00D71D58">
        <w:noBreakHyphen/>
        <w:t xml:space="preserve">tilbud på den ene side og den territoriale anvendelse af reglerne vedrørende ophavsret og beslægtede rettigheder på den anden side skaber hindringer for at opnå licenser til de relevante rettigheder og for at gøre AI-produkter og </w:t>
      </w:r>
      <w:r w:rsidRPr="00D71D58">
        <w:noBreakHyphen/>
        <w:t>tjenester, der overholder disse regler og rettigheder, tilgængelige på EU-markedet på en måde, der svarer til den digitale tidsalder før AI, og at dette problem er blevet stadig mere udbredt efter udrulningen af AI;</w:t>
      </w:r>
    </w:p>
    <w:p w14:paraId="36BE6719" w14:textId="77777777" w:rsidR="005F681C" w:rsidRPr="00D71D58" w:rsidRDefault="005F681C" w:rsidP="005F681C">
      <w:pPr>
        <w:pStyle w:val="NormalHanging12a"/>
      </w:pPr>
      <w:r w:rsidRPr="00D71D58">
        <w:t>T.</w:t>
      </w:r>
      <w:r w:rsidRPr="00D71D58">
        <w:tab/>
        <w:t>der henviser til, at retspraksis om krænkende brug af ophavsretligt beskyttet indhold til træning af AI-modeller stadig er begrænset, men flere retsafgørelse forventes i en nær fremtid, eftersom mange rettighedshavere i og uden for EU har anlagt sag mod konkrete AI-udbydere;</w:t>
      </w:r>
    </w:p>
    <w:p w14:paraId="4185EDAC" w14:textId="77777777" w:rsidR="005F681C" w:rsidRPr="00D71D58" w:rsidRDefault="005F681C" w:rsidP="005F681C">
      <w:pPr>
        <w:pStyle w:val="NormalHanging12a"/>
      </w:pPr>
      <w:r w:rsidRPr="00D71D58">
        <w:t>U.</w:t>
      </w:r>
      <w:r w:rsidRPr="00D71D58">
        <w:tab/>
        <w:t>der henviser til, at træning af GenAI – som er en særlig form for brug – kræver en præcisering af de retlige betingelser, hvorunder en sådan træning må finde sted;</w:t>
      </w:r>
    </w:p>
    <w:p w14:paraId="49FBA3D2" w14:textId="77777777" w:rsidR="005F681C" w:rsidRPr="00D71D58" w:rsidRDefault="005F681C" w:rsidP="005F681C">
      <w:pPr>
        <w:pStyle w:val="NormalHanging12a"/>
      </w:pPr>
      <w:r w:rsidRPr="00D71D58">
        <w:t>V.</w:t>
      </w:r>
      <w:r w:rsidRPr="00D71D58">
        <w:tab/>
        <w:t>der henviser til, at menneskecentrerede (ikke-syntetiske) og omfattende træningsdatasæt af høj kvalitet er afgørende for både forskning og en effektiv kommerciel udvikling af GenAI-systemer og for at sikre et troværdigt output af høj kvalitet fra GenAI-systemer; der henviser til, at det derfor er afgørende at sørge for lovlig skabelse og anvendelse af sådanne datasæt i EU, hvilket udelukker piratkopieret, uautoriseret eller på anden måde krænkende materiale, for at fremme innovation, sikre teknologisk og kulturel suverænitet, bevare EU's konkurrenceevne i det globale AI-landskab, som er under hastig udvikling, og beskytte Europas kulturelle og kreative industrier;</w:t>
      </w:r>
    </w:p>
    <w:p w14:paraId="55C87BF1" w14:textId="77777777" w:rsidR="005F681C" w:rsidRPr="00D71D58" w:rsidRDefault="005F681C" w:rsidP="005F681C">
      <w:pPr>
        <w:pStyle w:val="NormalHanging12a"/>
      </w:pPr>
      <w:r w:rsidRPr="00D71D58">
        <w:t>W.</w:t>
      </w:r>
      <w:r w:rsidRPr="00D71D58">
        <w:tab/>
        <w:t>der henviser til, at lanceringen af Den Europæiske Unions Kontor for Intellektuel Ejendomsrets (EUIPO's) videnscenter om ophavsret vil udgøre et rettidigt og prisværdigt initiativ, der har til formål at tilvejebringe nyttige og pålidelige oplysninger om ophavsret og styrke grænsefladen mellem indehavere af ophavsrettigheder og beslægtede rettigheder og repræsentanter og interessenter inden for nye teknologier, navnlig GenAI;</w:t>
      </w:r>
    </w:p>
    <w:p w14:paraId="07479F6D" w14:textId="77777777" w:rsidR="005F681C" w:rsidRPr="00D71D58" w:rsidRDefault="005F681C" w:rsidP="005F681C">
      <w:pPr>
        <w:pStyle w:val="NormalHanging12a"/>
      </w:pPr>
      <w:r w:rsidRPr="00D71D58">
        <w:t>X.</w:t>
      </w:r>
      <w:r w:rsidRPr="00D71D58">
        <w:tab/>
        <w:t>der henviser til, at rettighedshavere bør have mulighed for at anvende værktøjer, der sætter dem i stand til effektivt at udelukke anvendelsen af deres værker fra AI-træning i et begrænset antal standardiserede maskinlæsbare formater, der potentielt kan forvaltes og registreres af EUIPO, og dermed muliggøre en effektiv udelukkelse af registrerede værker fra automatiseret datacrawling og skabe retssikkerhed for både rettighedshavere og AI-udbydere;</w:t>
      </w:r>
    </w:p>
    <w:p w14:paraId="61BBC807" w14:textId="77777777" w:rsidR="005F681C" w:rsidRPr="00D71D58" w:rsidRDefault="005F681C" w:rsidP="005F681C">
      <w:pPr>
        <w:pStyle w:val="NormalHanging12a"/>
      </w:pPr>
      <w:r w:rsidRPr="00D71D58">
        <w:lastRenderedPageBreak/>
        <w:t>Y.</w:t>
      </w:r>
      <w:r w:rsidRPr="00D71D58">
        <w:tab/>
        <w:t xml:space="preserve">der henviser til, at enhver udbyder eller idriftsætter af GenAI-modeller bør sikre gennemsigtighed vedrørende alt ophavsretligt beskyttet indhold, der anvendes til at træne disse modeller og systemer, uanset i hvilken jurisdiktion de ophavsretsrelevante handlinger, der ligger til grund for træningen af deres GenAI-modeller, finder sted; der henviser til, at denne gennemsigtighed skal bestå af en specificeret liste over hvert ophavsretligt beskyttet indhold, der er anvendt til træning; der henviser til, at det samme krav bør finde tilsvarende anvendelse på enhver efterfølgende brug af indhold til andre formål, herunder udledning, hentningsforstærket generering eller finjustering, ikke kun for udbydere af AI-modeller, som det i øjeblikket er fastsat i artikel 53 i AI-forordningen, men også for udbydere og idriftsættere af AI-systemer; der henviser til, at brug såsom udledning og hentningsforstærket generering i det væsentlige sker kontinuerligt og i realtid; der henviser til, at gennemsigtighed i sådanne tilfælde bør omfatte selve crawlinghandlingen, hvorved crawlere på den ene side forpligtes til at identificere sig over for weboperatører, og AI-udbydere eller </w:t>
      </w:r>
      <w:r w:rsidRPr="00D71D58">
        <w:noBreakHyphen/>
        <w:t xml:space="preserve">idriftsættere på den anden side forpligtes til at føre detaljerede fortegnelser over deres crawlingaktiviteter; der henviser til, at der bør gælde en formodning om, at indhold har været genstand for crawling, herunder med henblik på udledning og hentningsforstærket generering, når AI-systemer håndterer brugerforespørgsler; der henviser til, at oplysninger om tredjepartsindhold, der anvendes af AI- og GenAI-udbydere og </w:t>
      </w:r>
      <w:r w:rsidRPr="00D71D58">
        <w:noBreakHyphen/>
        <w:t>idriftsættere, i sig selv ikke udgør forretningshemmeligheder i henhold til EU-retten;</w:t>
      </w:r>
    </w:p>
    <w:p w14:paraId="7BF58D8E" w14:textId="77777777" w:rsidR="005F681C" w:rsidRPr="00D71D58" w:rsidRDefault="005F681C" w:rsidP="005F681C">
      <w:pPr>
        <w:pStyle w:val="NormalHanging12a"/>
      </w:pPr>
      <w:r w:rsidRPr="00D71D58">
        <w:t>Z.</w:t>
      </w:r>
      <w:r w:rsidRPr="00D71D58">
        <w:tab/>
        <w:t>der henviser til, at en sådan gennemsigtighed kan lettes gennem en betroet formidler såsom EUIPO, som vil være ansvarlig for at underrette rettighedshaverne om anvendelsen af deres indhold og dermed sætte dem i stand til at gøre krav gældende i forbindelse med dets anvendelse til træning; der henviser til, at en formidler bør tildeles de nødvendige beføjelser og ressourcer til at vurdere, om udbydere og idriftsættere fuldt ud overholder deres gennemsigtighedsforpligtelser;</w:t>
      </w:r>
    </w:p>
    <w:p w14:paraId="164478B3" w14:textId="77777777" w:rsidR="005F681C" w:rsidRPr="00D71D58" w:rsidRDefault="005F681C" w:rsidP="005F681C">
      <w:pPr>
        <w:pStyle w:val="NormalHanging12a"/>
      </w:pPr>
      <w:r w:rsidRPr="00D71D58">
        <w:t>AA.</w:t>
      </w:r>
      <w:r w:rsidRPr="00D71D58">
        <w:tab/>
        <w:t>der henviser til, at der også kan opnås gennemsigtighed ved at give rettighedshaverne mulighed for at påføre deres værker og andre beskyttede frembringelser vandmærker og ved at kræve, at AI-udbydere lader disse vandmærker være uændrede og stiller søgeværktøjer til rådighed, som gør det muligt at opdage sådanne vandmærker blandt det materiale, der anvendes til AI-træning;</w:t>
      </w:r>
    </w:p>
    <w:p w14:paraId="5BD72518" w14:textId="77777777" w:rsidR="005F681C" w:rsidRPr="00D71D58" w:rsidRDefault="005F681C" w:rsidP="005F681C">
      <w:pPr>
        <w:pStyle w:val="NormalHanging12a"/>
      </w:pPr>
      <w:r w:rsidRPr="00D71D58">
        <w:t>AB.</w:t>
      </w:r>
      <w:r w:rsidRPr="00D71D58">
        <w:tab/>
        <w:t xml:space="preserve">der henviser til, at der ud over forpligtelsen til gennemsigtighed vedrørende ophavsretligt beskyttede værker og andre beskyttede frembringelser er behov for at indføre en mekanisme, hvorved AI-udviklere eller idriftsættere af AI-modeller og </w:t>
      </w:r>
      <w:r w:rsidRPr="00D71D58">
        <w:noBreakHyphen/>
        <w:t>systemer, som har undladt at sikre fuld gennemsigtighed, under visse betingelser bør give anledning til en afbeviselig formodning om, at ethvert relevant ophavsretligt beskyttet værk eller andet beskyttet materiale er blevet anvendt med henblik på træning, udledning eller hentningsforstærket generering, hvilket vil medføre alle gældende retlige konsekvenser i henhold til EU-retten og national ret for krænkelse af ophavsret eller beslægtede rettigheder; der henviser til, at hvis en domstol giver en rettighedshaver eller de organisationer, der repræsenterer rettighedshavere, medhold på grundlag af enten en sådan formodning eller fremlagt dokumentation, skal alle rimelige og forholdsmæssige sagsomkostninger og andre udgifter afholdes af AI-udbyderen;</w:t>
      </w:r>
    </w:p>
    <w:p w14:paraId="67B70127" w14:textId="77777777" w:rsidR="005F681C" w:rsidRPr="00D71D58" w:rsidRDefault="005F681C" w:rsidP="005F681C">
      <w:pPr>
        <w:pStyle w:val="NormalHanging12a"/>
      </w:pPr>
      <w:r w:rsidRPr="00D71D58">
        <w:t>AC.</w:t>
      </w:r>
      <w:r w:rsidRPr="00D71D58">
        <w:tab/>
        <w:t xml:space="preserve">der henviser til, at pressesektoren spiller en afgørende rolle med hensyn til at beskytte demokratiet og EU's demokratiske strukturer; der henviser til, at det er afgørende at sikre, at GenAI-modeller og </w:t>
      </w:r>
      <w:r w:rsidRPr="00D71D58">
        <w:noBreakHyphen/>
        <w:t xml:space="preserve">systemer ikke foretager selektiv behandling, der favoriserer visse publikationer frem for andre, for at bevare pluralismen af </w:t>
      </w:r>
      <w:r w:rsidRPr="00D71D58">
        <w:lastRenderedPageBreak/>
        <w:t xml:space="preserve">informationer og deres upartiskhed; der henviser til, at GenAI-modeller og </w:t>
      </w:r>
      <w:r w:rsidRPr="00D71D58">
        <w:noBreakHyphen/>
        <w:t xml:space="preserve">systemer skal udformes med henblik på at indarbejde og tage hensyn til hele spektret af pressepublikationer for at værne om grundlæggende demokratiske værdier om mangfoldighed og retfærdighed i den offentlige debat; der henviser til, at der er behov for at fastsætte klare kvalitetsstandarder for GenAI-modeller og </w:t>
      </w:r>
      <w:r w:rsidRPr="00D71D58">
        <w:noBreakHyphen/>
        <w:t>systemer;</w:t>
      </w:r>
    </w:p>
    <w:p w14:paraId="72B42389" w14:textId="77777777" w:rsidR="005F681C" w:rsidRPr="00D71D58" w:rsidRDefault="005F681C" w:rsidP="005F681C">
      <w:pPr>
        <w:pStyle w:val="NormalHanging12a"/>
      </w:pPr>
      <w:r w:rsidRPr="00D71D58">
        <w:t>AD.</w:t>
      </w:r>
      <w:r w:rsidRPr="00D71D58">
        <w:tab/>
        <w:t>der henviser til, at gennemsigtighed med hensyn til det output, der genereres af AI-systemer, er afgørende for at sikre en korrekt klassificering af værker som "AI-genererede" eller "menneskeskabte", afhængigt af, om det pågældende output efterlever de fastsatte kriterier for ophavsretlig beskyttelse; der henviser til, at en sådan klassificering har betydelige retlige konsekvenser, herunder for anvendelsen af ophavsretten og fastlæggelsen af rettigheder og ansvar; der henviser til, at borgernes tillid til AI kun kan opbygges på grundlag af en reguleringsramme, der sikrer, at ethvert AI-system, som tages i brug, fuldt ud respekterer og efterlever traktaterne, chartret og afledt EU-ret;</w:t>
      </w:r>
    </w:p>
    <w:p w14:paraId="03C42DF8" w14:textId="77777777" w:rsidR="005F681C" w:rsidRPr="00D71D58" w:rsidRDefault="005F681C" w:rsidP="005F681C">
      <w:pPr>
        <w:pStyle w:val="NormalHanging12a"/>
        <w:rPr>
          <w:szCs w:val="24"/>
        </w:rPr>
      </w:pPr>
      <w:r w:rsidRPr="00D71D58">
        <w:t>AE.</w:t>
      </w:r>
      <w:r w:rsidRPr="00D71D58">
        <w:tab/>
        <w:t>der henviser til, at EU's ophavsretslovgivning for så vidt angår den retlige behandling af GenAI-output fortsat er baseret på principperne om menneskelig ophavsret; der henviser til, at begrebet "værk" ifølge Den Europæiske Unions Domstols faste praksis indebærer to kumulative betingelser: for det første skal der foreligge en original genstand, der betragtes som ophavsmandens egen intellektuelle frembringelse, og for det andet skal denne frembringelse have et udtryk, der tilstrækkeligt præcist og objektivt gør den identificerbar;</w:t>
      </w:r>
    </w:p>
    <w:p w14:paraId="1824257D" w14:textId="77777777" w:rsidR="005F681C" w:rsidRPr="00D71D58" w:rsidRDefault="005F681C" w:rsidP="005F681C">
      <w:pPr>
        <w:pStyle w:val="NormalHanging12a"/>
      </w:pPr>
      <w:r w:rsidRPr="00D71D58">
        <w:t>AF.</w:t>
      </w:r>
      <w:r w:rsidRPr="00D71D58">
        <w:tab/>
        <w:t>der henviser til, at GenAI i stigende grad anvendes som et redskab til at støtte håndhævelsen af ophavsret og beslægtede rettigheder; der henviser til, at Kommissionen bør sikre, at anvendelsen af GenAI til håndhævelse af ophavsretskrav er underlagt effektive garantier, herunder garantier mod misbrug, der sikrer fuld respekt for de grundlæggende rettigheder, navnlig ytringsfriheden og pressefriheden;</w:t>
      </w:r>
    </w:p>
    <w:p w14:paraId="3DBEEE33" w14:textId="77777777" w:rsidR="005F681C" w:rsidRPr="00D71D58" w:rsidRDefault="005F681C" w:rsidP="005F681C">
      <w:pPr>
        <w:pStyle w:val="NormalHanging12a"/>
      </w:pPr>
      <w:r w:rsidRPr="00D71D58">
        <w:t>AG.</w:t>
      </w:r>
      <w:r w:rsidRPr="00D71D58">
        <w:tab/>
        <w:t>der henviser til, at inkonsekvente internationale regler om, hvorvidt AI-genereret indhold er omfattet af ophavsretlig beskyttelse, udgør en risiko for den globale sammenhæng i lovgivningen om intellektuel ejendomsret og kan give anledning til regelarbitrage eller underminere konkurrenceevnen i EU's kreative sektorer og AI-sektorer; der henviser til, at international konvergens og etablering af en global reguleringsramme vil udgøre et mere effektivt og sammenhængende alternativ til den nuværende fragmentering af retlige tilgange; der henviser til, at EU-lovgivning om AI og ophavsret ikke bør blive påvirket af politisk pres udefra; der henviser til, at EU i denne kontekst skal reagere stærkt og forenet for at sikre det indre markeds funktion, beskytte sin arbejdskraft og konkurrenceevne, styrke sin teknologiske autonomi og sætte globale standarder inden for intellektuel ejendomsret;</w:t>
      </w:r>
    </w:p>
    <w:p w14:paraId="60C4E06F" w14:textId="77777777" w:rsidR="005F681C" w:rsidRPr="00D71D58" w:rsidRDefault="005F681C" w:rsidP="005F681C">
      <w:pPr>
        <w:pStyle w:val="NormalHanging12a"/>
      </w:pPr>
      <w:r w:rsidRPr="00D71D58">
        <w:t>AH.</w:t>
      </w:r>
      <w:r w:rsidRPr="00D71D58">
        <w:tab/>
        <w:t xml:space="preserve">der henviser til, at det for at sikre en korrekt gennemførelse af EU-retten i forbindelse med alle generative AI-tjenester og for at forhindre, at udbydere uden for EU opnår en urimelig konkurrencefordel gennem manglende overholdelse, er afgørende, at regler, der beskytter og håndhæver ophavsmænds rettigheder på EU-plan og nationalt plan, finder effektiv anvendelse på alle tjenester på EU-markedet; der henviser til, at den stigende magtkoncentration hos nogle få, store ikke-europæiske virksomheder øger EU's strategiske afhængighed og underminerer europæiske ophavsmænds og den europæiske presses evne til at udøve og opretholde deres rettigheder; der henviser til, at territorialprincippet i forbindelse med ophavsretlig beskyttelse i det omfang, det er </w:t>
      </w:r>
      <w:r w:rsidRPr="00D71D58">
        <w:lastRenderedPageBreak/>
        <w:t>tilladt i henhold til EU-retten og folkeretten, skal tilpasses til træning af generative AI-systemer for at sikre, at brugen af europæisk indhold er underlagt EU-retten, selv når en sådan træning finder sted uden for EU, hvilket er afgørende for at sikre et rimeligt vederlag til europæiske skabere og rettighedshavere og for at beskytte EU's kulturelle og kreative vitalitet samt for at sikre fair konkurrence mellem europæiske og ikke-europæiske udbydere af GenAI-systemer; der henviser til, at GenAI-systemer, der ikke overholder disse krav, bør forbydes inden for EU, og at disse principper bør håndhæves effektivt;</w:t>
      </w:r>
    </w:p>
    <w:p w14:paraId="7BE2EE38" w14:textId="77777777" w:rsidR="005F681C" w:rsidRPr="00D71D58" w:rsidRDefault="005F681C" w:rsidP="005F681C">
      <w:pPr>
        <w:pStyle w:val="NormalHanging12a"/>
      </w:pPr>
      <w:r w:rsidRPr="00D71D58">
        <w:t>AI.</w:t>
      </w:r>
      <w:r w:rsidRPr="00D71D58">
        <w:tab/>
        <w:t>der henviser til, at den hurtige udvikling af GenAI i betydelig grad har øget mulighederne for at skabe og udbrede realistisk manipuleret digitalt billed-, lyd- eller videoindhold, herunder kunstneres værker og fremførelser, der ligner eller efterligner rigtige mennesker, kendt som "deepfakes", som fejlagtigt foregiver at være ægte eller sandfærdige; der henviser til, at misbrug af sådant indhold udgør en risiko for disse menneskers identitet og deres personlighed, herunder deres krop, ansigtstræk og stemme;</w:t>
      </w:r>
    </w:p>
    <w:p w14:paraId="4BD9C9C3" w14:textId="77777777" w:rsidR="005F681C" w:rsidRPr="00D71D58" w:rsidRDefault="005F681C" w:rsidP="005F681C">
      <w:pPr>
        <w:pStyle w:val="NormalHanging12a"/>
      </w:pPr>
      <w:r w:rsidRPr="00D71D58">
        <w:t>1.</w:t>
      </w:r>
      <w:r w:rsidRPr="00D71D58">
        <w:tab/>
        <w:t>bemærker de hidtidige tvetydigheder i anvendelsen af direktivet om ophavsret på det digitale indre marked i forbindelse med træning af GenAI og anbefaler en hurtig præcisering af dets anvendelse og gennemførelse;</w:t>
      </w:r>
    </w:p>
    <w:p w14:paraId="7D1E1B92" w14:textId="77777777" w:rsidR="005F681C" w:rsidRPr="00D71D58" w:rsidRDefault="005F681C" w:rsidP="005F681C">
      <w:pPr>
        <w:pStyle w:val="NormalHanging12a"/>
        <w:rPr>
          <w:szCs w:val="24"/>
        </w:rPr>
      </w:pPr>
      <w:r w:rsidRPr="00D71D58">
        <w:t>2.</w:t>
      </w:r>
      <w:r w:rsidRPr="00D71D58">
        <w:tab/>
        <w:t>mener ikke, at den nuværende ophavsretslovgivning er tilstrækkelig til at tackle udfordringen med at udstede licenser til ophavsretligt beskyttet materiale til GenAI; opfordrer til en yderligere retlig ramme for at præcisere licensreglerne for GenAI og for at imødegå potentielle overtrædelser af den nuværende ophavsretslovgivning; insisterer på, at en sådan ramme bør omfatte bestemmelser, der sikrer et effektivt samarbejde mellem GenAI-udbydere og skabere og andre rettighedshavere, herunder et velfungerende licensmarked, der genopretter rettighedshavernes forhandlingsposition og holdbare beskyttelsesløsninger;</w:t>
      </w:r>
    </w:p>
    <w:p w14:paraId="0714B929" w14:textId="77777777" w:rsidR="005F681C" w:rsidRPr="00D71D58" w:rsidRDefault="005F681C" w:rsidP="005F681C">
      <w:pPr>
        <w:spacing w:after="240"/>
        <w:ind w:left="567" w:hanging="567"/>
      </w:pPr>
      <w:r w:rsidRPr="00D71D58">
        <w:t>3.</w:t>
      </w:r>
      <w:r w:rsidRPr="00D71D58">
        <w:tab/>
        <w:t>minder om, at enhver undtagelse fra eksisterende rettigheder i henhold til gældende fællesskabsret om ophavsret, herunder om AI, skal være i overensstemmelse med tretrinstesten i artikel 5, stk. 5, i Infosoc-direktivet og Bernerkonventionen; bemærker, at begrebet "lovlig adgang" udelukker piratkopierede og krænkende kopier af værker;</w:t>
      </w:r>
    </w:p>
    <w:p w14:paraId="41101CF5" w14:textId="77777777" w:rsidR="005F681C" w:rsidRPr="00D71D58" w:rsidRDefault="005F681C" w:rsidP="005F681C">
      <w:pPr>
        <w:pStyle w:val="NormalHanging12a"/>
      </w:pPr>
      <w:r w:rsidRPr="00D71D58">
        <w:t>4.</w:t>
      </w:r>
      <w:r w:rsidRPr="00D71D58">
        <w:tab/>
        <w:t>opfordrer Kommissionen til at sikre, at aktiviteter, der udføres med henblik på videnskabelig forskning eller uddannelse, navnlig af forskningsorganisationer og kulturarvsinstitutioner, eller inden for rammerne af ikkekommerciel innovation, ikke begrænses i overensstemmelse med princippet i chartrets artikel 13; opfordrer indtrængende Kommissionen til at sikre, at den kommercielle udnyttelse af forskningsresultater fra disse aktiviteter ikke begrænses, forudsat at der er indhentet passende tilladelser fra rettighedshaverne;</w:t>
      </w:r>
    </w:p>
    <w:p w14:paraId="2233AC49" w14:textId="77777777" w:rsidR="005F681C" w:rsidRPr="003A2703" w:rsidRDefault="005F681C" w:rsidP="005F681C">
      <w:pPr>
        <w:pStyle w:val="NormalHanging12a"/>
        <w:rPr>
          <w:rStyle w:val="cf01"/>
          <w:rFonts w:ascii="Times New Roman" w:eastAsiaTheme="majorEastAsia" w:hAnsi="Times New Roman" w:cs="Times New Roman"/>
          <w:b w:val="0"/>
          <w:i w:val="0"/>
          <w:iCs w:val="0"/>
          <w:sz w:val="24"/>
          <w:szCs w:val="24"/>
        </w:rPr>
      </w:pPr>
      <w:r w:rsidRPr="003A2703">
        <w:rPr>
          <w:szCs w:val="24"/>
        </w:rPr>
        <w:t>5.</w:t>
      </w:r>
      <w:r w:rsidRPr="003A2703">
        <w:rPr>
          <w:b/>
          <w:bCs/>
          <w:szCs w:val="24"/>
        </w:rPr>
        <w:tab/>
      </w:r>
      <w:r w:rsidRPr="003A2703">
        <w:rPr>
          <w:rStyle w:val="cf01"/>
          <w:rFonts w:ascii="Times New Roman" w:hAnsi="Times New Roman" w:cs="Times New Roman"/>
          <w:b w:val="0"/>
          <w:i w:val="0"/>
          <w:iCs w:val="0"/>
          <w:sz w:val="24"/>
          <w:szCs w:val="24"/>
        </w:rPr>
        <w:t xml:space="preserve">gentager, at rettighedshavere, navnlig fra presse- og nyhedsmediesektoren, og navnlig presseudgivere, journalister og nyhedsredaktører, skal have fuld kontrol over AI-systemers og </w:t>
      </w:r>
      <w:r w:rsidRPr="003A2703">
        <w:rPr>
          <w:rStyle w:val="cf01"/>
          <w:rFonts w:ascii="Times New Roman" w:hAnsi="Times New Roman" w:cs="Times New Roman"/>
          <w:b w:val="0"/>
          <w:i w:val="0"/>
          <w:iCs w:val="0"/>
          <w:sz w:val="24"/>
          <w:szCs w:val="24"/>
        </w:rPr>
        <w:noBreakHyphen/>
        <w:t xml:space="preserve">modellers digitale brug af deres indhold til træningsformål; understreger, at denne kontrol bør være baseret på en solid og velfungerende mulighed for at udelukke AI-systemer og </w:t>
      </w:r>
      <w:r w:rsidRPr="003A2703">
        <w:rPr>
          <w:rStyle w:val="cf01"/>
          <w:rFonts w:ascii="Times New Roman" w:hAnsi="Times New Roman" w:cs="Times New Roman"/>
          <w:b w:val="0"/>
          <w:i w:val="0"/>
          <w:iCs w:val="0"/>
          <w:sz w:val="24"/>
          <w:szCs w:val="24"/>
        </w:rPr>
        <w:noBreakHyphen/>
        <w:t>modeller fra en sådan brug, understøttet af fuld gennemsigtighed og kildedokumentation for anvendelsen af tredjepartsindhold;</w:t>
      </w:r>
    </w:p>
    <w:p w14:paraId="336538B9" w14:textId="77777777" w:rsidR="005F681C" w:rsidRPr="003A2703" w:rsidRDefault="005F681C" w:rsidP="005F681C">
      <w:pPr>
        <w:pStyle w:val="NormalHanging12a"/>
        <w:rPr>
          <w:rStyle w:val="cf01"/>
          <w:rFonts w:ascii="Times New Roman" w:eastAsiaTheme="majorEastAsia" w:hAnsi="Times New Roman" w:cs="Times New Roman"/>
          <w:b w:val="0"/>
          <w:i w:val="0"/>
          <w:iCs w:val="0"/>
          <w:sz w:val="24"/>
          <w:szCs w:val="24"/>
        </w:rPr>
      </w:pPr>
      <w:r w:rsidRPr="003A2703">
        <w:rPr>
          <w:szCs w:val="24"/>
        </w:rPr>
        <w:t>6.</w:t>
      </w:r>
      <w:r w:rsidRPr="003A2703">
        <w:rPr>
          <w:b/>
          <w:bCs/>
          <w:szCs w:val="24"/>
        </w:rPr>
        <w:tab/>
      </w:r>
      <w:r w:rsidRPr="003A2703">
        <w:rPr>
          <w:rStyle w:val="cf01"/>
          <w:rFonts w:ascii="Times New Roman" w:hAnsi="Times New Roman" w:cs="Times New Roman"/>
          <w:b w:val="0"/>
          <w:i w:val="0"/>
          <w:iCs w:val="0"/>
          <w:sz w:val="24"/>
          <w:szCs w:val="24"/>
        </w:rPr>
        <w:t xml:space="preserve">mener ligeledes, at de nævnte rettighedshavere skal have fuld kontrol over anvendelsen </w:t>
      </w:r>
      <w:r w:rsidRPr="003A2703">
        <w:rPr>
          <w:rStyle w:val="cf01"/>
          <w:rFonts w:ascii="Times New Roman" w:hAnsi="Times New Roman" w:cs="Times New Roman"/>
          <w:b w:val="0"/>
          <w:i w:val="0"/>
          <w:iCs w:val="0"/>
          <w:sz w:val="24"/>
          <w:szCs w:val="24"/>
        </w:rPr>
        <w:lastRenderedPageBreak/>
        <w:t>af deres indhold til formål, der rækker ud over AI-træning, herunder systemers og applikationers udledning og hentningsforstærkede generering, eller anvendelse til formål, der fremmer produktionen af AI-genererede, konkurrerende tilbud på rettighedshavernes primære markeder; mener, at anvendelsen af beskyttet indhold til sådanne formål, der rækker ud over træning, kun må finde sted med rettighedshavernes udtrykkelige samtykke; foreslår, at Kommissionen undersøger, hvordan supplerende rettigheder for presseudgivere, journalister og nyhedsredaktører og andre relaterede rettigheder, herunder for producenter af nyhedsmedier og radio- og TV-selskaber, kan udvides til at omfatte disse formål; mener, at sådanne vederlagsrettigheder også kan forvaltes i henhold til en frivillig kollektiv licensordning, hvorved der fremstilles en formodning om kollektiv rettighedsforvaltning på vegne af rettighedshavere med hensyn til AI-relaterede anvendelser af deres indhold, uden at dette berører rettighedshaveres ret til at vælge individuelle licenser;</w:t>
      </w:r>
    </w:p>
    <w:p w14:paraId="4D3DE0A1" w14:textId="77777777" w:rsidR="005F681C" w:rsidRPr="00D71D58" w:rsidRDefault="005F681C" w:rsidP="005F681C">
      <w:pPr>
        <w:pStyle w:val="NormalHanging12a"/>
        <w:rPr>
          <w:color w:val="000000" w:themeColor="text1"/>
        </w:rPr>
      </w:pPr>
      <w:r w:rsidRPr="00D71D58">
        <w:t>7.</w:t>
      </w:r>
      <w:r w:rsidRPr="00D71D58">
        <w:tab/>
        <w:t xml:space="preserve">opfordrer indtrængende Kommissionen til at undersøge muligheden for at beskytte presse- og nyhedsmediesektoren, hvis tjenester regelmæssigt og i fuldt omfang udnyttes af AI-systemer, og til at vurdere og, hvor det er relevant, foreslå mekanismer, der sikrer, at udbydere af GenAI-modeller eller </w:t>
      </w:r>
      <w:r w:rsidRPr="00D71D58">
        <w:noBreakHyphen/>
        <w:t>systemer, der påviseligt omdirigerer trafik og indtægter fra presse- og nyhedsmedier, kompenserer sådanne medieforetagender på en retfærdig, forholdsmæssig og ikkediskriminerende måde, idet der lægges særlig vægt på lokale og regionale medier, med henblik på at sikre mediepluralisme, mangfoldighed og demokratisk debat i EU og dets medlemsstater;</w:t>
      </w:r>
    </w:p>
    <w:p w14:paraId="59DF6F02" w14:textId="77777777" w:rsidR="005F681C" w:rsidRPr="00D71D58" w:rsidRDefault="005F681C" w:rsidP="005F681C">
      <w:pPr>
        <w:pStyle w:val="NormalHanging12a"/>
        <w:rPr>
          <w:szCs w:val="24"/>
        </w:rPr>
      </w:pPr>
      <w:r w:rsidRPr="00D71D58">
        <w:rPr>
          <w:color w:val="000000" w:themeColor="text1"/>
        </w:rPr>
        <w:t>8.</w:t>
      </w:r>
      <w:r w:rsidRPr="00D71D58">
        <w:rPr>
          <w:color w:val="000000" w:themeColor="text1"/>
        </w:rPr>
        <w:tab/>
      </w:r>
      <w:r w:rsidRPr="00D71D58">
        <w:t>bemærker den stigende brug af GenAI til at samle eller præsentere nyhedsindhold og dets vidtrækkende indvirkning på adgangen til og mangfoldigheden af oplysninger; opfordrer Kommissionen og medlemsstaterne til at sikre fuld håndhævelse af EU-retten for at imødegå dette fænomen; understreger, at sådanne systemer bør opretholde og bidrage til de principper, der ligger til grund for den europæiske forordning om mediefrihed</w:t>
      </w:r>
      <w:r w:rsidRPr="00D71D58">
        <w:rPr>
          <w:rStyle w:val="FootnoteReference"/>
          <w:szCs w:val="24"/>
        </w:rPr>
        <w:footnoteReference w:id="17"/>
      </w:r>
      <w:r w:rsidRPr="00D71D58">
        <w:t xml:space="preserve">, navnlig mediepluralisme og informationsmangfoldighed; understreger behovet for korrekt håndhævelse af artikel 34 i forordningen om digitale tjenester, når sådanne udbydere udpeges som meget store onlineplatforme eller meget store onlinesøgemaskiner, for at sikre, at systemiske risici for mediefrihed og </w:t>
      </w:r>
      <w:r w:rsidRPr="00D71D58">
        <w:noBreakHyphen/>
        <w:t>pluralisme håndteres korrekt; opfordrer desuden Kommissionen til hurtigt at afhjælpe eventuelle overtrædelser af forordningen om digitale markeder med hensyn til potentiel selvbegunstigende praksis hos gatekeepere, der gavner deres AI-tjenester og skader fair konkurrence med erhvervsbrugere;</w:t>
      </w:r>
    </w:p>
    <w:p w14:paraId="6BB2767E" w14:textId="77777777" w:rsidR="005F681C" w:rsidRPr="00D71D58" w:rsidRDefault="005F681C" w:rsidP="005F681C">
      <w:pPr>
        <w:pStyle w:val="NormalHanging12a"/>
      </w:pPr>
      <w:r w:rsidRPr="00D71D58">
        <w:t>9.</w:t>
      </w:r>
      <w:r w:rsidRPr="00D71D58">
        <w:tab/>
        <w:t xml:space="preserve">opfordrer Kommissionen til gennem høring af kollektive forvaltningsselskaber at lette etableringen af frivillige kollektive licensaftaler pr. sektor, hvor det er relevant, som et middel til hurtigt at etablere et fungerende licensmarked, som kan give en afbalanceret og effektiv ramme, der sikrer rimelige vederlag til rettighedshavere og samtidig gør det muligt for AI-udbydere at få adgang til træningsdata af høj kvalitet; opfordrer indtrængende Kommissionen til at sikre, at sådanne kollektive licensaftaler er tilgængelige for alle interessenter, herunder individuelle skabere og SMV'er, og fremmer forhandlinger i god tro og gennemsigtighed; minder om, at rettighedshaveres </w:t>
      </w:r>
      <w:r w:rsidRPr="00D71D58">
        <w:lastRenderedPageBreak/>
        <w:t>afvisning af anvendelsen af deres indhold til træningsformål skal respekteres;</w:t>
      </w:r>
    </w:p>
    <w:p w14:paraId="3878A6A7" w14:textId="77777777" w:rsidR="005F681C" w:rsidRPr="00D71D58" w:rsidRDefault="005F681C" w:rsidP="005F681C">
      <w:pPr>
        <w:pStyle w:val="NormalHanging12a"/>
        <w:rPr>
          <w:szCs w:val="24"/>
        </w:rPr>
      </w:pPr>
      <w:r w:rsidRPr="00D71D58">
        <w:t>10.</w:t>
      </w:r>
      <w:r w:rsidRPr="00D71D58">
        <w:tab/>
        <w:t>opfordrer Kommissionen til at skabe retssikkerhed for både rettighedshavere og AI-udbydere og til at vurdere nødvendigheden og gennemførligheden af værktøjer, der gør det muligt for rettighedshavere effektivt at forhindre anvendelsen af deres værker til AI-træning ved hjælp af et begrænset antal maskinlæsbare standardiserede formater, der forvaltes af en betroet formidler; foreslår, at EUIPO gøres til den betroede formidler, der forvalter og registrerer sådanne undtagelser og kan henvise til andre allerede eksisterende kataloger over undtagelser; understreger, at deltagelse i enhver ny mekanisme bør være enkel og omkostningseffektiv og ikke bør ugyldiggøre eller tilsidesætte tidligere udtrykte afvisninger, samtidig med at AI-udbydere får et omfattende redskab til at sikre overholdelse af ophavsretten; mener, at oprettelsen af sådanne mekanismer bør udformes og vurderes i samråd med de berørte interessenter, navnlig rettighedshavere, AI-udbydere og deres respektive repræsentative organisationer;</w:t>
      </w:r>
    </w:p>
    <w:p w14:paraId="079E1748" w14:textId="77777777" w:rsidR="005F681C" w:rsidRPr="00D71D58" w:rsidRDefault="005F681C" w:rsidP="005F681C">
      <w:pPr>
        <w:pStyle w:val="NormalHanging12a"/>
        <w:rPr>
          <w:rFonts w:eastAsia="Aptos"/>
        </w:rPr>
      </w:pPr>
      <w:r w:rsidRPr="00D71D58">
        <w:t>11.</w:t>
      </w:r>
      <w:r w:rsidRPr="00D71D58">
        <w:tab/>
        <w:t>anbefaler, at Kommissionen også overdrager EUIPO ansvaret for at støtte en sektorbaseret, frivillig licenseringsproces med henblik på at strømline forbindelserne mellem GenAI-udbydere og rettighedshavere og etablere en brugbar, innovationsvenlig ramme, der støtter EU's konkurrenceevne og ikke unødigt hindrer udviklingen af AI-teknologier, uden at det medfører uforholdsmæssigt store administrative byrder eller udgør en risiko for håndhævelsen af eksklusive rettigheder;</w:t>
      </w:r>
    </w:p>
    <w:p w14:paraId="56EFEAFD" w14:textId="77777777" w:rsidR="005F681C" w:rsidRPr="003A2703" w:rsidRDefault="005F681C" w:rsidP="005F681C">
      <w:pPr>
        <w:pStyle w:val="NormalHanging12a"/>
        <w:rPr>
          <w:rStyle w:val="cf01"/>
          <w:rFonts w:ascii="Times New Roman" w:hAnsi="Times New Roman" w:cs="Times New Roman"/>
          <w:b w:val="0"/>
          <w:bCs w:val="0"/>
          <w:i w:val="0"/>
          <w:iCs w:val="0"/>
          <w:sz w:val="24"/>
          <w:szCs w:val="24"/>
        </w:rPr>
      </w:pPr>
      <w:r w:rsidRPr="00D71D58">
        <w:t>12.</w:t>
      </w:r>
      <w:r w:rsidRPr="00D71D58">
        <w:tab/>
        <w:t xml:space="preserve">opfordrer Kommissionen til at foreslå gennemsigtighed og kildedokumentation i forbindelse med brugen af ophavsretligt beskyttede værker eller andre beskyttede frembringelser for udbydere og idriftsættere af AI-modeller og </w:t>
      </w:r>
      <w:r w:rsidRPr="00D71D58">
        <w:noBreakHyphen/>
        <w:t>systemer til almen brug, der bringes i omsætning på EU-markedet, herunder med henblik på overholdelse af fravalg meddelt en betroet formidler såsom EUIPO; anbefaler, at Kommissionen fortsat samarbejder med AI-udbydere og relevante interessenter om at forbedre skabelonen for træningsdata; mener, at gennemsigtighed med henblik på f.eks. udledning og hentningsforstærket generering, som kræver kontinuerlig crawling i realtid, bør suppleres med en forpligtelse for crawlere til at være identificerbare for weboperatøren og for AI-virksomheder, så de kan føre detaljerede fortegnelser over alle crawlingaktiviteter, der udføres, under behørig hensyntagen til behovet for at beskytte forretningshemmeligheder og fortrolige forretningsoplysninger og sikre en passende balance mellem en sådan beskyttelse og en effektiv gennemførelse af gennemsigtighedsforpligtelserne;</w:t>
      </w:r>
      <w:r w:rsidRPr="00D71D58">
        <w:rPr>
          <w:rStyle w:val="Heading2Char"/>
          <w:lang w:val="da-DK"/>
        </w:rPr>
        <w:t xml:space="preserve"> </w:t>
      </w:r>
      <w:r w:rsidRPr="003A2703">
        <w:rPr>
          <w:rStyle w:val="cf01"/>
          <w:rFonts w:ascii="Times New Roman" w:hAnsi="Times New Roman" w:cs="Times New Roman"/>
          <w:b w:val="0"/>
          <w:bCs w:val="0"/>
          <w:i w:val="0"/>
          <w:iCs w:val="0"/>
          <w:sz w:val="24"/>
          <w:szCs w:val="24"/>
        </w:rPr>
        <w:t>understreger, at digital vandmærkning, som indebærer diskret indsættelse af en underskrift, kode eller specifik information direkte i det beskyttede indhold – tekst, billede, video eller lyd – er et innovativt og robust redskab til beskyttelse af ophavsret og beslægtede rettigheder; mener, at Kommissionen også skal fremme forskning i og udvikling af standarder for innovative teknologiske løsninger, der forbedrer mulighederne for at kontrollere datasætinformationer, herunder kryptografiske vandmærker; mener, at enhver ny fravalgsmekanisme ikke bør ugyldiggøre fravalg, der tidligere er givet udtryk for;</w:t>
      </w:r>
    </w:p>
    <w:p w14:paraId="4D16D0D7" w14:textId="77777777" w:rsidR="005F681C" w:rsidRPr="00D71D58" w:rsidRDefault="005F681C" w:rsidP="005F681C">
      <w:pPr>
        <w:pStyle w:val="NormalHanging12a"/>
      </w:pPr>
      <w:r w:rsidRPr="003A2703">
        <w:t>13.</w:t>
      </w:r>
      <w:r w:rsidRPr="003A2703">
        <w:tab/>
      </w:r>
      <w:r w:rsidRPr="00D71D58">
        <w:t>mener, at der ikke bør indføres nogen retlig ramme for træning af GenAI på værker og andre genstande, der er beskyttet af ophavsret og beslægtede rettigheder, uden at der sikres fuld gennemsigtighed med hensyn til anvendelsen af sådanne data og en effektiv beskyttelse og håndhævelse af ophavsmændenes rettigheder, hvilket vil genoprette ophavsmændenes absolutte ret og sikre deres fulde forhandlingsposition med henblik på at opnå et passende og forholdsmæssigt vederlag;</w:t>
      </w:r>
    </w:p>
    <w:p w14:paraId="7F569547" w14:textId="77777777" w:rsidR="005F681C" w:rsidRPr="00D71D58" w:rsidRDefault="005F681C" w:rsidP="005F681C">
      <w:pPr>
        <w:pStyle w:val="NormalHanging12a"/>
      </w:pPr>
      <w:r w:rsidRPr="00D71D58">
        <w:lastRenderedPageBreak/>
        <w:t>14.</w:t>
      </w:r>
      <w:r w:rsidRPr="00D71D58">
        <w:tab/>
        <w:t>understreger, at adfærdskodeksen for AI-modeller til almen brug, retningslinjer og skabeloner bør revideres og behandles som levende dokumenter, der kræver regelmæssige ajourføringer for at tackle nye udfordringer inden for ophavsretlig beskyttelse og udvikling af AI; bemærker, at adfærdskodeksen er et midlertidigt redskab til at påvise overholdelse af AI-forordningen, indtil der udvikles harmoniserede standarder som understreget i de retningslinjer, som Det Europæiske AI-Kontor offentliggjorde den 18. juli 2025; glæder sig over den kurs, der udstikkes i kapitlet om ophavsret i adfærdskodeksen for AI-modeller til almen brug, herunder forpligtelser vedrørende dokumentation af datasæt, fravalg og klagebehandling, men bemærker samtidig de resterende mangler; opfordrer Det Europæiske AI-Kontor til at håndhæve disse bestemmelser effektivt og sigte mod opnåelsen af de højeste EU-standarder med henblik på en effektiv overholdelse af de pågældende krav og opfordrer indtrængende underskriverne til at vedtage en offentlig politik for ophavsret og til at anvende en tilgængelig, tidsbunden klagemekanisme, der giver rettighedshaverne effektive klagemuligheder;</w:t>
      </w:r>
    </w:p>
    <w:p w14:paraId="37A9C871" w14:textId="77777777" w:rsidR="005F681C" w:rsidRPr="00D71D58" w:rsidRDefault="005F681C" w:rsidP="005F681C">
      <w:pPr>
        <w:pStyle w:val="NormalHanging12a"/>
        <w:rPr>
          <w:szCs w:val="24"/>
        </w:rPr>
      </w:pPr>
      <w:r w:rsidRPr="00D71D58">
        <w:t>15.</w:t>
      </w:r>
      <w:r w:rsidRPr="00D71D58">
        <w:tab/>
        <w:t>anbefaler, at Kommissionen, uafhængigt af og forud for sin planlagte revision af rammen for ophavsret og direktivet om ophavsret på det digitale indre marked og uden at forudsætte behovet for lovgivningsmæssig revision, hurtigst muligt foretager en grundig vurdering af, om den eksisterende EU-ret om ophavsret i tilstrækkelig grad imødegår den juridiske usikkerhed og de konkurrencemæssige virkninger, der er forbundet med anvendelsen af beskyttede værker og andre frembringelser til træning af GenAI-systemer, territoriale konsekvenser, bæredygtigheden af andre offentligt tilgængelige ressourcer såsom onlineencyklopædier, biblioteker og arkiver samt udbredelsen af AI-genereret indhold, der kan erstatte menneskeskabte frembringelser, og finde en hurtig løsning på disse spørgsmål; understreger, at denne vurdering bør foretages ved at anlægge en holistisk tilgang, der tager hensyn til behovene hos alle interessenter, herunder forskere, universiteter, biblioteker, kulturinstitutioner, europæiske AI-udviklere, herunder nystartede virksomheder, nyhedsmedier og den kreative sektor, i forbindelse med anvendelsen og udviklingen af AI;</w:t>
      </w:r>
    </w:p>
    <w:p w14:paraId="077B7670" w14:textId="77777777" w:rsidR="005F681C" w:rsidRPr="00D71D58" w:rsidRDefault="005F681C" w:rsidP="005F681C">
      <w:pPr>
        <w:pStyle w:val="NormalHanging12a"/>
      </w:pPr>
      <w:r w:rsidRPr="00D71D58">
        <w:t>16.</w:t>
      </w:r>
      <w:r w:rsidRPr="00D71D58">
        <w:tab/>
        <w:t xml:space="preserve">bekræfter, at territorialprincippet i overensstemmelse med EU-retten og folkeretten og med henblik på at skabe lige vilkår mellem GenAI-tjenester, der er baseret inden for og uden for EU, sikre passende beskyttelse af og et rimeligt vederlag til ophavsmænd for anvendelsen af deres værker, forbedre udstedelsen af licenser til sådanne værker og i sidste ende fremme EU's kulturelle vitalitet bør fortolkes på en sådan måde, at når generative AI-modeller og </w:t>
      </w:r>
      <w:r w:rsidRPr="00D71D58">
        <w:noBreakHyphen/>
        <w:t xml:space="preserve">systemer bringes i omsætning eller gøres tilgængelige på EU-markedet, finder EU-retten om ophavsret som nævnt i betragtning 106 i AI-forordningen anvendelse, uanset i hvilken jurisdiktion de ophavsretsrelevante handlinger, der ligger til grund for træningen af disse GenAI-modeller og </w:t>
      </w:r>
      <w:r w:rsidRPr="00D71D58">
        <w:noBreakHyphen/>
        <w:t>systemer, finder sted, med den konsekvens, at disse modeller og systemer, hvis ophavsretten ikke overholdes, forhindres i at blive bragt i omsætning eller gjort tilgængelige på EU-markedet;</w:t>
      </w:r>
    </w:p>
    <w:p w14:paraId="267B62EF" w14:textId="77777777" w:rsidR="005F681C" w:rsidRPr="00D71D58" w:rsidRDefault="005F681C" w:rsidP="005F681C">
      <w:pPr>
        <w:pStyle w:val="NormalHanging12a"/>
      </w:pPr>
      <w:r w:rsidRPr="00D71D58">
        <w:t>17.</w:t>
      </w:r>
      <w:r w:rsidRPr="00D71D58">
        <w:tab/>
        <w:t xml:space="preserve">anbefaler endvidere, at en sådan vurdering sigter mod at opretholde en ramme, inden for hvilken der sikres gennemsigtighed med hensyn til anvendelsen af ophavsretligt beskyttede værker eller andre beskyttede frembringelser, og inden for hvilken rimelige og forholdsmæssige vederlagsmekanismer for en sådan anvendelse gør det muligt at generere de ressourcer, der er nødvendige for, at europæisk kunstnerisk og kreativ produktion kan trives i den AI-drevne globale forandringsproces, og for at det offentlige informationsøkosystem kan bevares; understreger, at det haster med at sikre disse </w:t>
      </w:r>
      <w:r w:rsidRPr="00D71D58">
        <w:lastRenderedPageBreak/>
        <w:t>betingelser for at undgå den stigende risiko for, at menneskelig kreativitet gradvist forsvinder til fordel for indhold genereret af AI-systemer;</w:t>
      </w:r>
    </w:p>
    <w:p w14:paraId="668F1FCC" w14:textId="77777777" w:rsidR="005F681C" w:rsidRPr="00D71D58" w:rsidRDefault="005F681C" w:rsidP="005F681C">
      <w:pPr>
        <w:spacing w:after="240"/>
        <w:ind w:left="567" w:hanging="567"/>
      </w:pPr>
      <w:r w:rsidRPr="00D71D58">
        <w:t>18.</w:t>
      </w:r>
      <w:r w:rsidRPr="00D71D58">
        <w:tab/>
        <w:t xml:space="preserve">noterer sig anvendelsen af GenAI-systemer, der i stor udstrækning er baseret på beskyttet indhold og reproducerer dette uden tilladelse fra eller kompensation til de rettighedshavere, som berøres af en sådan anvendelse, navnlig når de er integreret i søgemaskiner eller andre digitale tjenester, der muliggør generering – ofte i realtid og til marginale omkostninger – af indhold, som krænker originale værker og andre beskyttede frembringelser, som modellerne er blevet trænet på, eller som er blevet gjort til genstand for datascraping, herunder i realtid, af sådanne modeller; er foruroliget over, at denne praksis kan føre til levering af produkter og tjenester, der direkte og på urimelige vilkår konkurrerer med rettighedshavernes produkter og tjenester, herunder gennem gatekeeperes ulovlige selvbegunstigelse; </w:t>
      </w:r>
    </w:p>
    <w:p w14:paraId="1BC3BF0F" w14:textId="77777777" w:rsidR="005F681C" w:rsidRPr="00D71D58" w:rsidRDefault="005F681C" w:rsidP="005F681C">
      <w:pPr>
        <w:spacing w:after="240"/>
        <w:ind w:left="567" w:hanging="567"/>
      </w:pPr>
      <w:r w:rsidRPr="00D71D58">
        <w:t>19.</w:t>
      </w:r>
      <w:r w:rsidRPr="00D71D58">
        <w:tab/>
        <w:t>minder om, at frivillig udstedelse af licenser, hvad enten den er individuel eller kollektiv, understøtter de kreative sektorers succes ved at sikre fleksibilitet til at vælge den mest hensigtsmæssige model for hver anvendelse, samtidig med at det understreges, at rettighedshaverne fortsat frit skal kunne beslutte, om de vil licensere deres værker til generative AI-systemer, og fastsætte et passende vederlag for at beskytte sektordiversiteten og forhindre markedsforvridninger, der kan underminere de kreative industriers og den europæiske presses levedygtighed;</w:t>
      </w:r>
    </w:p>
    <w:p w14:paraId="3F857625" w14:textId="77777777" w:rsidR="005F681C" w:rsidRPr="00D71D58" w:rsidRDefault="005F681C" w:rsidP="005F681C">
      <w:pPr>
        <w:spacing w:after="240"/>
        <w:ind w:left="567" w:hanging="567"/>
      </w:pPr>
      <w:r w:rsidRPr="00D71D58">
        <w:t>20.</w:t>
      </w:r>
      <w:r w:rsidRPr="00D71D58">
        <w:tab/>
        <w:t>opfordrer til, at der etableres en sammenhængende og velfungerende licensramme for anvendelsen af indhold, der er beskyttet af ophavsret eller beslægtede rettigheder, for at muliggøre rimelige vederlag til ophavsmændene for GenAI-modellers udnyttelse af deres ophavsretligt beskyttede indhold; opfordrer udbydere af AI-modeller til at ansøge om licenser fra rettighedshavere og understreger, at effektiv og omfattende gennemsigtighed med hensyn til ophavsretligt beskyttede værker og indhold, der anvendes til at træne AI-modeller, er en afgørende forudsætning for udviklingen af et sådant marked; anbefaler i den forbindelse at styrke håndhævelses- og gennemsigtighedsforpligtelserne for AI-udviklere, der anvender sådant indhold;</w:t>
      </w:r>
    </w:p>
    <w:p w14:paraId="7E123F28" w14:textId="77777777" w:rsidR="005F681C" w:rsidRPr="00D71D58" w:rsidRDefault="005F681C" w:rsidP="005F681C">
      <w:pPr>
        <w:spacing w:after="240"/>
        <w:ind w:left="567" w:hanging="567"/>
        <w:rPr>
          <w:szCs w:val="24"/>
        </w:rPr>
      </w:pPr>
      <w:r w:rsidRPr="00D71D58">
        <w:t>21.</w:t>
      </w:r>
      <w:r w:rsidRPr="00D71D58">
        <w:tab/>
        <w:t xml:space="preserve">opfordrer Kommissionen til at undersøge, om der kan findes en løsning med hensyn til omgående, rimelige og forholdsmæssige vederlag for tidligere anvendelser af ophavsretligt beskyttede værker foretaget af udbydere af AI-modeller og </w:t>
      </w:r>
      <w:r w:rsidRPr="00D71D58">
        <w:noBreakHyphen/>
        <w:t>systemer til almen brug for så vidt angår anvendelsen af indhold, der var beskyttet af ophavsret eller beslægtede rettigheder, inden der blev etableret et licensmarked, idet en sådan forpligtelse bør gælde, indtil de reformer, der er beskrevet i denne betænkning, er blevet realiseret; modsætter sig i den forbindelse ethvert forslag til en ramme baseret på det forhold, at AI-udbydere opnår en global licens til træning af deres GenAI-modeller til gengæld for et fast gebyr; mener, at værdien af indhold, der er beskyttet af ophavsret eller beslægtede rettigheder, skal være forholdsmæssig og fastlægges på grundlag af relevante faktorer gennem forhandlinger i god tro mellem rettighedshaverne eller deres repræsentanter og AI-udbydere;</w:t>
      </w:r>
    </w:p>
    <w:p w14:paraId="1D0DD9F2" w14:textId="77777777" w:rsidR="005F681C" w:rsidRPr="00D71D58" w:rsidRDefault="005F681C" w:rsidP="005F681C">
      <w:pPr>
        <w:spacing w:after="240"/>
        <w:ind w:left="567" w:hanging="567"/>
      </w:pPr>
      <w:r w:rsidRPr="00D71D58">
        <w:t>22.</w:t>
      </w:r>
      <w:r w:rsidRPr="00D71D58">
        <w:tab/>
        <w:t>opfordrer Kommissionen og EUIPO til at koordinere indsatsen for at øge bevidstheden om ophavsret blandt AI-udviklere og ‑udbydere, hvilket kan omfatte tjeklister for overholdelse, juridiske og teknologiske værktøjssæt og tekniske vejledninger, samt til at skabe bevidsthed blandt indehaverne af ophavsrettigheder og tilvejebringe nyttige og pålidelige oplysninger om ophavsret;</w:t>
      </w:r>
    </w:p>
    <w:p w14:paraId="376EC87F" w14:textId="77777777" w:rsidR="005F681C" w:rsidRPr="00D71D58" w:rsidRDefault="005F681C" w:rsidP="005F681C">
      <w:pPr>
        <w:spacing w:after="240"/>
        <w:ind w:left="567" w:hanging="567"/>
      </w:pPr>
      <w:r w:rsidRPr="00D71D58">
        <w:lastRenderedPageBreak/>
        <w:t>23.</w:t>
      </w:r>
      <w:r w:rsidRPr="00D71D58">
        <w:tab/>
        <w:t>glæder sig over oprettelsen af EUIPO's videncenter om ophavsret, da det vil spille en afgørende rolle med hensyn til at vejlede i brugen af ophavsret i GenAI's tidsalder ved at øge bevidstheden, fremme juridisk klarhed og styrke en afbalanceret ramme, der støtter kreativitet, innovation, kulturbevarelse og europæisk konkurrenceevne;</w:t>
      </w:r>
    </w:p>
    <w:p w14:paraId="300E70BA" w14:textId="77777777" w:rsidR="005F681C" w:rsidRPr="00D71D58" w:rsidRDefault="005F681C" w:rsidP="005F681C">
      <w:pPr>
        <w:spacing w:after="240"/>
        <w:ind w:left="567" w:hanging="567"/>
      </w:pPr>
      <w:r w:rsidRPr="00D71D58">
        <w:t>24.</w:t>
      </w:r>
      <w:r w:rsidRPr="00D71D58">
        <w:tab/>
        <w:t xml:space="preserve">opfordrer Kommissionen til at foreslå, at der indføres en afbeviselig formodning om, at værker og andre frembringelser, der er beskyttet af ophavsret eller beslægtede rettigheder, er blevet anvendt til træning, udledning eller hentningsforstærket generering af generative AI-modeller eller </w:t>
      </w:r>
      <w:r w:rsidRPr="00D71D58">
        <w:noBreakHyphen/>
        <w:t>systemer, der bringes i omsætning på EU-markedet, hvis de lovbestemte gennemsigtighedsforpligtelser, der er fastsat i denne beslutning, ikke er blevet overholdt fuldt ud; anbefaler endvidere, at udbyderen af AI-modellen eller ‑systemet, alt efter hvad der er relevant, afholder alle rimelige og forholdsmæssige sagsomkostninger og andre udgifter, der påløber i forbindelse med håndhævelsen af sådanne rettigheder, hvis en rettighedshaver eller den organisation, der repræsenterer denne, får medhold i retssager enten på grundlag af denne formodning eller gennem fremlagt dokumentation;</w:t>
      </w:r>
    </w:p>
    <w:p w14:paraId="35075913" w14:textId="77777777" w:rsidR="005F681C" w:rsidRPr="00D71D58" w:rsidRDefault="005F681C" w:rsidP="005F681C">
      <w:pPr>
        <w:spacing w:after="240"/>
        <w:ind w:left="567" w:hanging="567"/>
      </w:pPr>
      <w:r w:rsidRPr="00D71D58">
        <w:t>25.</w:t>
      </w:r>
      <w:r w:rsidRPr="00D71D58">
        <w:tab/>
        <w:t>insisterer på, at indhold, der er fuldstændig AI-genereret, og som ikke opfylder de fastsatte kriterier for ophavsretlig beskyttelse, fortsat ikke bør være berettiget til ophavsretlig beskyttelse, og at dette outputs status som "til, fri offentlig anvendelse" skal fastlægges klart;</w:t>
      </w:r>
    </w:p>
    <w:p w14:paraId="75F10F02" w14:textId="77777777" w:rsidR="005F681C" w:rsidRPr="00D71D58" w:rsidRDefault="005F681C" w:rsidP="005F681C">
      <w:pPr>
        <w:spacing w:after="240"/>
        <w:ind w:left="567" w:hanging="567"/>
      </w:pPr>
      <w:r w:rsidRPr="00D71D58">
        <w:t>26.</w:t>
      </w:r>
      <w:r w:rsidRPr="00D71D58">
        <w:tab/>
        <w:t>opfordrer indtrængende Kommissionen til at undersøge foranstaltninger til bekæmpelse af krænkelse af retten til reproduktion, tilrådighedsstillelse for almenheden og kommunikation til almenheden gennem produktion af GenAI-output, forudsat at sådanne foranstaltninger ikke fører til forebyggelse af produktion af GenAI-output, der omfatter værker eller andre frembringelser, der ikke krænker ophavsretten og beslægtede rettigheder, herunder til privat brug, citater, kritik, gennemgang, karikatur, parodi og pastiche og tilfældig inklusion;</w:t>
      </w:r>
    </w:p>
    <w:p w14:paraId="3BD9A927" w14:textId="77777777" w:rsidR="005F681C" w:rsidRPr="00D71D58" w:rsidRDefault="005F681C" w:rsidP="005F681C">
      <w:pPr>
        <w:spacing w:after="240"/>
        <w:ind w:left="567" w:hanging="567"/>
      </w:pPr>
      <w:r w:rsidRPr="00D71D58">
        <w:t>27.</w:t>
      </w:r>
      <w:r w:rsidRPr="00D71D58">
        <w:tab/>
        <w:t>opfordrer Kommissionen til at undersøge foranstaltninger til at beskytte enkeltpersoner mod udbredelsen af manipuleret og AI-genereret digitalt tekst-, billed-, lyd- eller videoindhold, herunder kunstneres værker og fremførelser, der efterligner deres personlige karakteristika (deepfakes) uden samtykke; fremhæver, at udbydere af digitale tjenester skal have en klar forpligtelse til at gribe ind over for en sådan ulovlig anvendelse af en persons ret til sin egen krop, sine ansigtstræk og sin stemme samt vedkommendes intellektuelle ejendomsrettigheder;</w:t>
      </w:r>
    </w:p>
    <w:p w14:paraId="283B0686" w14:textId="77777777" w:rsidR="005F681C" w:rsidRPr="00D71D58" w:rsidRDefault="005F681C" w:rsidP="005F681C">
      <w:pPr>
        <w:pStyle w:val="NormalHanging12a"/>
        <w:rPr>
          <w:szCs w:val="24"/>
        </w:rPr>
      </w:pPr>
      <w:r w:rsidRPr="00D71D58">
        <w:t>28.</w:t>
      </w:r>
      <w:r w:rsidRPr="00D71D58">
        <w:tab/>
        <w:t>understreger behovet for tydelig mærkning af rent AI-genereret indhold med henblik på at overvåge gennemførelsen af gennemsigtighedsforpligtelserne for platforme, der tilbyder kreativt indhold, for at opdage og signalere eksistensen af AI-genereret indhold til deres brugere; opfordrer Kommissionen til straks at udstede en EU-adfærdskodeks for indholdsmærkning;</w:t>
      </w:r>
    </w:p>
    <w:p w14:paraId="7B7615D9" w14:textId="77777777" w:rsidR="005F681C" w:rsidRPr="00D71D58" w:rsidRDefault="005F681C" w:rsidP="005F681C">
      <w:pPr>
        <w:pStyle w:val="NormalHanging12a"/>
      </w:pPr>
      <w:r w:rsidRPr="00D71D58">
        <w:t>29.</w:t>
      </w:r>
      <w:r w:rsidRPr="00D71D58">
        <w:tab/>
        <w:t>pålægger sin formand at sende denne beslutning til Rådet og Kommissionen samt til medlemsstaternes regeringer og parlamenter.</w:t>
      </w:r>
    </w:p>
    <w:sectPr w:rsidR="005F681C" w:rsidRPr="00D71D58" w:rsidSect="003644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D36B1" w14:textId="77777777" w:rsidR="005668E6" w:rsidRPr="00364497" w:rsidRDefault="005668E6">
      <w:r w:rsidRPr="00364497">
        <w:separator/>
      </w:r>
    </w:p>
  </w:endnote>
  <w:endnote w:type="continuationSeparator" w:id="0">
    <w:p w14:paraId="70361635" w14:textId="77777777" w:rsidR="005668E6" w:rsidRPr="00364497" w:rsidRDefault="005668E6">
      <w:r w:rsidRPr="003644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6D47" w14:textId="77777777" w:rsidR="00064002" w:rsidRPr="003644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896FC" w14:textId="77777777" w:rsidR="00064002" w:rsidRPr="003644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2757" w14:textId="77777777" w:rsidR="00064002" w:rsidRPr="003644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66B5" w14:textId="77777777" w:rsidR="005668E6" w:rsidRPr="00364497" w:rsidRDefault="005668E6">
      <w:r w:rsidRPr="00364497">
        <w:separator/>
      </w:r>
    </w:p>
  </w:footnote>
  <w:footnote w:type="continuationSeparator" w:id="0">
    <w:p w14:paraId="66B84201" w14:textId="77777777" w:rsidR="005668E6" w:rsidRPr="00364497" w:rsidRDefault="005668E6">
      <w:r w:rsidRPr="00364497">
        <w:continuationSeparator/>
      </w:r>
    </w:p>
  </w:footnote>
  <w:footnote w:id="1">
    <w:p w14:paraId="1DDDB019" w14:textId="1CEA44BE" w:rsidR="005F681C" w:rsidRPr="00364497" w:rsidRDefault="005F681C" w:rsidP="00364497">
      <w:pPr>
        <w:pStyle w:val="FootnoteText"/>
        <w:ind w:left="567" w:hanging="567"/>
        <w:rPr>
          <w:rFonts w:eastAsiaTheme="minorHAnsi"/>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EFT L 77 af 27.3.1996, s. 20, ELI: </w:t>
      </w:r>
      <w:hyperlink r:id="rId1" w:tooltip="Giver adgang til dokumentet gennem dets ELI-URI." w:history="1">
        <w:r w:rsidRPr="00364497">
          <w:rPr>
            <w:rStyle w:val="Hyperlink"/>
            <w:sz w:val="24"/>
            <w:lang w:val="da-DK"/>
          </w:rPr>
          <w:t>http://data.europa.eu/eli/dir/1996/9/oj</w:t>
        </w:r>
      </w:hyperlink>
      <w:r w:rsidRPr="00364497">
        <w:rPr>
          <w:sz w:val="24"/>
          <w:lang w:val="da-DK"/>
        </w:rPr>
        <w:t>.</w:t>
      </w:r>
    </w:p>
  </w:footnote>
  <w:footnote w:id="2">
    <w:p w14:paraId="5CB98434" w14:textId="7D46F78F"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EFT L 167 af 22.6.2001, s. 10, ELI: </w:t>
      </w:r>
      <w:r>
        <w:fldChar w:fldCharType="begin"/>
      </w:r>
      <w:r w:rsidRPr="005004A6">
        <w:rPr>
          <w:lang w:val="da-DK"/>
        </w:rPr>
        <w:instrText>HYPERLINK "http://data.europa.eu/eli/dir/2001/29/oj" \o "Giver adgang til dokumentet gennem dets ELI-URI."</w:instrText>
      </w:r>
      <w:r>
        <w:fldChar w:fldCharType="separate"/>
      </w:r>
      <w:r w:rsidRPr="00364497">
        <w:rPr>
          <w:rStyle w:val="Hyperlink"/>
          <w:sz w:val="24"/>
          <w:lang w:val="da-DK"/>
        </w:rPr>
        <w:t>http://data.europa.eu/eli/dir/2001/29/oj</w:t>
      </w:r>
      <w:r>
        <w:fldChar w:fldCharType="end"/>
      </w:r>
      <w:r w:rsidRPr="00364497">
        <w:rPr>
          <w:sz w:val="24"/>
          <w:lang w:val="da-DK"/>
        </w:rPr>
        <w:t>.</w:t>
      </w:r>
    </w:p>
  </w:footnote>
  <w:footnote w:id="3">
    <w:p w14:paraId="5411968E" w14:textId="1E76FDD9"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EUT L 157 af 30.4.2004, s. 45, ELI: </w:t>
      </w:r>
      <w:r>
        <w:fldChar w:fldCharType="begin"/>
      </w:r>
      <w:r w:rsidRPr="005004A6">
        <w:rPr>
          <w:lang w:val="da-DK"/>
        </w:rPr>
        <w:instrText>HYPERLINK "http://data.europa.eu/eli/dir/2004/48/oj" \o "Giver adgang til dokumentet gennem dets ELI-URI."</w:instrText>
      </w:r>
      <w:r>
        <w:fldChar w:fldCharType="separate"/>
      </w:r>
      <w:r w:rsidRPr="00364497">
        <w:rPr>
          <w:rStyle w:val="Hyperlink"/>
          <w:sz w:val="24"/>
          <w:lang w:val="da-DK"/>
        </w:rPr>
        <w:t>http://data.europa.eu/eli/dir/2004/48/oj</w:t>
      </w:r>
      <w:r>
        <w:fldChar w:fldCharType="end"/>
      </w:r>
      <w:r w:rsidRPr="00364497">
        <w:rPr>
          <w:sz w:val="24"/>
          <w:lang w:val="da-DK"/>
        </w:rPr>
        <w:t>.</w:t>
      </w:r>
    </w:p>
  </w:footnote>
  <w:footnote w:id="4">
    <w:p w14:paraId="41C9B35B" w14:textId="37FD4605"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111 af 5.5.2009, s. 16, </w:t>
      </w:r>
      <w:r w:rsidRPr="00364497">
        <w:rPr>
          <w:sz w:val="24"/>
          <w:shd w:val="clear" w:color="auto" w:fill="FFFFFF"/>
          <w:lang w:val="da-DK"/>
        </w:rPr>
        <w:t>ELI: </w:t>
      </w:r>
      <w:r>
        <w:fldChar w:fldCharType="begin"/>
      </w:r>
      <w:r w:rsidRPr="005004A6">
        <w:rPr>
          <w:lang w:val="da-DK"/>
        </w:rPr>
        <w:instrText>HYPERLINK "http://data.europa.eu/eli/dir/2009/24/oj" \o "Giver adgang til dokumentet gennem dets ELI-URI."</w:instrText>
      </w:r>
      <w:r>
        <w:fldChar w:fldCharType="separate"/>
      </w:r>
      <w:r w:rsidRPr="00364497">
        <w:rPr>
          <w:sz w:val="24"/>
          <w:u w:val="single"/>
          <w:shd w:val="clear" w:color="auto" w:fill="FFFFFF"/>
          <w:lang w:val="da-DK"/>
        </w:rPr>
        <w:t>http://data.europa.eu/eli/dir/2009/24/oj</w:t>
      </w:r>
      <w:r>
        <w:fldChar w:fldCharType="end"/>
      </w:r>
      <w:r w:rsidRPr="00364497">
        <w:rPr>
          <w:sz w:val="24"/>
          <w:lang w:val="da-DK"/>
        </w:rPr>
        <w:t>.</w:t>
      </w:r>
    </w:p>
  </w:footnote>
  <w:footnote w:id="5">
    <w:p w14:paraId="71F287DE" w14:textId="1D9C0922"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119 af 4.5.2016, s. 1, </w:t>
      </w:r>
      <w:r w:rsidRPr="00364497">
        <w:rPr>
          <w:sz w:val="24"/>
          <w:shd w:val="clear" w:color="auto" w:fill="FFFFFF"/>
          <w:lang w:val="da-DK"/>
        </w:rPr>
        <w:t>ELI: </w:t>
      </w:r>
      <w:r>
        <w:fldChar w:fldCharType="begin"/>
      </w:r>
      <w:r w:rsidRPr="005004A6">
        <w:rPr>
          <w:lang w:val="da-DK"/>
        </w:rPr>
        <w:instrText>HYPERLINK "http://data.europa.eu/eli/reg/2016/679/oj" \o "Giver adgang til dokumentet gennem dets ELI-URI."</w:instrText>
      </w:r>
      <w:r>
        <w:fldChar w:fldCharType="separate"/>
      </w:r>
      <w:r w:rsidRPr="00364497">
        <w:rPr>
          <w:sz w:val="24"/>
          <w:u w:val="single"/>
          <w:shd w:val="clear" w:color="auto" w:fill="FFFFFF"/>
          <w:lang w:val="da-DK"/>
        </w:rPr>
        <w:t>http://data.europa.eu/eli/reg/2016/679/oj</w:t>
      </w:r>
      <w:r>
        <w:fldChar w:fldCharType="end"/>
      </w:r>
      <w:r w:rsidRPr="00364497">
        <w:rPr>
          <w:sz w:val="24"/>
          <w:lang w:val="da-DK"/>
        </w:rPr>
        <w:t>.</w:t>
      </w:r>
    </w:p>
  </w:footnote>
  <w:footnote w:id="6">
    <w:p w14:paraId="00533960" w14:textId="3E74809C"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157 af 15.6.2016, s. 1, </w:t>
      </w:r>
      <w:r w:rsidRPr="00364497">
        <w:rPr>
          <w:sz w:val="24"/>
          <w:shd w:val="clear" w:color="auto" w:fill="FFFFFF"/>
          <w:lang w:val="da-DK"/>
        </w:rPr>
        <w:t>ELI: </w:t>
      </w:r>
      <w:r>
        <w:fldChar w:fldCharType="begin"/>
      </w:r>
      <w:r w:rsidRPr="005004A6">
        <w:rPr>
          <w:lang w:val="da-DK"/>
        </w:rPr>
        <w:instrText>HYPERLINK "http://data.europa.eu/eli/dir/2016/943/oj" \o "Giver adgang til dokumentet gennem dets ELI-URI."</w:instrText>
      </w:r>
      <w:r>
        <w:fldChar w:fldCharType="separate"/>
      </w:r>
      <w:r w:rsidRPr="00364497">
        <w:rPr>
          <w:sz w:val="24"/>
          <w:u w:val="single"/>
          <w:shd w:val="clear" w:color="auto" w:fill="FFFFFF"/>
          <w:lang w:val="da-DK"/>
        </w:rPr>
        <w:t>http://data.europa.eu/eli/dir/2016/943/oj</w:t>
      </w:r>
      <w:r>
        <w:fldChar w:fldCharType="end"/>
      </w:r>
      <w:r w:rsidRPr="00364497">
        <w:rPr>
          <w:sz w:val="24"/>
          <w:lang w:val="da-DK"/>
        </w:rPr>
        <w:t>.</w:t>
      </w:r>
    </w:p>
  </w:footnote>
  <w:footnote w:id="7">
    <w:p w14:paraId="13CCD6BE" w14:textId="6384E945"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303 af 28.11.2018, s. 59, </w:t>
      </w:r>
      <w:r w:rsidRPr="00364497">
        <w:rPr>
          <w:sz w:val="24"/>
          <w:shd w:val="clear" w:color="auto" w:fill="FFFFFF"/>
          <w:lang w:val="da-DK"/>
        </w:rPr>
        <w:t>ELI: </w:t>
      </w:r>
      <w:r>
        <w:fldChar w:fldCharType="begin"/>
      </w:r>
      <w:r w:rsidRPr="005004A6">
        <w:rPr>
          <w:lang w:val="da-DK"/>
        </w:rPr>
        <w:instrText>HYPERLINK "http://data.europa.eu/eli/reg/2018/1807/oj" \o "Giver adgang til dokumentet gennem dets ELI-URI."</w:instrText>
      </w:r>
      <w:r>
        <w:fldChar w:fldCharType="separate"/>
      </w:r>
      <w:r w:rsidRPr="00364497">
        <w:rPr>
          <w:sz w:val="24"/>
          <w:u w:val="single"/>
          <w:shd w:val="clear" w:color="auto" w:fill="FFFFFF"/>
          <w:lang w:val="da-DK"/>
        </w:rPr>
        <w:t>http://data.europa.eu/eli/reg/2018/1807/oj</w:t>
      </w:r>
      <w:r>
        <w:fldChar w:fldCharType="end"/>
      </w:r>
      <w:r w:rsidRPr="00364497">
        <w:rPr>
          <w:sz w:val="24"/>
          <w:lang w:val="da-DK"/>
        </w:rPr>
        <w:t>.</w:t>
      </w:r>
    </w:p>
  </w:footnote>
  <w:footnote w:id="8">
    <w:p w14:paraId="3456F9B6" w14:textId="7FF081DF"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130 af 17.5.2019, s. 92, </w:t>
      </w:r>
      <w:r w:rsidRPr="00364497">
        <w:rPr>
          <w:sz w:val="24"/>
          <w:shd w:val="clear" w:color="auto" w:fill="FFFFFF"/>
          <w:lang w:val="da-DK"/>
        </w:rPr>
        <w:t>ELI: </w:t>
      </w:r>
      <w:r>
        <w:fldChar w:fldCharType="begin"/>
      </w:r>
      <w:r w:rsidRPr="005004A6">
        <w:rPr>
          <w:lang w:val="da-DK"/>
        </w:rPr>
        <w:instrText>HYPERLINK "http://data.europa.eu/eli/dir/2019/790/oj" \o "Giver adgang til dokumentet gennem dets ELI-URI."</w:instrText>
      </w:r>
      <w:r>
        <w:fldChar w:fldCharType="separate"/>
      </w:r>
      <w:r w:rsidRPr="00364497">
        <w:rPr>
          <w:sz w:val="24"/>
          <w:u w:val="single"/>
          <w:shd w:val="clear" w:color="auto" w:fill="FFFFFF"/>
          <w:lang w:val="da-DK"/>
        </w:rPr>
        <w:t>http://data.europa.eu/eli/dir/2019/790/oj</w:t>
      </w:r>
      <w:r>
        <w:fldChar w:fldCharType="end"/>
      </w:r>
      <w:r w:rsidRPr="00364497">
        <w:rPr>
          <w:sz w:val="24"/>
          <w:lang w:val="da-DK"/>
        </w:rPr>
        <w:t>.</w:t>
      </w:r>
    </w:p>
  </w:footnote>
  <w:footnote w:id="9">
    <w:p w14:paraId="07B6964A" w14:textId="1DE99A21"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172 af 26.6.2019, s. 56, </w:t>
      </w:r>
      <w:r w:rsidRPr="00364497">
        <w:rPr>
          <w:sz w:val="24"/>
          <w:shd w:val="clear" w:color="auto" w:fill="FFFFFF"/>
          <w:lang w:val="da-DK"/>
        </w:rPr>
        <w:t>ELI: </w:t>
      </w:r>
      <w:r>
        <w:fldChar w:fldCharType="begin"/>
      </w:r>
      <w:r w:rsidRPr="005004A6">
        <w:rPr>
          <w:lang w:val="da-DK"/>
        </w:rPr>
        <w:instrText>HYPERLINK "http://data.europa.eu/eli/dir/2019/1024/oj" \o "Giver adgang til dokumentet gennem dets ELI-URI."</w:instrText>
      </w:r>
      <w:r>
        <w:fldChar w:fldCharType="separate"/>
      </w:r>
      <w:r w:rsidRPr="00364497">
        <w:rPr>
          <w:sz w:val="24"/>
          <w:u w:val="single"/>
          <w:shd w:val="clear" w:color="auto" w:fill="FFFFFF"/>
          <w:lang w:val="da-DK"/>
        </w:rPr>
        <w:t>http://data.europa.eu/eli/dir/2019/1024/oj</w:t>
      </w:r>
      <w:r>
        <w:fldChar w:fldCharType="end"/>
      </w:r>
      <w:r w:rsidRPr="00364497">
        <w:rPr>
          <w:sz w:val="24"/>
          <w:lang w:val="da-DK"/>
        </w:rPr>
        <w:t>.</w:t>
      </w:r>
    </w:p>
  </w:footnote>
  <w:footnote w:id="10">
    <w:p w14:paraId="02B05267" w14:textId="6C68B0A0"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186 af 11.7.2019, s. 57, </w:t>
      </w:r>
      <w:r w:rsidRPr="00364497">
        <w:rPr>
          <w:sz w:val="24"/>
          <w:shd w:val="clear" w:color="auto" w:fill="FFFFFF"/>
          <w:lang w:val="da-DK"/>
        </w:rPr>
        <w:t>ELI: </w:t>
      </w:r>
      <w:r>
        <w:fldChar w:fldCharType="begin"/>
      </w:r>
      <w:r w:rsidRPr="005004A6">
        <w:rPr>
          <w:lang w:val="da-DK"/>
        </w:rPr>
        <w:instrText>HYPERLINK "http://data.europa.eu/eli/reg/2019/1150/oj" \o "Giver adgang til dokumentet gennem dets ELI-URI."</w:instrText>
      </w:r>
      <w:r>
        <w:fldChar w:fldCharType="separate"/>
      </w:r>
      <w:r w:rsidRPr="00364497">
        <w:rPr>
          <w:sz w:val="24"/>
          <w:u w:val="single"/>
          <w:shd w:val="clear" w:color="auto" w:fill="FFFFFF"/>
          <w:lang w:val="da-DK"/>
        </w:rPr>
        <w:t>http://data.europa.eu/eli/reg/2019/1150/oj</w:t>
      </w:r>
      <w:r>
        <w:fldChar w:fldCharType="end"/>
      </w:r>
      <w:r w:rsidRPr="00364497">
        <w:rPr>
          <w:sz w:val="24"/>
          <w:lang w:val="da-DK"/>
        </w:rPr>
        <w:t>.</w:t>
      </w:r>
    </w:p>
  </w:footnote>
  <w:footnote w:id="11">
    <w:p w14:paraId="4155F1C4" w14:textId="2D1F8654"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rStyle w:val="Emphasis"/>
          <w:sz w:val="24"/>
          <w:shd w:val="clear" w:color="auto" w:fill="FFFFFF"/>
          <w:lang w:val="da-DK"/>
        </w:rPr>
        <w:t xml:space="preserve"> </w:t>
      </w:r>
      <w:r w:rsidR="00364497" w:rsidRPr="00364497">
        <w:rPr>
          <w:rStyle w:val="Emphasis"/>
          <w:sz w:val="24"/>
          <w:shd w:val="clear" w:color="auto" w:fill="FFFFFF"/>
          <w:lang w:val="da-DK"/>
        </w:rPr>
        <w:tab/>
      </w:r>
      <w:r w:rsidRPr="00895E4A">
        <w:rPr>
          <w:rStyle w:val="Emphasis"/>
          <w:i w:val="0"/>
          <w:iCs w:val="0"/>
          <w:sz w:val="24"/>
          <w:shd w:val="clear" w:color="auto" w:fill="FFFFFF"/>
          <w:lang w:val="da-DK"/>
        </w:rPr>
        <w:t>EUT C 404 af 6.10.2021, s. 129.</w:t>
      </w:r>
    </w:p>
  </w:footnote>
  <w:footnote w:id="12">
    <w:p w14:paraId="1928B676" w14:textId="67C5F94E"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152 af 3.6.2022, s. 1, </w:t>
      </w:r>
      <w:r w:rsidRPr="00364497">
        <w:rPr>
          <w:sz w:val="24"/>
          <w:shd w:val="clear" w:color="auto" w:fill="FFFFFF"/>
          <w:lang w:val="da-DK"/>
        </w:rPr>
        <w:t>ELI: </w:t>
      </w:r>
      <w:r>
        <w:fldChar w:fldCharType="begin"/>
      </w:r>
      <w:r w:rsidRPr="005004A6">
        <w:rPr>
          <w:lang w:val="da-DK"/>
        </w:rPr>
        <w:instrText>HYPERLINK "http://data.europa.eu/eli/reg/2022/868/oj" \o "Giver adgang til dokumentet gennem dets ELI-URI."</w:instrText>
      </w:r>
      <w:r>
        <w:fldChar w:fldCharType="separate"/>
      </w:r>
      <w:r w:rsidRPr="00364497">
        <w:rPr>
          <w:sz w:val="24"/>
          <w:u w:val="single"/>
          <w:shd w:val="clear" w:color="auto" w:fill="FFFFFF"/>
          <w:lang w:val="da-DK"/>
        </w:rPr>
        <w:t>http://data.europa.eu/eli/reg/2022/868/oj</w:t>
      </w:r>
      <w:r>
        <w:fldChar w:fldCharType="end"/>
      </w:r>
      <w:r w:rsidRPr="00364497">
        <w:rPr>
          <w:sz w:val="24"/>
          <w:lang w:val="da-DK"/>
        </w:rPr>
        <w:t>.</w:t>
      </w:r>
    </w:p>
  </w:footnote>
  <w:footnote w:id="13">
    <w:p w14:paraId="49EC9792" w14:textId="06625D9D"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EUT C 23 af 23.1.2023, s. 1.</w:t>
      </w:r>
    </w:p>
  </w:footnote>
  <w:footnote w:id="14">
    <w:p w14:paraId="147F998D" w14:textId="5A9EC338"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 xml:space="preserve">EUT L, 2023/2854, 22.12.2023, </w:t>
      </w:r>
      <w:r w:rsidRPr="00364497">
        <w:rPr>
          <w:sz w:val="24"/>
          <w:shd w:val="clear" w:color="auto" w:fill="FFFFFF"/>
          <w:lang w:val="da-DK"/>
        </w:rPr>
        <w:t>ELI: </w:t>
      </w:r>
      <w:r>
        <w:fldChar w:fldCharType="begin"/>
      </w:r>
      <w:r w:rsidRPr="005004A6">
        <w:rPr>
          <w:lang w:val="da-DK"/>
        </w:rPr>
        <w:instrText>HYPERLINK "http://data.europa.eu/eli/reg/2023/2854/oj" \t "_blank" \o "Giver adgang til dokumentet gennem dets ELI-URI."</w:instrText>
      </w:r>
      <w:r>
        <w:fldChar w:fldCharType="separate"/>
      </w:r>
      <w:r w:rsidRPr="00364497">
        <w:rPr>
          <w:sz w:val="24"/>
          <w:u w:val="single"/>
          <w:lang w:val="da-DK"/>
        </w:rPr>
        <w:t>http://data.europa.eu/eli/reg/2023/2854/oj</w:t>
      </w:r>
      <w:r>
        <w:fldChar w:fldCharType="end"/>
      </w:r>
      <w:r w:rsidRPr="00364497">
        <w:rPr>
          <w:sz w:val="24"/>
          <w:lang w:val="da-DK"/>
        </w:rPr>
        <w:t>.</w:t>
      </w:r>
    </w:p>
  </w:footnote>
  <w:footnote w:id="15">
    <w:p w14:paraId="7E328412" w14:textId="2DBDA5CB" w:rsidR="005F681C" w:rsidRPr="00763CA1" w:rsidRDefault="005F681C" w:rsidP="00364497">
      <w:pPr>
        <w:pStyle w:val="FootnoteText"/>
        <w:ind w:left="567" w:hanging="567"/>
        <w:rPr>
          <w:sz w:val="24"/>
          <w:lang w:val="fr-BE"/>
        </w:rPr>
      </w:pPr>
      <w:r w:rsidRPr="00364497">
        <w:rPr>
          <w:rStyle w:val="FootnoteReference"/>
          <w:sz w:val="24"/>
          <w:lang w:val="da-DK"/>
        </w:rPr>
        <w:footnoteRef/>
      </w:r>
      <w:r w:rsidR="00364497" w:rsidRPr="00763CA1">
        <w:rPr>
          <w:sz w:val="24"/>
          <w:lang w:val="fr-BE"/>
        </w:rPr>
        <w:t xml:space="preserve"> </w:t>
      </w:r>
      <w:r w:rsidR="00364497" w:rsidRPr="00763CA1">
        <w:rPr>
          <w:sz w:val="24"/>
          <w:lang w:val="fr-BE"/>
        </w:rPr>
        <w:tab/>
      </w:r>
      <w:r w:rsidRPr="00763CA1">
        <w:rPr>
          <w:sz w:val="24"/>
          <w:lang w:val="fr-BE"/>
        </w:rPr>
        <w:t>EUT </w:t>
      </w:r>
      <w:r w:rsidR="005004A6">
        <w:rPr>
          <w:sz w:val="24"/>
          <w:lang w:val="fr-BE"/>
        </w:rPr>
        <w:t xml:space="preserve"> </w:t>
      </w:r>
      <w:r w:rsidRPr="00763CA1">
        <w:rPr>
          <w:sz w:val="24"/>
          <w:lang w:val="fr-BE"/>
        </w:rPr>
        <w:t>L</w:t>
      </w:r>
      <w:r w:rsidR="00763CA1" w:rsidRPr="00763CA1">
        <w:rPr>
          <w:sz w:val="24"/>
          <w:lang w:val="fr-BE"/>
        </w:rPr>
        <w:t>,</w:t>
      </w:r>
      <w:r w:rsidR="00862E3E" w:rsidRPr="00763CA1">
        <w:rPr>
          <w:sz w:val="24"/>
          <w:lang w:val="fr-BE"/>
        </w:rPr>
        <w:t xml:space="preserve"> </w:t>
      </w:r>
      <w:r w:rsidR="00763CA1" w:rsidRPr="00763CA1">
        <w:rPr>
          <w:sz w:val="24"/>
          <w:lang w:val="fr-BE"/>
        </w:rPr>
        <w:t>2024/1689</w:t>
      </w:r>
      <w:r w:rsidRPr="00763CA1">
        <w:rPr>
          <w:sz w:val="24"/>
          <w:lang w:val="fr-BE"/>
        </w:rPr>
        <w:t>, 12.7.2024, ELI: </w:t>
      </w:r>
      <w:hyperlink r:id="rId2" w:history="1">
        <w:r w:rsidRPr="00763CA1">
          <w:rPr>
            <w:rStyle w:val="Hyperlink"/>
            <w:sz w:val="24"/>
            <w:lang w:val="fr-BE"/>
          </w:rPr>
          <w:t>http://data.europa.eu/eli/reg/2024/1689/oj</w:t>
        </w:r>
      </w:hyperlink>
      <w:r w:rsidRPr="00763CA1">
        <w:rPr>
          <w:sz w:val="24"/>
          <w:lang w:val="fr-BE"/>
        </w:rPr>
        <w:t>.</w:t>
      </w:r>
    </w:p>
  </w:footnote>
  <w:footnote w:id="16">
    <w:p w14:paraId="1FD14B15" w14:textId="39793BBC"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5004A6">
        <w:rPr>
          <w:sz w:val="24"/>
          <w:lang w:val="en-GB"/>
        </w:rPr>
        <w:t xml:space="preserve"> </w:t>
      </w:r>
      <w:r w:rsidR="00364497" w:rsidRPr="005004A6">
        <w:rPr>
          <w:sz w:val="24"/>
          <w:lang w:val="en-GB"/>
        </w:rPr>
        <w:tab/>
      </w:r>
      <w:r w:rsidRPr="005004A6">
        <w:rPr>
          <w:sz w:val="24"/>
          <w:lang w:val="en-GB"/>
        </w:rPr>
        <w:t xml:space="preserve">Lucchi, N. (2025): "Generative AI and Copyright: Training, Creation, Regulation", ref. </w:t>
      </w:r>
      <w:r w:rsidRPr="00364497">
        <w:rPr>
          <w:sz w:val="24"/>
          <w:lang w:val="da-DK"/>
        </w:rPr>
        <w:t>PE 774.095, Europa-Parlamentet.</w:t>
      </w:r>
    </w:p>
  </w:footnote>
  <w:footnote w:id="17">
    <w:p w14:paraId="3B3A2B49" w14:textId="328BE33D" w:rsidR="005F681C" w:rsidRPr="00364497" w:rsidRDefault="005F681C" w:rsidP="00364497">
      <w:pPr>
        <w:pStyle w:val="FootnoteText"/>
        <w:ind w:left="567" w:hanging="567"/>
        <w:rPr>
          <w:sz w:val="24"/>
          <w:lang w:val="da-DK"/>
        </w:rPr>
      </w:pPr>
      <w:r w:rsidRPr="00364497">
        <w:rPr>
          <w:rStyle w:val="FootnoteReference"/>
          <w:sz w:val="24"/>
          <w:lang w:val="da-DK"/>
        </w:rPr>
        <w:footnoteRef/>
      </w:r>
      <w:r w:rsidR="00364497" w:rsidRPr="00364497">
        <w:rPr>
          <w:sz w:val="24"/>
          <w:lang w:val="da-DK"/>
        </w:rPr>
        <w:t xml:space="preserve"> </w:t>
      </w:r>
      <w:r w:rsidR="00364497" w:rsidRPr="00364497">
        <w:rPr>
          <w:sz w:val="24"/>
          <w:lang w:val="da-DK"/>
        </w:rPr>
        <w:tab/>
      </w:r>
      <w:r w:rsidRPr="00364497">
        <w:rPr>
          <w:sz w:val="24"/>
          <w:lang w:val="da-DK"/>
        </w:rPr>
        <w:t>Europa-Parlamentets og Rådets forordning (EU) 2024/1083 af 11. april 2024 om oprettelse af en fælles ramme for medietjenester i det indre marked og om ændring af direktiv 2010/13/EU (den europæiske forordning om mediefrihed) (EUT L, 2024/1083, 17.4.2024, ELI: </w:t>
      </w:r>
      <w:r>
        <w:fldChar w:fldCharType="begin"/>
      </w:r>
      <w:r w:rsidRPr="005004A6">
        <w:rPr>
          <w:lang w:val="da-DK"/>
        </w:rPr>
        <w:instrText>HYPERLINK "http://data.europa.eu/eli/reg/2024/1083/oj" \t "_blank" \o "Giver adgang til dokumentet gennem dets ELI-URI."</w:instrText>
      </w:r>
      <w:r>
        <w:fldChar w:fldCharType="separate"/>
      </w:r>
      <w:r w:rsidRPr="00364497">
        <w:rPr>
          <w:rStyle w:val="Hyperlink"/>
          <w:sz w:val="24"/>
          <w:lang w:val="da-DK"/>
        </w:rPr>
        <w:t>http://data.europa.eu/eli/reg/2024/1083/oj</w:t>
      </w:r>
      <w:r>
        <w:fldChar w:fldCharType="end"/>
      </w:r>
      <w:r w:rsidRPr="0036449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AECF" w14:textId="77777777" w:rsidR="00064002" w:rsidRPr="003644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F859" w14:textId="77777777" w:rsidR="00064002" w:rsidRPr="003644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99DF" w14:textId="77777777" w:rsidR="00064002" w:rsidRPr="003644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4184295">
    <w:abstractNumId w:val="9"/>
  </w:num>
  <w:num w:numId="2" w16cid:durableId="816532903">
    <w:abstractNumId w:val="9"/>
  </w:num>
  <w:num w:numId="3" w16cid:durableId="1096559502">
    <w:abstractNumId w:val="7"/>
  </w:num>
  <w:num w:numId="4" w16cid:durableId="633829929">
    <w:abstractNumId w:val="7"/>
  </w:num>
  <w:num w:numId="5" w16cid:durableId="1230387559">
    <w:abstractNumId w:val="6"/>
  </w:num>
  <w:num w:numId="6" w16cid:durableId="615715979">
    <w:abstractNumId w:val="6"/>
  </w:num>
  <w:num w:numId="7" w16cid:durableId="51925431">
    <w:abstractNumId w:val="5"/>
  </w:num>
  <w:num w:numId="8" w16cid:durableId="1296327822">
    <w:abstractNumId w:val="5"/>
  </w:num>
  <w:num w:numId="9" w16cid:durableId="88745874">
    <w:abstractNumId w:val="4"/>
  </w:num>
  <w:num w:numId="10" w16cid:durableId="1925871235">
    <w:abstractNumId w:val="4"/>
  </w:num>
  <w:num w:numId="11" w16cid:durableId="1832985918">
    <w:abstractNumId w:val="8"/>
  </w:num>
  <w:num w:numId="12" w16cid:durableId="1970697366">
    <w:abstractNumId w:val="8"/>
  </w:num>
  <w:num w:numId="13" w16cid:durableId="485706218">
    <w:abstractNumId w:val="3"/>
  </w:num>
  <w:num w:numId="14" w16cid:durableId="1285235371">
    <w:abstractNumId w:val="3"/>
  </w:num>
  <w:num w:numId="15" w16cid:durableId="1634797586">
    <w:abstractNumId w:val="2"/>
  </w:num>
  <w:num w:numId="16" w16cid:durableId="468405942">
    <w:abstractNumId w:val="2"/>
  </w:num>
  <w:num w:numId="17" w16cid:durableId="224924335">
    <w:abstractNumId w:val="1"/>
  </w:num>
  <w:num w:numId="18" w16cid:durableId="1893032846">
    <w:abstractNumId w:val="1"/>
  </w:num>
  <w:num w:numId="19" w16cid:durableId="315106447">
    <w:abstractNumId w:val="0"/>
  </w:num>
  <w:num w:numId="20" w16cid:durableId="1003512110">
    <w:abstractNumId w:val="0"/>
  </w:num>
  <w:num w:numId="21" w16cid:durableId="378671645">
    <w:abstractNumId w:val="9"/>
  </w:num>
  <w:num w:numId="22" w16cid:durableId="1104807451">
    <w:abstractNumId w:val="7"/>
  </w:num>
  <w:num w:numId="23" w16cid:durableId="289014667">
    <w:abstractNumId w:val="6"/>
  </w:num>
  <w:num w:numId="24" w16cid:durableId="233858407">
    <w:abstractNumId w:val="5"/>
  </w:num>
  <w:num w:numId="25" w16cid:durableId="672104319">
    <w:abstractNumId w:val="4"/>
  </w:num>
  <w:num w:numId="26" w16cid:durableId="1912158372">
    <w:abstractNumId w:val="8"/>
  </w:num>
  <w:num w:numId="27" w16cid:durableId="1779566371">
    <w:abstractNumId w:val="3"/>
  </w:num>
  <w:num w:numId="28" w16cid:durableId="397555405">
    <w:abstractNumId w:val="2"/>
  </w:num>
  <w:num w:numId="29" w16cid:durableId="1966888975">
    <w:abstractNumId w:val="1"/>
  </w:num>
  <w:num w:numId="30" w16cid:durableId="1948610178">
    <w:abstractNumId w:val="0"/>
  </w:num>
  <w:num w:numId="31" w16cid:durableId="288556920">
    <w:abstractNumId w:val="9"/>
  </w:num>
  <w:num w:numId="32" w16cid:durableId="228805823">
    <w:abstractNumId w:val="7"/>
  </w:num>
  <w:num w:numId="33" w16cid:durableId="1829243291">
    <w:abstractNumId w:val="6"/>
  </w:num>
  <w:num w:numId="34" w16cid:durableId="749035588">
    <w:abstractNumId w:val="5"/>
  </w:num>
  <w:num w:numId="35" w16cid:durableId="1598635679">
    <w:abstractNumId w:val="4"/>
  </w:num>
  <w:num w:numId="36" w16cid:durableId="1954903717">
    <w:abstractNumId w:val="8"/>
  </w:num>
  <w:num w:numId="37" w16cid:durableId="105345935">
    <w:abstractNumId w:val="3"/>
  </w:num>
  <w:num w:numId="38" w16cid:durableId="1520970685">
    <w:abstractNumId w:val="2"/>
  </w:num>
  <w:num w:numId="39" w16cid:durableId="1949119678">
    <w:abstractNumId w:val="1"/>
  </w:num>
  <w:num w:numId="40" w16cid:durableId="260260758">
    <w:abstractNumId w:val="0"/>
  </w:num>
  <w:num w:numId="41" w16cid:durableId="1052660213">
    <w:abstractNumId w:val="10"/>
  </w:num>
  <w:num w:numId="42" w16cid:durableId="1065031701">
    <w:abstractNumId w:val="10"/>
  </w:num>
  <w:num w:numId="43" w16cid:durableId="1623341112">
    <w:abstractNumId w:val="10"/>
  </w:num>
  <w:num w:numId="44" w16cid:durableId="6656722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DA"/>
    <w:docVar w:name="dvnumam" w:val="0"/>
    <w:docVar w:name="dvpe" w:val="775.433"/>
    <w:docVar w:name="dvrapporteur" w:val="Ordfører: "/>
    <w:docVar w:name="dvtitre" w:val="Europa-Parlamentets beslutning af xx. marts 2026 Ophavsret og generativ kunstig intelligens – muligheder og udfordringer(2025/2058(INI))"/>
  </w:docVars>
  <w:rsids>
    <w:rsidRoot w:val="005668E6"/>
    <w:rsid w:val="00002272"/>
    <w:rsid w:val="00064002"/>
    <w:rsid w:val="000677B9"/>
    <w:rsid w:val="000831BA"/>
    <w:rsid w:val="000A42CC"/>
    <w:rsid w:val="000E7DD9"/>
    <w:rsid w:val="0010095E"/>
    <w:rsid w:val="00102914"/>
    <w:rsid w:val="00125B37"/>
    <w:rsid w:val="00187494"/>
    <w:rsid w:val="001F32AE"/>
    <w:rsid w:val="002767FF"/>
    <w:rsid w:val="002B18FE"/>
    <w:rsid w:val="002B5493"/>
    <w:rsid w:val="00343214"/>
    <w:rsid w:val="00361C00"/>
    <w:rsid w:val="00364497"/>
    <w:rsid w:val="00395FA1"/>
    <w:rsid w:val="003A2703"/>
    <w:rsid w:val="003C3F62"/>
    <w:rsid w:val="003E15D4"/>
    <w:rsid w:val="00411CCE"/>
    <w:rsid w:val="0041666E"/>
    <w:rsid w:val="00421060"/>
    <w:rsid w:val="00471C19"/>
    <w:rsid w:val="004867E3"/>
    <w:rsid w:val="00494A28"/>
    <w:rsid w:val="004C0004"/>
    <w:rsid w:val="004C5D52"/>
    <w:rsid w:val="005004A6"/>
    <w:rsid w:val="0050519A"/>
    <w:rsid w:val="005072A1"/>
    <w:rsid w:val="00514517"/>
    <w:rsid w:val="00545827"/>
    <w:rsid w:val="00560270"/>
    <w:rsid w:val="005668E6"/>
    <w:rsid w:val="005C2568"/>
    <w:rsid w:val="005F1B17"/>
    <w:rsid w:val="005F681C"/>
    <w:rsid w:val="006037C0"/>
    <w:rsid w:val="006631B6"/>
    <w:rsid w:val="00680577"/>
    <w:rsid w:val="006F74FA"/>
    <w:rsid w:val="00731ADD"/>
    <w:rsid w:val="00734777"/>
    <w:rsid w:val="00747932"/>
    <w:rsid w:val="00751A4A"/>
    <w:rsid w:val="00756632"/>
    <w:rsid w:val="00762C74"/>
    <w:rsid w:val="00763CA1"/>
    <w:rsid w:val="00786EC0"/>
    <w:rsid w:val="007D1690"/>
    <w:rsid w:val="007E22AD"/>
    <w:rsid w:val="0081079A"/>
    <w:rsid w:val="00817416"/>
    <w:rsid w:val="00842779"/>
    <w:rsid w:val="0085270B"/>
    <w:rsid w:val="00862E3E"/>
    <w:rsid w:val="00865F67"/>
    <w:rsid w:val="00881A7B"/>
    <w:rsid w:val="008840E5"/>
    <w:rsid w:val="00887B3E"/>
    <w:rsid w:val="00895E4A"/>
    <w:rsid w:val="008C2AC6"/>
    <w:rsid w:val="008F6301"/>
    <w:rsid w:val="00930C23"/>
    <w:rsid w:val="0093193B"/>
    <w:rsid w:val="009509D8"/>
    <w:rsid w:val="00950B64"/>
    <w:rsid w:val="00962B5F"/>
    <w:rsid w:val="009739EF"/>
    <w:rsid w:val="00981893"/>
    <w:rsid w:val="00A1687D"/>
    <w:rsid w:val="00A43E52"/>
    <w:rsid w:val="00A4678D"/>
    <w:rsid w:val="00A5249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469"/>
    <w:rsid w:val="00CF071A"/>
    <w:rsid w:val="00D058B8"/>
    <w:rsid w:val="00D56C11"/>
    <w:rsid w:val="00D71D5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F1E2A"/>
  <w15:chartTrackingRefBased/>
  <w15:docId w15:val="{29B848E1-DC7A-4212-812B-3186053E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5F681C"/>
    <w:rPr>
      <w:sz w:val="24"/>
      <w:lang w:val="fr-FR" w:eastAsia="fr-FR"/>
    </w:rPr>
  </w:style>
  <w:style w:type="paragraph" w:customStyle="1" w:styleId="NormalHanging12a">
    <w:name w:val="NormalHanging12a"/>
    <w:basedOn w:val="Normal"/>
    <w:link w:val="NormalHanging12aChar"/>
    <w:rsid w:val="005F681C"/>
    <w:pPr>
      <w:spacing w:after="240"/>
      <w:ind w:left="567" w:hanging="567"/>
    </w:pPr>
  </w:style>
  <w:style w:type="paragraph" w:customStyle="1" w:styleId="EPComma">
    <w:name w:val="EPComma"/>
    <w:basedOn w:val="Normal"/>
    <w:rsid w:val="005F681C"/>
    <w:pPr>
      <w:spacing w:before="480" w:after="240"/>
    </w:pPr>
  </w:style>
  <w:style w:type="character" w:styleId="Hyperlink">
    <w:name w:val="Hyperlink"/>
    <w:basedOn w:val="DefaultParagraphFont"/>
    <w:unhideWhenUsed/>
    <w:rsid w:val="005F681C"/>
    <w:rPr>
      <w:color w:val="0563C1" w:themeColor="hyperlink"/>
      <w:u w:val="single"/>
    </w:rPr>
  </w:style>
  <w:style w:type="character" w:customStyle="1" w:styleId="cf01">
    <w:name w:val="cf01"/>
    <w:basedOn w:val="DefaultParagraphFont"/>
    <w:rsid w:val="005F681C"/>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5F681C"/>
    <w:rPr>
      <w:sz w:val="24"/>
      <w:lang w:val="da-DK"/>
    </w:rPr>
  </w:style>
  <w:style w:type="character" w:styleId="Emphasis">
    <w:name w:val="Emphasis"/>
    <w:basedOn w:val="DefaultParagraphFont"/>
    <w:uiPriority w:val="20"/>
    <w:qFormat/>
    <w:rsid w:val="005F681C"/>
    <w:rPr>
      <w:i/>
      <w:iCs/>
    </w:rPr>
  </w:style>
  <w:style w:type="character" w:styleId="FollowedHyperlink">
    <w:name w:val="FollowedHyperlink"/>
    <w:basedOn w:val="DefaultParagraphFont"/>
    <w:rsid w:val="00895E4A"/>
    <w:rPr>
      <w:color w:val="954F72" w:themeColor="followedHyperlink"/>
      <w:u w:val="single"/>
    </w:rPr>
  </w:style>
  <w:style w:type="paragraph" w:styleId="Revision">
    <w:name w:val="Revision"/>
    <w:hidden/>
    <w:uiPriority w:val="99"/>
    <w:semiHidden/>
    <w:rsid w:val="00895E4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689/oj" TargetMode="External"/><Relationship Id="rId1" Type="http://schemas.openxmlformats.org/officeDocument/2006/relationships/hyperlink" Target="http://data.europa.eu/eli/dir/199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6729</Words>
  <Characters>42216</Characters>
  <Application>Microsoft Office Word</Application>
  <DocSecurity>4</DocSecurity>
  <Lines>351</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ILLY_D</cp:lastModifiedBy>
  <cp:revision>2</cp:revision>
  <cp:lastPrinted>2004-11-19T15:42:00Z</cp:lastPrinted>
  <dcterms:created xsi:type="dcterms:W3CDTF">2026-06-08T15:35:00Z</dcterms:created>
  <dcterms:modified xsi:type="dcterms:W3CDTF">2026-06-08T15:35:00Z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P10_TA-PROV(2026)0066_A10-0019_2026_</vt:lpwstr>
  </property>
  <property fmtid="{D5CDD505-2E9C-101B-9397-08002B2CF9AE}" pid="4" name="&lt;Type&gt;">
    <vt:lpwstr>RR</vt:lpwstr>
  </property>
</Properties>
</file>