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2967" w14:paraId="35F4F2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2EA20A" w14:textId="77777777" w:rsidR="00751A4A" w:rsidRPr="00DB2967" w:rsidRDefault="00DB1E4F" w:rsidP="0010095E">
            <w:pPr>
              <w:pStyle w:val="EPName"/>
            </w:pPr>
            <w:r w:rsidRPr="00DB2967">
              <w:t>Europski parlament</w:t>
            </w:r>
          </w:p>
          <w:p w14:paraId="200B14FA" w14:textId="77777777" w:rsidR="00751A4A" w:rsidRPr="00DB29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2967">
              <w:t>2024</w:t>
            </w:r>
            <w:r w:rsidR="00817416" w:rsidRPr="00DB2967">
              <w:t>-202</w:t>
            </w:r>
            <w:r w:rsidRPr="00DB2967">
              <w:t>9</w:t>
            </w:r>
          </w:p>
        </w:tc>
        <w:tc>
          <w:tcPr>
            <w:tcW w:w="2268" w:type="dxa"/>
            <w:shd w:val="clear" w:color="auto" w:fill="auto"/>
          </w:tcPr>
          <w:p w14:paraId="64308F43" w14:textId="77777777" w:rsidR="00751A4A" w:rsidRPr="00DB2967" w:rsidRDefault="00187494" w:rsidP="0010095E">
            <w:pPr>
              <w:pStyle w:val="EPLogo"/>
            </w:pPr>
            <w:r w:rsidRPr="00DB2967">
              <w:rPr>
                <w:noProof/>
                <w:lang w:eastAsia="ja-JP"/>
              </w:rPr>
              <w:drawing>
                <wp:inline distT="0" distB="0" distL="0" distR="0" wp14:anchorId="330E5484" wp14:editId="47CD09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34271" w14:textId="77777777" w:rsidR="00D058B8" w:rsidRPr="00DB2967" w:rsidRDefault="00D058B8" w:rsidP="004C5D52">
      <w:pPr>
        <w:pStyle w:val="LineTop"/>
      </w:pPr>
    </w:p>
    <w:p w14:paraId="45189C4D" w14:textId="77777777" w:rsidR="00680577" w:rsidRPr="00DB2967" w:rsidRDefault="00DB1E4F" w:rsidP="00680577">
      <w:pPr>
        <w:pStyle w:val="EPBodyTA1"/>
      </w:pPr>
      <w:r w:rsidRPr="00DB2967">
        <w:t>USVOJENI TEKSTOVI</w:t>
      </w:r>
    </w:p>
    <w:p w14:paraId="5C31191A" w14:textId="77777777" w:rsidR="00D058B8" w:rsidRPr="00DB2967" w:rsidRDefault="00D058B8" w:rsidP="00D058B8">
      <w:pPr>
        <w:pStyle w:val="LineBottom"/>
      </w:pPr>
    </w:p>
    <w:p w14:paraId="629CE032" w14:textId="6F8BCA82" w:rsidR="00DB1E4F" w:rsidRPr="00DB2967" w:rsidRDefault="00DB1E4F" w:rsidP="00DB1E4F">
      <w:pPr>
        <w:pStyle w:val="ATHeading1"/>
      </w:pPr>
      <w:bookmarkStart w:id="0" w:name="TANumber"/>
      <w:r w:rsidRPr="00DB2967">
        <w:t>P10_TA(2026)00</w:t>
      </w:r>
      <w:r w:rsidR="00513BFC">
        <w:t>67</w:t>
      </w:r>
      <w:bookmarkEnd w:id="0"/>
    </w:p>
    <w:p w14:paraId="3751D1A1" w14:textId="77777777" w:rsidR="00DB1E4F" w:rsidRPr="00DB2967" w:rsidRDefault="00DB1E4F" w:rsidP="00DB1E4F">
      <w:pPr>
        <w:pStyle w:val="ATHeading2"/>
      </w:pPr>
      <w:bookmarkStart w:id="1" w:name="title"/>
      <w:r w:rsidRPr="00DB2967">
        <w:t>Pristupi upravljanju ribarstvom za zaštitu osjetljivih vrsta, rješavanje problema invazivnih vrsta i ostvarivanje koristi za lokalna gospodarstva</w:t>
      </w:r>
      <w:bookmarkEnd w:id="1"/>
    </w:p>
    <w:p w14:paraId="58E3E3CE" w14:textId="77777777" w:rsidR="00DB1E4F" w:rsidRPr="00DB2967" w:rsidRDefault="00DB1E4F" w:rsidP="00DB1E4F">
      <w:pPr>
        <w:rPr>
          <w:i/>
          <w:vanish/>
        </w:rPr>
      </w:pPr>
      <w:r w:rsidRPr="00DB2967">
        <w:rPr>
          <w:i/>
        </w:rPr>
        <w:fldChar w:fldCharType="begin"/>
      </w:r>
      <w:r w:rsidRPr="00DB2967">
        <w:rPr>
          <w:i/>
        </w:rPr>
        <w:instrText xml:space="preserve"> TC"(</w:instrText>
      </w:r>
      <w:bookmarkStart w:id="2" w:name="DocNumber"/>
      <w:r w:rsidRPr="00DB2967">
        <w:rPr>
          <w:i/>
        </w:rPr>
        <w:instrText>A10-0018/2026</w:instrText>
      </w:r>
      <w:bookmarkEnd w:id="2"/>
      <w:r w:rsidRPr="00DB2967">
        <w:rPr>
          <w:i/>
        </w:rPr>
        <w:instrText xml:space="preserve"> - Izvjestitelj: André Rodrigues)"\l3 \n&gt; \* MERGEFORMAT </w:instrText>
      </w:r>
      <w:r w:rsidRPr="00DB2967">
        <w:rPr>
          <w:i/>
        </w:rPr>
        <w:fldChar w:fldCharType="end"/>
      </w:r>
    </w:p>
    <w:p w14:paraId="39A73944" w14:textId="77777777" w:rsidR="00DB1E4F" w:rsidRPr="00DB2967" w:rsidRDefault="00DB1E4F" w:rsidP="00DB1E4F">
      <w:pPr>
        <w:rPr>
          <w:vanish/>
        </w:rPr>
      </w:pPr>
      <w:bookmarkStart w:id="3" w:name="Commission"/>
      <w:r w:rsidRPr="00DB2967">
        <w:rPr>
          <w:vanish/>
        </w:rPr>
        <w:t>Odbor za ribarstvo</w:t>
      </w:r>
      <w:bookmarkEnd w:id="3"/>
    </w:p>
    <w:p w14:paraId="5F4CC0F7" w14:textId="77777777" w:rsidR="00DB1E4F" w:rsidRPr="00DB2967" w:rsidRDefault="00DB1E4F" w:rsidP="00DB1E4F">
      <w:pPr>
        <w:rPr>
          <w:vanish/>
        </w:rPr>
      </w:pPr>
      <w:bookmarkStart w:id="4" w:name="PE"/>
      <w:r w:rsidRPr="00DB2967">
        <w:rPr>
          <w:vanish/>
        </w:rPr>
        <w:t>PE769.962</w:t>
      </w:r>
      <w:bookmarkEnd w:id="4"/>
    </w:p>
    <w:p w14:paraId="1E93A6B7" w14:textId="233EC6CE" w:rsidR="00DB1E4F" w:rsidRPr="00DB2967" w:rsidRDefault="00DB1E4F" w:rsidP="00DB1E4F">
      <w:pPr>
        <w:pStyle w:val="ATHeading3"/>
      </w:pPr>
      <w:bookmarkStart w:id="5" w:name="Sujet"/>
      <w:r w:rsidRPr="00DB2967">
        <w:t xml:space="preserve">Rezolucija Europskog parlamenta od </w:t>
      </w:r>
      <w:r w:rsidR="00DB2967" w:rsidRPr="00DB2967">
        <w:t>10</w:t>
      </w:r>
      <w:r w:rsidRPr="00DB2967">
        <w:t xml:space="preserve">. </w:t>
      </w:r>
      <w:r w:rsidR="00DB2967" w:rsidRPr="00DB2967">
        <w:t xml:space="preserve">ožujka </w:t>
      </w:r>
      <w:r w:rsidRPr="00DB2967">
        <w:t>2026. o pristupima upravljanju ribarstvom za zaštitu osjetljivih vrsta, rješavanju problema invazivnih vrsta i ostvarivanju koristi za lokalna gospodarstva</w:t>
      </w:r>
      <w:bookmarkEnd w:id="5"/>
      <w:r w:rsidRPr="00DB2967">
        <w:t xml:space="preserve"> </w:t>
      </w:r>
      <w:bookmarkStart w:id="6" w:name="References"/>
      <w:r w:rsidRPr="00DB2967">
        <w:t>(2025/2011(INI))</w:t>
      </w:r>
      <w:bookmarkEnd w:id="6"/>
    </w:p>
    <w:p w14:paraId="3ADE7EAA" w14:textId="77777777" w:rsidR="007151F2" w:rsidRPr="00DB2967" w:rsidRDefault="007151F2" w:rsidP="007151F2">
      <w:pPr>
        <w:pStyle w:val="EPComma"/>
      </w:pPr>
      <w:r w:rsidRPr="00DB2967">
        <w:rPr>
          <w:rStyle w:val="Italic"/>
        </w:rPr>
        <w:t>Europski parlament,</w:t>
      </w:r>
      <w:r w:rsidRPr="00DB2967">
        <w:t>,</w:t>
      </w:r>
    </w:p>
    <w:p w14:paraId="04AE01EC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Ugovor o funkcioniranju Europske unije, a posebno njegov članak 43.,</w:t>
      </w:r>
    </w:p>
    <w:p w14:paraId="228C7D1F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 xml:space="preserve">uzimajući u obzir Uredbu (EU) br. 1380/2013 Europskog parlamenta i Vijeća od 11. prosinca 2013. o zajedničkoj </w:t>
      </w:r>
      <w:proofErr w:type="spellStart"/>
      <w:r w:rsidRPr="00DB2967">
        <w:t>ribarstvenoj</w:t>
      </w:r>
      <w:proofErr w:type="spellEnd"/>
      <w:r w:rsidRPr="00DB2967">
        <w:t xml:space="preserve"> politici, izmjeni uredaba Vijeća (EZ) br. 1954/2003 i (EZ) br. 1224/2009 i stavljanju izvan snage uredaba Vijeća (EZ) br. 2371/2002 i (EZ) br. 639/2004 i Odluke Vijeća 2004/585/EZ</w:t>
      </w:r>
      <w:r w:rsidRPr="00DB2967">
        <w:rPr>
          <w:rStyle w:val="FootnoteReference"/>
        </w:rPr>
        <w:footnoteReference w:id="1"/>
      </w:r>
      <w:r w:rsidRPr="00DB2967">
        <w:t xml:space="preserve"> (Uredba o ZRP-u),</w:t>
      </w:r>
    </w:p>
    <w:p w14:paraId="02A8E58F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Uredbu (EU) br. 1143/2014 Europskog parlamenta i Vijeća od 22. listopada 2014. o sprječavanju i upravljanju unošenja i širenja invazivnih stranih vrsta („Uredba o invazivnim vrstama”)</w:t>
      </w:r>
      <w:r w:rsidRPr="00DB2967">
        <w:rPr>
          <w:rStyle w:val="FootnoteReference"/>
        </w:rPr>
        <w:footnoteReference w:id="2"/>
      </w:r>
      <w:r w:rsidRPr="00DB2967">
        <w:t>,</w:t>
      </w:r>
    </w:p>
    <w:p w14:paraId="247B4384" w14:textId="42DE4A8F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Uredbu (E</w:t>
      </w:r>
      <w:r w:rsidR="003E23B3">
        <w:t>Z</w:t>
      </w:r>
      <w:r w:rsidRPr="00DB2967">
        <w:t>) br. 1007/2009 Europskog parlamenta i Vijeća od 16. rujna 2009. o trgovini proizvodima od tuljana</w:t>
      </w:r>
      <w:r w:rsidRPr="00DB2967">
        <w:rPr>
          <w:rStyle w:val="FootnoteReference"/>
          <w:bCs/>
          <w:iCs/>
        </w:rPr>
        <w:footnoteReference w:id="3"/>
      </w:r>
      <w:r w:rsidRPr="00DB2967">
        <w:t>,</w:t>
      </w:r>
    </w:p>
    <w:p w14:paraId="27D9EB02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 xml:space="preserve">uzimajući u obzir Uredbu Vijeća (EZ) br. 1224/2009 od 20. studenoga 2009. o uspostavi sustava kontrole Zajednice za osiguranje sukladnosti s pravilima zajedničke </w:t>
      </w:r>
      <w:proofErr w:type="spellStart"/>
      <w:r w:rsidRPr="00DB2967">
        <w:t>ribarstvene</w:t>
      </w:r>
      <w:proofErr w:type="spellEnd"/>
      <w:r w:rsidRPr="00DB2967">
        <w:t xml:space="preserve"> politike, o izmjeni uredbi (EZ) br. 847/96, (EZ) br. 2371/2002, (EZ) br. 811/2004, (EZ) br. 768/2005, (EZ) br. 2115/2005, (EZ) br. 2166/2005, (EZ) br. 388/2006, (EZ) br. 509/2007, (EZ) br. 676/2007, (EZ) br. 1098/2007, (EZ) </w:t>
      </w:r>
      <w:r w:rsidRPr="00DB2967">
        <w:lastRenderedPageBreak/>
        <w:t>br. 1300/2008, (EZ) br. 1342/2008 i o stavljanju izvan snage uredbi (EEZ) br. 2847/93, (EZ) br. 1627/94 i (EZ) br. 1966/2006</w:t>
      </w:r>
      <w:r w:rsidRPr="00DB2967">
        <w:rPr>
          <w:rStyle w:val="FootnoteReference"/>
        </w:rPr>
        <w:footnoteReference w:id="4"/>
      </w:r>
      <w:r w:rsidRPr="00DB2967">
        <w:t xml:space="preserve"> (Uredba o kontroli ribarstva),</w:t>
      </w:r>
    </w:p>
    <w:p w14:paraId="6E198437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Uredbu (EU) 2019/1241 Europskog parlamenta i Vijeća od 20. lipnja 2019. o očuvanju ribolovnih resursa i zaštiti morskih ekosustava putem tehničkih mjera, o izmjeni uredbi Vijeća (EZ) br. 1967/2006, (EZ) br. 1224/2009 i uredbi (EU) br. 1380/2013, (EU) 2016/1139, (EU) 2018/973, (EU) 2019/472 i (EU) 2019/1022 Europskog parlamenta i Vijeća te o stavljanju izvan snage uredbi Vijeća (EZ) br. 894/97, (EZ) br. 850/98, (EZ) br. 2549/2000, (EZ) br. 254/2002, (EZ) br. 812/2004 i (EZ) br. 2187/2005</w:t>
      </w:r>
      <w:r w:rsidRPr="00DB2967">
        <w:rPr>
          <w:rStyle w:val="FootnoteReference"/>
          <w:bCs/>
          <w:iCs/>
        </w:rPr>
        <w:footnoteReference w:id="5"/>
      </w:r>
      <w:r w:rsidRPr="00DB2967">
        <w:t>,</w:t>
      </w:r>
    </w:p>
    <w:p w14:paraId="63F21FAC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–</w:t>
      </w:r>
      <w:r w:rsidRPr="00DB2967">
        <w:tab/>
        <w:t>uzimajući u obzir Uredbu (EU) 2023/2842 Europskog parlamenta i Vijeća od 22. studenoga 2023. o izmjeni Uredbe Vijeća (EZ) br. 1224/2009 i o izmjeni uredbi Vijeća (EZ) br. 1967/2006 i (EZ) br. 1005/2008 te uredbi (EU) 2016/1139, (EU) 2017/2403 i (EU) 2019/473 Europskog parlamenta i Vijeća u pogledu kontrole ribarstva</w:t>
      </w:r>
      <w:r w:rsidRPr="00DB2967">
        <w:rPr>
          <w:rStyle w:val="FootnoteReference"/>
          <w:bCs/>
          <w:iCs/>
        </w:rPr>
        <w:footnoteReference w:id="6"/>
      </w:r>
      <w:r w:rsidRPr="00DB2967">
        <w:t>,</w:t>
      </w:r>
    </w:p>
    <w:p w14:paraId="5AB606B0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rPr>
          <w:snapToGrid/>
        </w:rPr>
        <w:t>–</w:t>
      </w:r>
      <w:r w:rsidRPr="00DB2967">
        <w:tab/>
      </w:r>
      <w:r w:rsidRPr="00DB2967">
        <w:rPr>
          <w:snapToGrid/>
        </w:rPr>
        <w:t>uzimajući u obzir Uredbu (EU) 2024/1991 Europskog parlamenta i Vijeća od 24. lipnja 2024. o obnovi prirode i izmjeni Uredbe (EU) 2022</w:t>
      </w:r>
      <w:r w:rsidRPr="00DB2967">
        <w:t>/869</w:t>
      </w:r>
      <w:r w:rsidRPr="00DB2967">
        <w:rPr>
          <w:vertAlign w:val="superscript"/>
        </w:rPr>
        <w:footnoteReference w:id="7"/>
      </w:r>
      <w:r w:rsidRPr="00DB2967">
        <w:t>,</w:t>
      </w:r>
    </w:p>
    <w:p w14:paraId="142B7BC9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Direktivu Vijeća 92/43/EEZ od 21. svibnja 1992. o očuvanju prirodnih staništa i divlje faune i flore</w:t>
      </w:r>
      <w:r w:rsidRPr="00DB2967">
        <w:rPr>
          <w:rStyle w:val="FootnoteReference"/>
        </w:rPr>
        <w:footnoteReference w:id="8"/>
      </w:r>
      <w:r w:rsidRPr="00DB2967">
        <w:t xml:space="preserve"> (Direktiva o staništima),</w:t>
      </w:r>
    </w:p>
    <w:p w14:paraId="63388C6F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Direktivu 2008/56/EZ Europskog parlamenta i Vijeća od 17. lipnja 2008. o uspostavljanju okvira za djelovanje Zajednice u području politike morskog okoliša (Okvirna direktiva o pomorskoj strategiji)</w:t>
      </w:r>
      <w:r w:rsidRPr="00DB2967">
        <w:rPr>
          <w:rStyle w:val="FootnoteReference"/>
        </w:rPr>
        <w:footnoteReference w:id="9"/>
      </w:r>
      <w:r w:rsidRPr="00DB2967">
        <w:t>,</w:t>
      </w:r>
    </w:p>
    <w:p w14:paraId="0B7063EE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Direktivu 2009/147/EZ Europskog parlamenta i Vijeća od 30. studenoga 2009. o očuvanju divljih ptica</w:t>
      </w:r>
      <w:r w:rsidRPr="00DB2967">
        <w:rPr>
          <w:rStyle w:val="FootnoteReference"/>
        </w:rPr>
        <w:footnoteReference w:id="10"/>
      </w:r>
      <w:r w:rsidRPr="00DB2967">
        <w:t xml:space="preserve"> (Direktiva o pticama),</w:t>
      </w:r>
    </w:p>
    <w:p w14:paraId="71B6609F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svoju Rezoluciju od 9. lipnja 2021. o Strategiji EU-a za bioraznolikost do 2030.: Vraćanje prirode u naše živote</w:t>
      </w:r>
      <w:r w:rsidRPr="00DB2967">
        <w:rPr>
          <w:rStyle w:val="FootnoteReference"/>
        </w:rPr>
        <w:footnoteReference w:id="11"/>
      </w:r>
      <w:r w:rsidRPr="00DB2967">
        <w:t>,</w:t>
      </w:r>
    </w:p>
    <w:p w14:paraId="7CA5B8AE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svoju Rezoluciju od 11. svibnja 2023. naslovljenu „Za snažan i održiv sektor algi u Uniji”</w:t>
      </w:r>
      <w:r w:rsidRPr="00DB2967">
        <w:rPr>
          <w:rStyle w:val="FootnoteReference"/>
        </w:rPr>
        <w:footnoteReference w:id="12"/>
      </w:r>
      <w:r w:rsidRPr="00DB2967">
        <w:t>,</w:t>
      </w:r>
    </w:p>
    <w:p w14:paraId="7CAAF467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 xml:space="preserve">uzimajući u obzir svoju Rezoluciju od 18. siječnja 2024. o trenutačnom stanju provedbe zajedničke </w:t>
      </w:r>
      <w:proofErr w:type="spellStart"/>
      <w:r w:rsidRPr="00DB2967">
        <w:t>ribarstvene</w:t>
      </w:r>
      <w:proofErr w:type="spellEnd"/>
      <w:r w:rsidRPr="00DB2967">
        <w:t xml:space="preserve"> politike i budućim perspektivama</w:t>
      </w:r>
      <w:r w:rsidRPr="00DB2967">
        <w:rPr>
          <w:rStyle w:val="FootnoteReference"/>
          <w:bCs/>
          <w:iCs/>
        </w:rPr>
        <w:footnoteReference w:id="13"/>
      </w:r>
      <w:r w:rsidRPr="00DB2967">
        <w:t>,</w:t>
      </w:r>
    </w:p>
    <w:p w14:paraId="456F03BC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 xml:space="preserve">uzimajući u obzir ciljeve održivog razvoja Ujedinjenih naroda, a posebno cilj br. 14: Život u vodi, cilj održivog razvoja br. 15: Život na kopnu, cilj održivog razvoja br. 1: </w:t>
      </w:r>
      <w:r w:rsidRPr="00DB2967">
        <w:lastRenderedPageBreak/>
        <w:t>Iskorjenjivanje siromaštva, cilj održivog razvoja br. 2: Iskorjenjivanje gladi i cilj održivog razvoja br. 11: Održivi gradovi i zajednice,</w:t>
      </w:r>
    </w:p>
    <w:p w14:paraId="4EEF27ED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–</w:t>
      </w:r>
      <w:r w:rsidRPr="00DB2967">
        <w:tab/>
        <w:t xml:space="preserve">uzimajući u obzir Globalni okvir za bioraznolikost iz </w:t>
      </w:r>
      <w:proofErr w:type="spellStart"/>
      <w:r w:rsidRPr="00DB2967">
        <w:t>Kunminga</w:t>
      </w:r>
      <w:proofErr w:type="spellEnd"/>
      <w:r w:rsidRPr="00DB2967">
        <w:t xml:space="preserve"> i Montreala,</w:t>
      </w:r>
    </w:p>
    <w:p w14:paraId="47DB86C3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 xml:space="preserve">uzimajući u obzir Međunarodnu konvenciju o nadzoru i upravljanju brodskim balastnim vodama i </w:t>
      </w:r>
      <w:proofErr w:type="spellStart"/>
      <w:r w:rsidRPr="00DB2967">
        <w:t>talozima</w:t>
      </w:r>
      <w:proofErr w:type="spellEnd"/>
      <w:r w:rsidRPr="00DB2967">
        <w:t>,</w:t>
      </w:r>
    </w:p>
    <w:p w14:paraId="4BCDD49C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članak 55. Poslovnika,</w:t>
      </w:r>
    </w:p>
    <w:p w14:paraId="3262427C" w14:textId="77777777" w:rsidR="007151F2" w:rsidRPr="00DB2967" w:rsidRDefault="007151F2" w:rsidP="007151F2">
      <w:pPr>
        <w:pStyle w:val="NormalHanging12a"/>
      </w:pPr>
      <w:r w:rsidRPr="00DB2967">
        <w:t>–</w:t>
      </w:r>
      <w:r w:rsidRPr="00DB2967">
        <w:tab/>
        <w:t>uzimajući u obzir izvješće Odbora za ribarstvo (A10-0018/2026),</w:t>
      </w:r>
    </w:p>
    <w:p w14:paraId="7E9D5267" w14:textId="77777777" w:rsidR="007151F2" w:rsidRPr="00DB2967" w:rsidRDefault="007151F2" w:rsidP="007151F2">
      <w:pPr>
        <w:pStyle w:val="NormalHanging12a"/>
      </w:pPr>
      <w:r w:rsidRPr="00DB2967">
        <w:t>A.</w:t>
      </w:r>
      <w:r w:rsidRPr="00DB2967">
        <w:tab/>
        <w:t>budući da EU već dugo prepoznaje važnost održivog ribarstva i pristupa upravljanju ribarstvom koji se temelje na ekosustavima u očuvanju morske bioraznolikosti, među ostalim zaštite osjetljivih vrsta, podupiranja lokalnih gospodarstava i osiguravanja održivih prehrambenih sustava;</w:t>
      </w:r>
    </w:p>
    <w:p w14:paraId="746F44EE" w14:textId="77777777" w:rsidR="007151F2" w:rsidRPr="00DB2967" w:rsidRDefault="007151F2" w:rsidP="007151F2">
      <w:pPr>
        <w:pStyle w:val="NormalHanging12a"/>
      </w:pPr>
      <w:r w:rsidRPr="00DB2967">
        <w:t>B.</w:t>
      </w:r>
      <w:r w:rsidRPr="00DB2967">
        <w:tab/>
        <w:t>budući da je EU proveo nekoliko regulatornih okvira za oporavak i zaštitu osjetljivih morskih vrsta;</w:t>
      </w:r>
    </w:p>
    <w:p w14:paraId="6BB4670E" w14:textId="77777777" w:rsidR="007151F2" w:rsidRPr="00DB2967" w:rsidRDefault="007151F2" w:rsidP="007151F2">
      <w:pPr>
        <w:pStyle w:val="NormalHanging12a"/>
      </w:pPr>
      <w:r w:rsidRPr="00DB2967">
        <w:t>C.</w:t>
      </w:r>
      <w:r w:rsidRPr="00DB2967">
        <w:tab/>
        <w:t>budući da EU integrira zaštitu i oporavak osjetljivih vrsta u druge pravne okvire, kao što je nedavno revidirana Uredba o kontroli ribarstva, čime se osigurava sveobuhvatan pristup prikupljanju podataka koji će se upotrebljavati za očuvanje osjetljivih vrsta;</w:t>
      </w:r>
    </w:p>
    <w:p w14:paraId="02E26306" w14:textId="77777777" w:rsidR="007151F2" w:rsidRPr="00DB2967" w:rsidRDefault="007151F2" w:rsidP="007151F2">
      <w:pPr>
        <w:pStyle w:val="NormalHanging12a"/>
      </w:pPr>
      <w:r w:rsidRPr="00DB2967">
        <w:t>D.</w:t>
      </w:r>
      <w:r w:rsidRPr="00DB2967">
        <w:tab/>
        <w:t>budući da Međunarodna unija za očuvanje prirode (IUCN) objavljuje crveni popis, sveobuhvatan popis stanja očuvanosti vrsta, pružajući ključne informacije o delikatnom stanju osjetljivih morskih vrsta i ističući potrebne napore za očuvanje;</w:t>
      </w:r>
    </w:p>
    <w:p w14:paraId="41FD960D" w14:textId="77777777" w:rsidR="007151F2" w:rsidRPr="00DB2967" w:rsidRDefault="007151F2" w:rsidP="007151F2">
      <w:pPr>
        <w:pStyle w:val="NormalHanging12a"/>
      </w:pPr>
      <w:r w:rsidRPr="00DB2967">
        <w:t>E.</w:t>
      </w:r>
      <w:r w:rsidRPr="00DB2967">
        <w:tab/>
        <w:t>budući da usputni ulov osjetljivih vrsta predstavlja veliku prijetnju morskoj bioraznolikosti, kako je prepoznata u međunarodnim i regionalnim konvencijama te u zakonodavstvu EU-a;</w:t>
      </w:r>
    </w:p>
    <w:p w14:paraId="38724565" w14:textId="77777777" w:rsidR="007151F2" w:rsidRPr="00DB2967" w:rsidRDefault="007151F2" w:rsidP="007151F2">
      <w:pPr>
        <w:pStyle w:val="NormalHanging12a"/>
      </w:pPr>
      <w:r w:rsidRPr="00DB2967">
        <w:t>F.</w:t>
      </w:r>
      <w:r w:rsidRPr="00DB2967">
        <w:tab/>
        <w:t>budući da su morske ptice jedan od pokazatelja zdravlja morskih ekosustava s obzirom na njihovu ulogu glavnoga grabežljivaca u morskom prehrambenom lancu;</w:t>
      </w:r>
    </w:p>
    <w:p w14:paraId="12DD07EA" w14:textId="77777777" w:rsidR="007151F2" w:rsidRPr="00DB2967" w:rsidRDefault="007151F2" w:rsidP="007151F2">
      <w:pPr>
        <w:pStyle w:val="NormalHanging12a"/>
      </w:pPr>
      <w:r w:rsidRPr="00DB2967">
        <w:t>G.</w:t>
      </w:r>
      <w:r w:rsidRPr="00DB2967">
        <w:tab/>
        <w:t>budući da dionici surađuju u nekoliko projekata kako bi isprobali nove metode upravljanja i alate za smanjenje razine usputnog i slučajnog ulova osjetljivih vrsta tijekom ribolovnih operacija;</w:t>
      </w:r>
    </w:p>
    <w:p w14:paraId="448555C7" w14:textId="6F75B165" w:rsidR="007151F2" w:rsidRPr="00DB2967" w:rsidRDefault="007151F2" w:rsidP="007151F2">
      <w:pPr>
        <w:pStyle w:val="NormalHanging12a"/>
      </w:pPr>
      <w:r w:rsidRPr="00DB2967">
        <w:t>H.</w:t>
      </w:r>
      <w:r w:rsidRPr="00DB2967">
        <w:tab/>
        <w:t>budući da su podaci koje je Europska agencija za okoliš objavila 2025.</w:t>
      </w:r>
      <w:r w:rsidRPr="00DB2967">
        <w:rPr>
          <w:rStyle w:val="FootnoteReference"/>
          <w:bCs/>
          <w:iCs/>
        </w:rPr>
        <w:footnoteReference w:id="14"/>
      </w:r>
      <w:r w:rsidRPr="00513BFC">
        <w:rPr>
          <w:rStyle w:val="FootnoteReference"/>
          <w:bCs/>
          <w:iCs/>
          <w:vertAlign w:val="baseline"/>
        </w:rPr>
        <w:t xml:space="preserve"> </w:t>
      </w:r>
      <w:r w:rsidRPr="00DB2967">
        <w:t>pokazali da zaštićena morska područja čine 13,7 % voda EU-a;</w:t>
      </w:r>
    </w:p>
    <w:p w14:paraId="4A388EDB" w14:textId="11235F43" w:rsidR="007151F2" w:rsidRPr="00DB2967" w:rsidRDefault="007151F2" w:rsidP="007151F2">
      <w:pPr>
        <w:pStyle w:val="NormalHanging12a"/>
      </w:pPr>
      <w:r w:rsidRPr="00DB2967">
        <w:t>I.</w:t>
      </w:r>
      <w:r w:rsidRPr="00DB2967">
        <w:tab/>
        <w:t>budući da je na portalu Komisije posvećenom Misiji za oceane i vode</w:t>
      </w:r>
      <w:r w:rsidRPr="00DB2967">
        <w:rPr>
          <w:rStyle w:val="FootnoteReference"/>
          <w:bCs/>
          <w:iCs/>
        </w:rPr>
        <w:footnoteReference w:id="15"/>
      </w:r>
      <w:r w:rsidRPr="00513BFC">
        <w:rPr>
          <w:rStyle w:val="FootnoteReference"/>
          <w:bCs/>
          <w:iCs/>
          <w:vertAlign w:val="baseline"/>
        </w:rPr>
        <w:t xml:space="preserve"> </w:t>
      </w:r>
      <w:r w:rsidRPr="00DB2967">
        <w:t>objavljena studija u kojoj se navodi da je 2023. ribarstvo odobreno u više od 40 % zaštićenih morskih područja, ograničeno u manje od 25 % i izričito zabranjeno u samo 0,4 %;</w:t>
      </w:r>
    </w:p>
    <w:p w14:paraId="76CD400C" w14:textId="77777777" w:rsidR="007151F2" w:rsidRPr="00DB2967" w:rsidRDefault="007151F2" w:rsidP="007151F2">
      <w:pPr>
        <w:pStyle w:val="NormalHanging12a"/>
        <w:spacing w:after="120"/>
      </w:pPr>
      <w:r w:rsidRPr="00DB2967">
        <w:lastRenderedPageBreak/>
        <w:t>J.</w:t>
      </w:r>
      <w:r w:rsidRPr="00DB2967">
        <w:tab/>
        <w:t>budući da su invazivne strane vrste jedan od uzroka gubitka bioraznolikosti, da negativno utječu na ribarstvo, akvakulturu i funkcije ekosustava te da mogu biti štetne za ljudsko zdravlje, infrastrukturu i biološku sigurnost;</w:t>
      </w:r>
    </w:p>
    <w:p w14:paraId="3B1EFA0E" w14:textId="77777777" w:rsidR="007151F2" w:rsidRPr="00DB2967" w:rsidRDefault="007151F2" w:rsidP="007151F2">
      <w:pPr>
        <w:pStyle w:val="NormalHanging12a"/>
      </w:pPr>
      <w:r w:rsidRPr="00DB2967">
        <w:t>K.</w:t>
      </w:r>
      <w:r w:rsidRPr="00DB2967">
        <w:tab/>
        <w:t>budući da akvakultura neautohtonih vrsta s ograničenim mjerama kontrole predstavlja rizik jer te vrste mogu pobjeći i postati invazivne, što može ugroziti autohtone divlje vrste i okoliš;</w:t>
      </w:r>
    </w:p>
    <w:p w14:paraId="2E6BC1EE" w14:textId="77777777" w:rsidR="007151F2" w:rsidRPr="00DB2967" w:rsidRDefault="007151F2" w:rsidP="007151F2">
      <w:pPr>
        <w:pStyle w:val="NormalHanging12a"/>
        <w:spacing w:after="120"/>
      </w:pPr>
      <w:r w:rsidRPr="00DB2967">
        <w:t>L.</w:t>
      </w:r>
      <w:r w:rsidRPr="00DB2967">
        <w:tab/>
        <w:t>budući da je EU donio nekoliko mjera za sprečavanje uvođenja invazivnih stranih vrsta, otkrivanje i mapiranje njihove rasprostranjenosti te suzbijanje njihova širenja, među ostalim posebno Uredbu o invazivnim stranim vrstama kojom se utvrđuje popis invazivnih stranih vrsta koje izazivaju zabrinutost u Uniji i kojom se provode mjere kontrole;</w:t>
      </w:r>
    </w:p>
    <w:p w14:paraId="76FB8EF1" w14:textId="77777777" w:rsidR="007151F2" w:rsidRPr="00DB2967" w:rsidRDefault="007151F2" w:rsidP="007151F2">
      <w:pPr>
        <w:pStyle w:val="NormalHanging12a"/>
        <w:spacing w:after="120"/>
      </w:pPr>
      <w:r w:rsidRPr="00DB2967">
        <w:t>M.</w:t>
      </w:r>
      <w:r w:rsidRPr="00DB2967">
        <w:tab/>
        <w:t>budući da su, u skladu s Uredbom o invazivnim stranim vrstama, invazivne strane vrste one vrste čiji su negativni učinci toliko značajni da zahtijevaju koordiniranu i ujednačenu intervenciju na razini EU-a te ih je stoga zabranjeno uvoditi, posjedovati, uzgajati, prevoziti ili trgovati njima, slobodno ih prenositi ili puštati u prirodni okoliš;</w:t>
      </w:r>
    </w:p>
    <w:p w14:paraId="2BA79855" w14:textId="77777777" w:rsidR="007151F2" w:rsidRPr="00DB2967" w:rsidRDefault="007151F2" w:rsidP="007151F2">
      <w:pPr>
        <w:pStyle w:val="NormalHanging12a"/>
        <w:spacing w:after="120"/>
        <w:rPr>
          <w:b/>
          <w:i/>
        </w:rPr>
      </w:pPr>
      <w:r w:rsidRPr="00DB2967">
        <w:t>N.</w:t>
      </w:r>
      <w:r w:rsidRPr="00DB2967">
        <w:tab/>
        <w:t>budući da je jedan od kvalitativnih deskriptora za utvrđivanje dobrog stanja okoliša, kako je navedeno u Okvirnoj direktivi o morskoj strategiji, taj da se neautohtone vrste uvedene ljudskim aktivnostima drže na razinama kojima se ne šteti ekosustavima;</w:t>
      </w:r>
    </w:p>
    <w:p w14:paraId="578BB431" w14:textId="77777777" w:rsidR="007151F2" w:rsidRPr="00DB2967" w:rsidRDefault="007151F2" w:rsidP="007151F2">
      <w:pPr>
        <w:pStyle w:val="NormalHanging12a"/>
      </w:pPr>
      <w:r w:rsidRPr="00DB2967">
        <w:t>O.</w:t>
      </w:r>
      <w:r w:rsidRPr="00DB2967">
        <w:tab/>
        <w:t>budući da je pravilno i pravodobno prikupljanje podataka od velike važnosti kako bi se osiguralo otkrivanje invazivnih stranih vrsta i mapiranje njihove rasprostranjenosti te kako bi se uspostavile i provele mjere za suzbijanje širenja tih vrsta na najciljaniji i najučinkovitiji mogući način;</w:t>
      </w:r>
    </w:p>
    <w:p w14:paraId="258CA84D" w14:textId="77777777" w:rsidR="007151F2" w:rsidRPr="00DB2967" w:rsidRDefault="007151F2" w:rsidP="007151F2">
      <w:pPr>
        <w:pStyle w:val="NormalHanging12a"/>
      </w:pPr>
      <w:r w:rsidRPr="00DB2967">
        <w:t>P.</w:t>
      </w:r>
      <w:r w:rsidRPr="00DB2967">
        <w:tab/>
        <w:t>budući da se različite aktivnosti, kao što su pomorski promet ili turizam, smatraju važnim vektorima za širenje invazivnih stranih vrsta, posebno ovisno o razinama mjera ublažavanja i nadzora koje se primjenjuju;</w:t>
      </w:r>
    </w:p>
    <w:p w14:paraId="2021460D" w14:textId="77777777" w:rsidR="007151F2" w:rsidRPr="00DB2967" w:rsidRDefault="007151F2" w:rsidP="007151F2">
      <w:pPr>
        <w:pStyle w:val="NormalHanging12a"/>
      </w:pPr>
      <w:r w:rsidRPr="00DB2967">
        <w:t>Q.</w:t>
      </w:r>
      <w:r w:rsidRPr="00DB2967">
        <w:tab/>
        <w:t>budući da se Strategijom EU-a za bioraznolikost obvezalo na upravljanje uspostavljenim invazivnim stranim vrstama i smanjenje broja vrsta s crvenog popisa kojima one prijete za 50 % do 2030.;</w:t>
      </w:r>
    </w:p>
    <w:p w14:paraId="37891D6A" w14:textId="77777777" w:rsidR="007151F2" w:rsidRPr="00DB2967" w:rsidRDefault="007151F2" w:rsidP="007151F2">
      <w:pPr>
        <w:pStyle w:val="NormalHanging12a"/>
      </w:pPr>
      <w:r w:rsidRPr="00DB2967">
        <w:t>R.</w:t>
      </w:r>
      <w:r w:rsidRPr="00DB2967">
        <w:tab/>
        <w:t>budući da Europska mreža podataka o stranim vrstama (EASIN) trenutačno prati 12 423 strane vrste u različitim okolišima, od kojih su 1440 (11,6 %) morske vrste; budući da je od 2019. 53 % europskih morskih obala pod pritiskom invazivnih stranih vrsta, uz znatne regionalne razlike: 33 % morskih obala u Baltičkom moru, 100 % u Crnom moru, 98 % u Sredozemnom moru i 25 % u sjeveroistočnom Atlantskom oceanu;</w:t>
      </w:r>
    </w:p>
    <w:p w14:paraId="223A4A4B" w14:textId="77777777" w:rsidR="007151F2" w:rsidRPr="00DB2967" w:rsidRDefault="007151F2" w:rsidP="007151F2">
      <w:pPr>
        <w:pStyle w:val="NormalHanging12a"/>
      </w:pPr>
      <w:r w:rsidRPr="00DB2967">
        <w:t>S.</w:t>
      </w:r>
      <w:r w:rsidRPr="00DB2967">
        <w:tab/>
        <w:t>budući da klimatske promjene, posebno zagrijavanje oceana, te povećano kretanje robe i ljudi predstavljaju glavne mehanizme unošenja invazivnih stranih vrsta i mogu pojačati njihov utjecaj na osjetljive vrste, ekosustave i, posljedično, ribolovne aktivnosti;</w:t>
      </w:r>
    </w:p>
    <w:p w14:paraId="3140F078" w14:textId="77777777" w:rsidR="007151F2" w:rsidRPr="00DB2967" w:rsidRDefault="007151F2" w:rsidP="007151F2">
      <w:pPr>
        <w:pStyle w:val="NormalHanging12a"/>
      </w:pPr>
      <w:r w:rsidRPr="00DB2967">
        <w:t>T.</w:t>
      </w:r>
      <w:r w:rsidRPr="00DB2967">
        <w:tab/>
        <w:t xml:space="preserve">budući da nekontrolirano širenje invazivnih stranih vrsta </w:t>
      </w:r>
      <w:proofErr w:type="spellStart"/>
      <w:r w:rsidRPr="00DB2967">
        <w:t>prouzročuje</w:t>
      </w:r>
      <w:proofErr w:type="spellEnd"/>
      <w:r w:rsidRPr="00DB2967">
        <w:t xml:space="preserve"> znatnu kratkoročnu i dugoročnu štetu ribarstvu i akvakulturi, među ostalim štetu na ribolovnoj opremi i infrastrukturi akvakulture, smanjenje ulova i prirodnog rasta lova i produktivnosti te poremećaje u ekosustavima, što sve ugrožava ekološku ravnotežu i gospodarsku održivost ribarskih zajednica; </w:t>
      </w:r>
    </w:p>
    <w:p w14:paraId="2356018A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lastRenderedPageBreak/>
        <w:t>U.</w:t>
      </w:r>
      <w:r w:rsidRPr="00DB2967">
        <w:tab/>
        <w:t>budući da invazivne strane vrste, među ostalim populacije stranih grabežljivaca, ugrožavaju ne samo ekološku ravnotežu nego i društvenu i gospodarsku održivost obalnih ribarskih zajednica, posebno ribarstva te malih i srednjih poduzeća iz sektora akvakulture;</w:t>
      </w:r>
    </w:p>
    <w:p w14:paraId="3585CBB9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V.</w:t>
      </w:r>
      <w:r w:rsidRPr="00DB2967">
        <w:tab/>
        <w:t>budući da se primjenom ekosustavnog pristupa upravljanju ribarstvom te planiranju i prostornom upravljanju u akvakulturi može poboljšati otpornost obaju sektora i njihovu sposobnost prilagodbe, posebno na lokalnoj razini;</w:t>
      </w:r>
    </w:p>
    <w:p w14:paraId="68E541B6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W.</w:t>
      </w:r>
      <w:r w:rsidRPr="00DB2967">
        <w:tab/>
        <w:t>budući da se najudaljenije regije EU-a, kako je prepoznato u članku 349. UFEU-a, suočavaju s jedinstvenim izazovima i mogućnostima u pogledu upravljanja ribarstvom, očuvanja osjetljivih vrsta i sprečavanja invazivnih vrsta; budući da je ključno prilagoditi pokazatelje za mjerenje ravnoteže između kapaciteta i ribolovnih mogućnosti lokalnim okolnostima, uzimajući u obzir njihovu geografsku udaljenost, bogatstvo i jedinstvenost njihove bioraznolikosti, njihove društvene i gospodarske posebnosti te ključnu ulogu lokalnog sektora ribarstva u osiguravanju opskrbe hranom i podupiranju gospodarstva tih regija;</w:t>
      </w:r>
    </w:p>
    <w:p w14:paraId="3E16C43A" w14:textId="77777777" w:rsidR="007151F2" w:rsidRPr="00DB2967" w:rsidRDefault="007151F2" w:rsidP="007151F2">
      <w:pPr>
        <w:pStyle w:val="NormalHanging12a"/>
      </w:pPr>
      <w:r w:rsidRPr="00DB2967">
        <w:t>X.</w:t>
      </w:r>
      <w:r w:rsidRPr="00DB2967">
        <w:tab/>
        <w:t xml:space="preserve">budući da borba protiv invazivnih stranih vrsta također zahtijeva snažno djelovanje na međunarodnoj razini; budući da se u Konvenciji o biološkoj raznolikosti invazivne strane vrste prepoznaju kao međusektorsko pitanje te da je cilj globalnog okvira za bioraznolikost iz </w:t>
      </w:r>
      <w:proofErr w:type="spellStart"/>
      <w:r w:rsidRPr="00DB2967">
        <w:t>Kunminga</w:t>
      </w:r>
      <w:proofErr w:type="spellEnd"/>
      <w:r w:rsidRPr="00DB2967">
        <w:t xml:space="preserve"> i Montreala smanjiti unošenje i naseljavanje invazivnih stranih vrsta za najmanje 50 % do 2030.;</w:t>
      </w:r>
    </w:p>
    <w:p w14:paraId="0A72A822" w14:textId="77777777" w:rsidR="007151F2" w:rsidRPr="00DB2967" w:rsidRDefault="007151F2" w:rsidP="007151F2">
      <w:pPr>
        <w:pStyle w:val="NormalHanging12a"/>
      </w:pPr>
      <w:r w:rsidRPr="00DB2967">
        <w:t>Y.</w:t>
      </w:r>
      <w:r w:rsidRPr="00DB2967">
        <w:tab/>
        <w:t>budući da napori za zaštitu okoliša moraju biti popraćeni mjerama kojima se jača konkurentnost europske ribarske flote, osigurava gospodarska održivost sektora i generacijska obnova obalnih zajednica;</w:t>
      </w:r>
    </w:p>
    <w:p w14:paraId="6BA8E9A1" w14:textId="77777777" w:rsidR="007151F2" w:rsidRDefault="007151F2" w:rsidP="007151F2">
      <w:pPr>
        <w:pStyle w:val="NormalHanging12a"/>
      </w:pPr>
      <w:r w:rsidRPr="00DB2967">
        <w:t>Z.</w:t>
      </w:r>
      <w:r w:rsidRPr="00DB2967">
        <w:tab/>
        <w:t>budući da širenje invazivnih vrsta i povećanje populacija grabežljivaca u nekim regijama utječu na ekosustav te na sektore ribarstva i akvakulture, pri čemu su aktivnosti malog priobalnog ribolova posebno osjetljive;</w:t>
      </w:r>
    </w:p>
    <w:p w14:paraId="79E0A865" w14:textId="5D420CFF" w:rsidR="00513BFC" w:rsidRPr="00513BFC" w:rsidRDefault="00513BFC" w:rsidP="007151F2">
      <w:pPr>
        <w:pStyle w:val="NormalHanging12a"/>
        <w:rPr>
          <w:bCs/>
          <w:iCs/>
        </w:rPr>
      </w:pPr>
      <w:r>
        <w:rPr>
          <w:bCs/>
          <w:iCs/>
          <w:snapToGrid/>
          <w:szCs w:val="24"/>
        </w:rPr>
        <w:t>AA</w:t>
      </w:r>
      <w:r w:rsidRPr="00A04E47">
        <w:rPr>
          <w:bCs/>
          <w:iCs/>
          <w:snapToGrid/>
          <w:szCs w:val="24"/>
        </w:rPr>
        <w:t>.</w:t>
      </w:r>
      <w:r w:rsidRPr="00513BFC">
        <w:rPr>
          <w:bCs/>
          <w:iCs/>
          <w:snapToGrid/>
          <w:szCs w:val="24"/>
        </w:rPr>
        <w:tab/>
      </w:r>
      <w:r w:rsidRPr="00A04E47">
        <w:rPr>
          <w:bCs/>
          <w:iCs/>
          <w:snapToGrid/>
          <w:szCs w:val="24"/>
        </w:rPr>
        <w:t>budući da je tijekom javnog savjetovanja Europske komisije 94 % svih ispitanika izjavilo da se protivi ili se snažno protivi stavljanju proizvoda od tuljana na tržište, odbacujući to kao mjeru upravljanja ribarstvom; budući da je 89 % ispitanika navelo da lov na tuljane pobuđuje ozbiljne moralne dvojbe</w:t>
      </w:r>
      <w:r>
        <w:rPr>
          <w:rStyle w:val="FootnoteReference"/>
          <w:bCs/>
          <w:iCs/>
          <w:snapToGrid/>
          <w:szCs w:val="24"/>
        </w:rPr>
        <w:footnoteReference w:id="16"/>
      </w:r>
      <w:r w:rsidRPr="00A04E47">
        <w:rPr>
          <w:bCs/>
          <w:iCs/>
          <w:snapToGrid/>
          <w:szCs w:val="24"/>
        </w:rPr>
        <w:t>;</w:t>
      </w:r>
    </w:p>
    <w:p w14:paraId="4A17B80E" w14:textId="61CCE25C" w:rsidR="007151F2" w:rsidRPr="00DB2967" w:rsidRDefault="007151F2" w:rsidP="007151F2">
      <w:pPr>
        <w:pStyle w:val="NormalHanging12a"/>
      </w:pPr>
      <w:r w:rsidRPr="00DB2967">
        <w:t>A</w:t>
      </w:r>
      <w:r w:rsidR="00513BFC">
        <w:t>B</w:t>
      </w:r>
      <w:r w:rsidRPr="00DB2967">
        <w:t>.</w:t>
      </w:r>
      <w:r w:rsidRPr="00DB2967">
        <w:tab/>
        <w:t>budući da Eurostat održava sveobuhvatnu bazu dugoročnih podataka o ulovu u ribarstvu, koja pruža vrijedne uvide koji mogu poslužiti kao temelj za razvoj učinkovitih strategija upravljanja ribarstvom i procjenu osjetljivih vrsta te doprinijeti sustavima ranog upozoravanja za neautohtone vrste;</w:t>
      </w:r>
    </w:p>
    <w:p w14:paraId="0AFCC097" w14:textId="0C14BCAA" w:rsidR="007151F2" w:rsidRPr="00DB2967" w:rsidRDefault="007151F2" w:rsidP="007151F2">
      <w:pPr>
        <w:pStyle w:val="NormalHanging12a"/>
      </w:pPr>
      <w:r w:rsidRPr="00DB2967">
        <w:t>A</w:t>
      </w:r>
      <w:r w:rsidR="00513BFC">
        <w:t>C</w:t>
      </w:r>
      <w:r w:rsidRPr="00DB2967">
        <w:t>.</w:t>
      </w:r>
      <w:r w:rsidRPr="00DB2967">
        <w:tab/>
        <w:t>budući da instrumenti kao što su druge učinkovite mjere očuvanja za pojedina područja također mogu pomoći u naporima za očuvanje i upravljanje;</w:t>
      </w:r>
    </w:p>
    <w:p w14:paraId="1D75099E" w14:textId="1296860D" w:rsidR="007151F2" w:rsidRPr="00DB2967" w:rsidRDefault="007151F2" w:rsidP="007151F2">
      <w:pPr>
        <w:pStyle w:val="NormalHanging12a"/>
        <w:rPr>
          <w:snapToGrid/>
        </w:rPr>
      </w:pPr>
      <w:r w:rsidRPr="00DB2967">
        <w:t>A</w:t>
      </w:r>
      <w:r w:rsidR="00513BFC">
        <w:t>D</w:t>
      </w:r>
      <w:r w:rsidRPr="00DB2967">
        <w:t>.</w:t>
      </w:r>
      <w:r w:rsidRPr="00DB2967">
        <w:tab/>
        <w:t xml:space="preserve">budući da ne postoje izravni standardi EU-a za balastne vode; budući da se u pravilima o sprečavanju </w:t>
      </w:r>
      <w:r w:rsidRPr="00DB2967">
        <w:rPr>
          <w:snapToGrid/>
        </w:rPr>
        <w:t xml:space="preserve">unošenja i širenja invazivnih stranih vrsta i upravljanju njima Međunarodna konvencija o nadzoru i upravljanju brodskim balastnim vodama i </w:t>
      </w:r>
      <w:proofErr w:type="spellStart"/>
      <w:r w:rsidRPr="00DB2967">
        <w:rPr>
          <w:snapToGrid/>
        </w:rPr>
        <w:lastRenderedPageBreak/>
        <w:t>talozima</w:t>
      </w:r>
      <w:proofErr w:type="spellEnd"/>
      <w:r w:rsidRPr="00DB2967">
        <w:rPr>
          <w:snapToGrid/>
        </w:rPr>
        <w:t xml:space="preserve"> prepoznaje kao jedna od mogućih mjera za upravljanje invazivnim vrstama koje izazivaju zabrinutost;</w:t>
      </w:r>
    </w:p>
    <w:p w14:paraId="2DFEC50C" w14:textId="77777777" w:rsidR="007151F2" w:rsidRPr="00DB2967" w:rsidRDefault="007151F2" w:rsidP="007151F2">
      <w:pPr>
        <w:pStyle w:val="Normal12a24b"/>
        <w:spacing w:after="360"/>
      </w:pPr>
      <w:r w:rsidRPr="00DB2967">
        <w:rPr>
          <w:rStyle w:val="BoldItalic"/>
        </w:rPr>
        <w:t>Osjetljive vrste: pokazatelji otpornosti oceana</w:t>
      </w:r>
    </w:p>
    <w:p w14:paraId="21DA1E40" w14:textId="77777777" w:rsidR="007151F2" w:rsidRPr="00DB2967" w:rsidRDefault="007151F2" w:rsidP="007151F2">
      <w:pPr>
        <w:pStyle w:val="NormalHanging12a"/>
      </w:pPr>
      <w:r w:rsidRPr="00DB2967">
        <w:t>1.</w:t>
      </w:r>
      <w:r w:rsidRPr="00DB2967">
        <w:tab/>
        <w:t>naglašava važnost osiguravanja zdravih morskih ekosustava, staništa i vrsta u EU-u;</w:t>
      </w:r>
    </w:p>
    <w:p w14:paraId="47C73C44" w14:textId="77777777" w:rsidR="007151F2" w:rsidRPr="00DB2967" w:rsidRDefault="007151F2" w:rsidP="007151F2">
      <w:pPr>
        <w:pStyle w:val="NormalHanging12a"/>
      </w:pPr>
      <w:r w:rsidRPr="00DB2967">
        <w:t>2.</w:t>
      </w:r>
      <w:r w:rsidRPr="00DB2967">
        <w:tab/>
        <w:t>ističe jedinstvenu ulogu osjetljivih vrsta u morskim ekosustavima te ekološke, gospodarske i društvene koristi koje proizlaze iz njihova upravljanja, očuvanja i zaštite;</w:t>
      </w:r>
    </w:p>
    <w:p w14:paraId="415FCD54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3.</w:t>
      </w:r>
      <w:r w:rsidRPr="00DB2967">
        <w:tab/>
        <w:t>naglašava da su mnoge osjetljive vrste vrijedni pokazatelji zdravlja morskih ekosustava te da pružaju rano upozoravanje na ekološke neravnoteže i doprinose otpornosti ekosustava, s izravnim učinkom na produktivnost ribarstva i akvakulture;</w:t>
      </w:r>
    </w:p>
    <w:p w14:paraId="1354D414" w14:textId="77777777" w:rsidR="007151F2" w:rsidRPr="00DB2967" w:rsidRDefault="007151F2" w:rsidP="007151F2">
      <w:pPr>
        <w:pStyle w:val="NormalHanging12a"/>
      </w:pPr>
      <w:r w:rsidRPr="00DB2967">
        <w:t>4.</w:t>
      </w:r>
      <w:r w:rsidRPr="00DB2967">
        <w:tab/>
        <w:t>apelira na Komisiju i države članice da primijene pristup upravljanju ribarstvom koji se temelji na ekosustavima uz pristupe koji su usmjereni na očuvanje osjetljivih vrsta, uz istodobno podupiranje gospodarskog i socijalnog blagostanja ribara, kao i osiguravanje ostvarenja ciljeva EU-a i međunarodnih obveza u pogledu zaštićenih morskih područja i područja od velike važnosti za bioraznolikost;</w:t>
      </w:r>
    </w:p>
    <w:p w14:paraId="3858BE76" w14:textId="77777777" w:rsidR="007151F2" w:rsidRPr="00DB2967" w:rsidRDefault="007151F2" w:rsidP="007151F2">
      <w:pPr>
        <w:pStyle w:val="NormalHanging12a"/>
      </w:pPr>
      <w:r w:rsidRPr="00DB2967">
        <w:t>5.</w:t>
      </w:r>
      <w:r w:rsidRPr="00DB2967">
        <w:tab/>
        <w:t>poziva Komisiju i države članice da osiguraju da se promjene u ekosustavima prouzročene klimatskim promjenama dosljedno odražavaju u procjenama utjecaja na okoliš i upravljanju ribarstvom;</w:t>
      </w:r>
    </w:p>
    <w:p w14:paraId="3F8F7B60" w14:textId="77777777" w:rsidR="007151F2" w:rsidRPr="00DB2967" w:rsidRDefault="007151F2" w:rsidP="007151F2">
      <w:pPr>
        <w:pStyle w:val="NormalHanging12a"/>
      </w:pPr>
      <w:r w:rsidRPr="00DB2967">
        <w:t>6.</w:t>
      </w:r>
      <w:r w:rsidRPr="00DB2967">
        <w:tab/>
        <w:t>apelira na Komisiju i države članice da smanje i, gdje je to moguće, otklone slučajne ulove osjetljivih morskih vrsta, u skladu s člankom 3. Uredbe (EU) 2019/1241, osiguravajući da takvi ulovi ne predstavljaju prijetnju stanju očuvanosti tih vrsta;</w:t>
      </w:r>
    </w:p>
    <w:p w14:paraId="7E7CE8CA" w14:textId="77777777" w:rsidR="007151F2" w:rsidRPr="00DB2967" w:rsidRDefault="007151F2" w:rsidP="007151F2">
      <w:pPr>
        <w:pStyle w:val="NormalHanging12a"/>
      </w:pPr>
      <w:r w:rsidRPr="00DB2967">
        <w:t>7.</w:t>
      </w:r>
      <w:r w:rsidRPr="00DB2967">
        <w:tab/>
        <w:t>ističe da su se tijekom proteklih desetljeća staništa promijenila, što je dovelo do nestanka nekih vrsta i istodobno omogućilo dolazak novih; u tom pogledu naglašava potrebu za podizanjem razine osviještenosti građana, a posebno ribara i ribiča, o važnosti prikupljanja podataka i potrebi za prilagodljivim upravljanjem;</w:t>
      </w:r>
    </w:p>
    <w:p w14:paraId="18FB8233" w14:textId="77777777" w:rsidR="007151F2" w:rsidRPr="00DB2967" w:rsidRDefault="007151F2" w:rsidP="007151F2">
      <w:pPr>
        <w:pStyle w:val="NormalHanging12a"/>
      </w:pPr>
      <w:r w:rsidRPr="00DB2967">
        <w:t>8.</w:t>
      </w:r>
      <w:r w:rsidRPr="00DB2967">
        <w:tab/>
        <w:t>naglašava važnost znanstveno utemeljenih planova upravljanja zaštićenim morskim područjima, među ostalim njihovu okolišnu, socijalnu i gospodarsku dimenziju i ishode, kako bi se osiguralo da su mjere očuvanja ciljane, učinkovite i usklađene s potrebama specifičnima za ekosustav te da se učinkovito provode; ističe da je cilj EU-a zaštititi 30% svojih mora do 2030.;</w:t>
      </w:r>
    </w:p>
    <w:p w14:paraId="03BE98E7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9.</w:t>
      </w:r>
      <w:r w:rsidRPr="00DB2967">
        <w:tab/>
        <w:t xml:space="preserve">podsjeća da ribari moraju biti sastavni dio rješenja i zastupljeni u svim tijelima koja pružaju savjete te u tom pogledu ističe važnost osiguravanja zastupljenosti svih ribara, posebno malih i </w:t>
      </w:r>
      <w:proofErr w:type="spellStart"/>
      <w:r w:rsidRPr="00DB2967">
        <w:t>artizanalnih</w:t>
      </w:r>
      <w:proofErr w:type="spellEnd"/>
      <w:r w:rsidRPr="00DB2967">
        <w:t xml:space="preserve"> ribara; zabrinut je zbog toga što njihova zastupljenost nije uvijek osigurana na odgovarajući način;</w:t>
      </w:r>
    </w:p>
    <w:p w14:paraId="41FC7623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10.</w:t>
      </w:r>
      <w:r w:rsidRPr="00DB2967">
        <w:tab/>
        <w:t xml:space="preserve">poziva Komisiju i države članice da u potpunosti iskoriste alate zajedničke </w:t>
      </w:r>
      <w:proofErr w:type="spellStart"/>
      <w:r w:rsidRPr="00DB2967">
        <w:t>ribarstvene</w:t>
      </w:r>
      <w:proofErr w:type="spellEnd"/>
      <w:r w:rsidRPr="00DB2967">
        <w:t xml:space="preserve"> politike (ZRP), posebno tehničke mjere, kako bi se riješilo pitanje interakcije u ribarstvu i bolje zaštitile osjetljive vrste te istodobno osigurale pravedne i učinkovite naknade za ribare pogođene gubitkom pristupa tradicionalnim ribolovnim područjima, u skladu s odredbama Europskog fonda za pomorstvo, ribarstvo i akvakulturu; poziva Komisiju da osigura provedbu i izvršenje postojećeg zakonodavstva;</w:t>
      </w:r>
    </w:p>
    <w:p w14:paraId="0D4CFA9A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lastRenderedPageBreak/>
        <w:t>11.</w:t>
      </w:r>
      <w:r w:rsidRPr="00DB2967">
        <w:tab/>
        <w:t>apelira na države članice da pri dodjeli ribolovnih mogućnosti u potpunosti iskoriste odredbe sadržane u članku 17. Uredbe o ZRP-u, da potaknu ribare na poduzimanje mjera za smanjenje ili uklanjanje usputnog ulova osjetljivih vrsta i da pruže poticaje ribarskim plovilima koja upotrebljavaju selektivni ribolovni alat ili ribolovne tehnike s manjim utjecajem na okoliš, pri čemu posebnu pozornost trebaju posvetiti malim flotama;</w:t>
      </w:r>
    </w:p>
    <w:p w14:paraId="5D36B046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12.</w:t>
      </w:r>
      <w:r w:rsidRPr="00DB2967">
        <w:tab/>
        <w:t>podsjeća na važnost koju podaci prikupljeni u okviru ZRP-a imaju za pravilno utvrđivanje učinka ribarstva na osjetljive vrste i važnost poboljšanih sustava praćenja, u skladu sa znanstvenim savjetima i zakonodavstvom EU-a; naglašava važnost sveobuhvatnih podataka o usputnom ulovu za pojedine vrste kako bi se omogućile ciljane mjere ublažavanja, pružile informacije za strategije prilagodljivog upravljanja i olakšalo donošenje uravnoteženih i znanstveno utemeljenih mjera kojima se uzimaju u obzir i socioekonomski čimbenici te osigurava sigurnost opskrbe hranom u EU-u;</w:t>
      </w:r>
    </w:p>
    <w:p w14:paraId="16154E77" w14:textId="77777777" w:rsidR="007151F2" w:rsidRPr="00DB2967" w:rsidRDefault="007151F2" w:rsidP="007151F2">
      <w:pPr>
        <w:pStyle w:val="NormalHanging12a"/>
      </w:pPr>
      <w:r w:rsidRPr="00DB2967">
        <w:t>13.</w:t>
      </w:r>
      <w:r w:rsidRPr="00DB2967">
        <w:tab/>
        <w:t>ističe važnost cjelovitog pristupa u svim područjima politika jer to može pomoći u poboljšanju praćenja, zaštite, obnove i oporavka osjetljivih vrsta i staništa; u tom pogledu naglašava važnost provedbe postojećeg zakonodavstva u svim relevantnim područjima politika, a ne samo u onima koja su izravno povezana sa ZRP-om;</w:t>
      </w:r>
    </w:p>
    <w:p w14:paraId="4A6FE753" w14:textId="77777777" w:rsidR="007151F2" w:rsidRPr="00DB2967" w:rsidRDefault="007151F2" w:rsidP="007151F2">
      <w:pPr>
        <w:pStyle w:val="NormalHanging12a"/>
      </w:pPr>
      <w:r w:rsidRPr="00DB2967">
        <w:t>14.</w:t>
      </w:r>
      <w:r w:rsidRPr="00DB2967">
        <w:tab/>
        <w:t>poziva Komisiju i države članice da ojačaju pristupe upravljanju morskim okolišem koji se temelje na ekosustavima, uzimajući u obzir interakcije vrsta, ako je to moguće, i sve pritiske na morske ekosustave, među ostalim klimatske promjene i onečišćenje, na kopnu ili iz drugih izvora;</w:t>
      </w:r>
    </w:p>
    <w:p w14:paraId="420A288E" w14:textId="77777777" w:rsidR="007151F2" w:rsidRPr="00DB2967" w:rsidRDefault="007151F2" w:rsidP="007151F2">
      <w:pPr>
        <w:pStyle w:val="NormalHanging12a"/>
      </w:pPr>
      <w:r w:rsidRPr="00DB2967">
        <w:t>15.</w:t>
      </w:r>
      <w:r w:rsidRPr="00DB2967">
        <w:tab/>
        <w:t xml:space="preserve">naglašava da zaštićena morska područja koja su učinkovito zaštićena i kojima se učinkovito upravlja na temelju najboljih dostupnih znanstvenih spoznaja doprinose, ovisno o njihovim ciljevima očuvanja, smanjenju slučajnog ulova osjetljivih vrsta na najmanju moguću mjeru, zaštiti </w:t>
      </w:r>
      <w:proofErr w:type="spellStart"/>
      <w:r w:rsidRPr="00DB2967">
        <w:t>mrijestilišta</w:t>
      </w:r>
      <w:proofErr w:type="spellEnd"/>
      <w:r w:rsidRPr="00DB2967">
        <w:t xml:space="preserve">, </w:t>
      </w:r>
      <w:proofErr w:type="spellStart"/>
      <w:r w:rsidRPr="00DB2967">
        <w:t>rastilišta</w:t>
      </w:r>
      <w:proofErr w:type="spellEnd"/>
      <w:r w:rsidRPr="00DB2967">
        <w:t xml:space="preserve"> i juvenilne ribe te smanjenju utjecaja na osjetljiva staništa;</w:t>
      </w:r>
    </w:p>
    <w:p w14:paraId="1AC29B6A" w14:textId="77777777" w:rsidR="007151F2" w:rsidRPr="00DB2967" w:rsidRDefault="007151F2" w:rsidP="007151F2">
      <w:pPr>
        <w:pStyle w:val="NormalHanging12a"/>
      </w:pPr>
      <w:r w:rsidRPr="00DB2967">
        <w:t>16.</w:t>
      </w:r>
      <w:r w:rsidRPr="00DB2967">
        <w:tab/>
        <w:t>poziva Komisiju i države članice da ispitaju regionalnu i lokalnu veličinu populacije, stanje i trendove vrsta te moguće učinke koje neuravnotežene populacije mogu imati na ribolovne aktivnosti kako bi se osiguralo upravljanje ribarstvom utemeljenom na ekosustavima, među ostalim mjerama zaštite osjetljivih vrsta;</w:t>
      </w:r>
    </w:p>
    <w:p w14:paraId="36D10474" w14:textId="77777777" w:rsidR="007151F2" w:rsidRPr="00DB2967" w:rsidRDefault="007151F2" w:rsidP="007151F2">
      <w:pPr>
        <w:pStyle w:val="NormalHanging12a"/>
        <w:rPr>
          <w:bCs/>
          <w:iCs/>
        </w:rPr>
      </w:pPr>
      <w:r w:rsidRPr="00DB2967">
        <w:t>17.</w:t>
      </w:r>
      <w:r w:rsidRPr="00DB2967">
        <w:tab/>
        <w:t>poziva Komisiju i države članice da povećaju potporu znanstvenim programima o osjetljivim vrstama i pristupima upravljanju, kako je utvrđeno u relevantnom zakonodavstvu; ističe činjenicu da u nekim regijama osjetljive vrste, kao što su rastuće populacije kormorana i tuljana, utječu na riblje stokove, aktivnosti ribarstva i akvakulture te na druge osjetljive populacije vrsta; smatra da regulatorni okvir sadržava potrebne alate za poboljšanje lokalnog stanja osjetljivih vrsta; stoga poziva Komisiju i države članice da među mjerama koje treba poduzeti razmotre sve mogućnosti predviđene Direktivom o pticama i Direktivom o staništima kako bi se olakšalo aktivno i učinkovito upravljanje populacijama i poduprlo upravljanje utemeljeno na ekosustavima;</w:t>
      </w:r>
    </w:p>
    <w:p w14:paraId="0BA4B2E8" w14:textId="77777777" w:rsidR="007151F2" w:rsidRPr="00DB2967" w:rsidRDefault="007151F2" w:rsidP="007151F2">
      <w:pPr>
        <w:pStyle w:val="Normal12a24b"/>
        <w:ind w:left="567" w:hanging="567"/>
        <w:rPr>
          <w:bCs/>
          <w:iCs/>
        </w:rPr>
      </w:pPr>
      <w:r w:rsidRPr="00DB2967">
        <w:t>18.</w:t>
      </w:r>
      <w:r w:rsidRPr="00DB2967">
        <w:tab/>
        <w:t xml:space="preserve">snažno apelira na Komisiju da osigura usklađenost pristupa EU-a upravljanju ribarstvom sa ZRP-om, ciljevima Strategije EU-a za bioraznolikost do 2030. i međunarodnim obvezama EU-a kao što je Globalni okvir za bioraznolikost iz </w:t>
      </w:r>
      <w:proofErr w:type="spellStart"/>
      <w:r w:rsidRPr="00DB2967">
        <w:t>Kunminga</w:t>
      </w:r>
      <w:proofErr w:type="spellEnd"/>
      <w:r w:rsidRPr="00DB2967">
        <w:t xml:space="preserve"> i Montreala. u tom pogledu naglašava da bi trebalo poduzeti mjere kako bi se </w:t>
      </w:r>
      <w:r w:rsidRPr="00DB2967">
        <w:lastRenderedPageBreak/>
        <w:t>zaustavilo propadanje osjetljivih vrsta u morskim ekosustavima EU-a, među ostalim provedbom odgovarajućih mjera očuvanja i zaštitom staništa;</w:t>
      </w:r>
    </w:p>
    <w:p w14:paraId="48701CD0" w14:textId="77777777" w:rsidR="007151F2" w:rsidRPr="00DB2967" w:rsidRDefault="007151F2" w:rsidP="007151F2">
      <w:pPr>
        <w:pStyle w:val="Normal12a24b"/>
        <w:ind w:left="567" w:hanging="567"/>
        <w:rPr>
          <w:bCs/>
          <w:iCs/>
        </w:rPr>
      </w:pPr>
      <w:r w:rsidRPr="00DB2967">
        <w:t>19.</w:t>
      </w:r>
      <w:r w:rsidRPr="00DB2967">
        <w:tab/>
        <w:t>poziva Komisiju da poduzme mjere u okviru regionalnih organizacija za upravljanje ribarstvom kako bi se smanjio i, gdje je to moguće, uklonio usputni ulov osjetljivih vrsta, ograničila trgovina morskim prehrambenim proizvodima i njihov uvoz te ojačale mjere protiv nezakonitog, neprijavljenog i nereguliranog ribolova, među ostalim boljom carinskom kontrolom i suradnjom s partnerima iz regionalnih organizacija za upravljanje ribarstvom;</w:t>
      </w:r>
    </w:p>
    <w:p w14:paraId="100E29B0" w14:textId="77777777" w:rsidR="007151F2" w:rsidRPr="00DB2967" w:rsidRDefault="007151F2" w:rsidP="007151F2">
      <w:pPr>
        <w:pStyle w:val="Normal12a24b"/>
        <w:spacing w:after="360"/>
      </w:pPr>
      <w:r w:rsidRPr="00DB2967">
        <w:rPr>
          <w:rStyle w:val="BoldItalic"/>
        </w:rPr>
        <w:t>Invazivne vrste: prijetnje našim oceanima i gospodarstvu</w:t>
      </w:r>
    </w:p>
    <w:p w14:paraId="0A61FB6A" w14:textId="77777777" w:rsidR="007151F2" w:rsidRPr="00DB2967" w:rsidRDefault="007151F2" w:rsidP="007151F2">
      <w:pPr>
        <w:pStyle w:val="NormalHanging12a"/>
      </w:pPr>
      <w:r w:rsidRPr="00DB2967">
        <w:t>20.</w:t>
      </w:r>
      <w:r w:rsidRPr="00DB2967">
        <w:tab/>
        <w:t>ističe da invazivne strane vrste ugrožavaju ribarstvo i akvakulturu, autohtonu morsku bioraznolikost i ekosustave, što utječe na životne uvjete i prihode ribara i obalnih zajednica;</w:t>
      </w:r>
    </w:p>
    <w:p w14:paraId="6BF6C701" w14:textId="77777777" w:rsidR="007151F2" w:rsidRPr="00DB2967" w:rsidRDefault="007151F2" w:rsidP="007151F2">
      <w:pPr>
        <w:pStyle w:val="NormalHanging12a"/>
      </w:pPr>
      <w:r w:rsidRPr="00DB2967">
        <w:t>21.</w:t>
      </w:r>
      <w:r w:rsidRPr="00DB2967">
        <w:tab/>
        <w:t>ističe da mali priobalni ribolov daje ključan doprinos lokalnim gospodarstvima i sigurnosti opskrbe hranom u EU-u te da je sve ugroženiji zbog čimbenika koji opterećuju okoliš, kao što su invazivne vrste i klimatske promjene, među ostalim masovna kretanja određenih vrsta, posebno zbog zagrijavanja voda, što uzrokuje ozbiljne gubitke, posebno za uzgajivače školjkaša, koji su dvostruko kažnjeni padom proizvodnje i povećanjem troškova povezanih s napadima grabežljivaca;</w:t>
      </w:r>
    </w:p>
    <w:p w14:paraId="753D65B9" w14:textId="77777777" w:rsidR="007151F2" w:rsidRPr="00DB2967" w:rsidRDefault="007151F2" w:rsidP="007151F2">
      <w:pPr>
        <w:pStyle w:val="NormalHanging12a"/>
      </w:pPr>
      <w:r w:rsidRPr="00DB2967">
        <w:t>22.</w:t>
      </w:r>
      <w:r w:rsidRPr="00DB2967">
        <w:tab/>
        <w:t>podsjeća da je u EU-u 88 invazivnih stranih vrsta strogo regulirano, među ostalim 47 životinjskih vrsta i 41 biljna vrsta koje izazivaju zabrinutost u Uniji;</w:t>
      </w:r>
    </w:p>
    <w:p w14:paraId="4F746DDB" w14:textId="77777777" w:rsidR="007151F2" w:rsidRPr="00DB2967" w:rsidRDefault="007151F2" w:rsidP="007151F2">
      <w:pPr>
        <w:pStyle w:val="NormalHanging12a"/>
      </w:pPr>
      <w:r w:rsidRPr="00DB2967">
        <w:t>23.</w:t>
      </w:r>
      <w:r w:rsidRPr="00DB2967">
        <w:tab/>
        <w:t>žali zbog činjenice da se postojećim popisom vrsta koje izazivaju zabrinutost u Uniji ne odražava u potpunosti prijetnja koju invazivne strane vrste predstavljaju za ribarstvo, akvakulturu i morski okoliš EU-a jer su trenutačno na popisu samo dvije morske vrste (</w:t>
      </w:r>
      <w:proofErr w:type="spellStart"/>
      <w:r w:rsidRPr="00DB2967">
        <w:t>Plotosus</w:t>
      </w:r>
      <w:proofErr w:type="spellEnd"/>
      <w:r w:rsidRPr="00DB2967">
        <w:t xml:space="preserve"> </w:t>
      </w:r>
      <w:proofErr w:type="spellStart"/>
      <w:r w:rsidRPr="00DB2967">
        <w:t>lineatus</w:t>
      </w:r>
      <w:proofErr w:type="spellEnd"/>
      <w:r w:rsidRPr="00DB2967">
        <w:t xml:space="preserve"> i </w:t>
      </w:r>
      <w:proofErr w:type="spellStart"/>
      <w:r w:rsidRPr="00DB2967">
        <w:t>Rugulopteryx</w:t>
      </w:r>
      <w:proofErr w:type="spellEnd"/>
      <w:r w:rsidRPr="00DB2967">
        <w:t xml:space="preserve"> </w:t>
      </w:r>
      <w:proofErr w:type="spellStart"/>
      <w:r w:rsidRPr="00DB2967">
        <w:t>okamurae</w:t>
      </w:r>
      <w:proofErr w:type="spellEnd"/>
      <w:r w:rsidRPr="00DB2967">
        <w:t>), uz određene vrste koje obitavaju u bočatim okolišima; traži poboljšanje popisa na temelju ažuriranih znanstvenih savjeta i procjena rizika;</w:t>
      </w:r>
    </w:p>
    <w:p w14:paraId="40A749F1" w14:textId="77777777" w:rsidR="007151F2" w:rsidRPr="00DB2967" w:rsidRDefault="007151F2" w:rsidP="007151F2">
      <w:pPr>
        <w:pStyle w:val="NormalHanging12a"/>
      </w:pPr>
      <w:r w:rsidRPr="00DB2967">
        <w:t>24.</w:t>
      </w:r>
      <w:r w:rsidRPr="00DB2967">
        <w:tab/>
        <w:t xml:space="preserve">ističe potrebu za odgovarajućim upravljanjem vrstama i sa zabrinutošću primjećuje povećanu prisutnost vrsta u određenim regijama, na primjer: </w:t>
      </w:r>
    </w:p>
    <w:p w14:paraId="6CCC8527" w14:textId="37B4AAAC" w:rsidR="007151F2" w:rsidRPr="00DB2967" w:rsidRDefault="007151F2" w:rsidP="00513BFC">
      <w:pPr>
        <w:pStyle w:val="NormalHanging12a"/>
        <w:ind w:left="1134"/>
      </w:pPr>
      <w:r w:rsidRPr="00DB2967">
        <w:t xml:space="preserve">(a) </w:t>
      </w:r>
      <w:r w:rsidR="00BE1548">
        <w:tab/>
      </w:r>
      <w:r w:rsidRPr="00DB2967">
        <w:t>pacifičkih vrsta kamenica i stranih rakova u južnom Sjevernome moru, posebno duž nizozemske obale;</w:t>
      </w:r>
    </w:p>
    <w:p w14:paraId="7D1D2ADE" w14:textId="1FCBC466" w:rsidR="007151F2" w:rsidRPr="00DB2967" w:rsidRDefault="007151F2" w:rsidP="00513BFC">
      <w:pPr>
        <w:pStyle w:val="NormalHanging12a"/>
        <w:ind w:left="1134"/>
      </w:pPr>
      <w:r w:rsidRPr="00DB2967">
        <w:t xml:space="preserve">(b) </w:t>
      </w:r>
      <w:r w:rsidR="00BE1548">
        <w:tab/>
      </w:r>
      <w:r w:rsidRPr="00DB2967">
        <w:t xml:space="preserve">glavoča </w:t>
      </w:r>
      <w:proofErr w:type="spellStart"/>
      <w:r w:rsidRPr="00DB2967">
        <w:t>blatara</w:t>
      </w:r>
      <w:proofErr w:type="spellEnd"/>
      <w:r w:rsidRPr="00DB2967">
        <w:t>, što utječe na ekosustav i posebno ugrožava kozice, plosnatice i autohtone glavoče, posebno u vodama Sjevernog mora;</w:t>
      </w:r>
    </w:p>
    <w:p w14:paraId="630270AC" w14:textId="64BBE027" w:rsidR="007151F2" w:rsidRPr="00DB2967" w:rsidRDefault="007151F2" w:rsidP="00513BFC">
      <w:pPr>
        <w:pStyle w:val="NormalHanging12a"/>
        <w:ind w:left="1134"/>
      </w:pPr>
      <w:r w:rsidRPr="00DB2967">
        <w:t xml:space="preserve">(c) </w:t>
      </w:r>
      <w:r w:rsidR="00BE1548">
        <w:tab/>
      </w:r>
      <w:r w:rsidRPr="00DB2967">
        <w:t xml:space="preserve">plavog raka, azijske obalne rakovice, morskog oraha i meduze </w:t>
      </w:r>
      <w:proofErr w:type="spellStart"/>
      <w:r w:rsidRPr="00DB2967">
        <w:t>Gonionemus</w:t>
      </w:r>
      <w:proofErr w:type="spellEnd"/>
      <w:r w:rsidRPr="00DB2967">
        <w:t xml:space="preserve"> </w:t>
      </w:r>
      <w:proofErr w:type="spellStart"/>
      <w:r w:rsidRPr="00DB2967">
        <w:t>vertens</w:t>
      </w:r>
      <w:proofErr w:type="spellEnd"/>
      <w:r w:rsidRPr="00DB2967">
        <w:t xml:space="preserve"> u sjeveroistočnom Atlantiku;</w:t>
      </w:r>
    </w:p>
    <w:p w14:paraId="6FA95138" w14:textId="29C777D9" w:rsidR="007151F2" w:rsidRPr="00DB2967" w:rsidRDefault="007151F2" w:rsidP="00513BFC">
      <w:pPr>
        <w:pStyle w:val="NormalHanging12a"/>
        <w:ind w:left="1134"/>
      </w:pPr>
      <w:r w:rsidRPr="00DB2967">
        <w:t xml:space="preserve">(d) </w:t>
      </w:r>
      <w:r w:rsidR="00BE1548">
        <w:tab/>
      </w:r>
      <w:r w:rsidRPr="00DB2967">
        <w:t>ribe lava (</w:t>
      </w:r>
      <w:proofErr w:type="spellStart"/>
      <w:r w:rsidRPr="00DB2967">
        <w:t>Pterois</w:t>
      </w:r>
      <w:proofErr w:type="spellEnd"/>
      <w:r w:rsidRPr="00DB2967">
        <w:t xml:space="preserve"> </w:t>
      </w:r>
      <w:proofErr w:type="spellStart"/>
      <w:r w:rsidRPr="00DB2967">
        <w:t>miles</w:t>
      </w:r>
      <w:proofErr w:type="spellEnd"/>
      <w:r w:rsidRPr="00DB2967">
        <w:t xml:space="preserve">), </w:t>
      </w:r>
      <w:proofErr w:type="spellStart"/>
      <w:r w:rsidRPr="00DB2967">
        <w:t>plavotočkaste</w:t>
      </w:r>
      <w:proofErr w:type="spellEnd"/>
      <w:r w:rsidRPr="00DB2967">
        <w:t xml:space="preserve"> </w:t>
      </w:r>
      <w:proofErr w:type="spellStart"/>
      <w:r w:rsidRPr="00DB2967">
        <w:t>trumpetače</w:t>
      </w:r>
      <w:proofErr w:type="spellEnd"/>
      <w:r w:rsidRPr="00DB2967">
        <w:t xml:space="preserve"> (</w:t>
      </w:r>
      <w:proofErr w:type="spellStart"/>
      <w:r w:rsidRPr="00DB2967">
        <w:t>Fistularia</w:t>
      </w:r>
      <w:proofErr w:type="spellEnd"/>
      <w:r w:rsidRPr="00DB2967">
        <w:t xml:space="preserve"> </w:t>
      </w:r>
      <w:proofErr w:type="spellStart"/>
      <w:r w:rsidRPr="00DB2967">
        <w:t>commersonii</w:t>
      </w:r>
      <w:proofErr w:type="spellEnd"/>
      <w:r w:rsidRPr="00DB2967">
        <w:t xml:space="preserve">) i </w:t>
      </w:r>
      <w:proofErr w:type="spellStart"/>
      <w:r w:rsidRPr="00DB2967">
        <w:t>srebrnoprugaste</w:t>
      </w:r>
      <w:proofErr w:type="spellEnd"/>
      <w:r w:rsidRPr="00DB2967">
        <w:t xml:space="preserve"> </w:t>
      </w:r>
      <w:proofErr w:type="spellStart"/>
      <w:r w:rsidRPr="00DB2967">
        <w:t>četverozupke</w:t>
      </w:r>
      <w:proofErr w:type="spellEnd"/>
      <w:r w:rsidRPr="00DB2967">
        <w:t xml:space="preserve"> (</w:t>
      </w:r>
      <w:proofErr w:type="spellStart"/>
      <w:r w:rsidRPr="00DB2967">
        <w:t>Lagocephalus</w:t>
      </w:r>
      <w:proofErr w:type="spellEnd"/>
      <w:r w:rsidRPr="00DB2967">
        <w:t xml:space="preserve"> </w:t>
      </w:r>
      <w:proofErr w:type="spellStart"/>
      <w:r w:rsidRPr="00DB2967">
        <w:t>sceleratus</w:t>
      </w:r>
      <w:proofErr w:type="spellEnd"/>
      <w:r w:rsidRPr="00DB2967">
        <w:t>) u vodama oko Grčke i Cipra;</w:t>
      </w:r>
    </w:p>
    <w:p w14:paraId="4D9DD046" w14:textId="0F441D54" w:rsidR="007151F2" w:rsidRPr="00DB2967" w:rsidRDefault="007151F2" w:rsidP="00513BFC">
      <w:pPr>
        <w:pStyle w:val="NormalHanging12a"/>
        <w:ind w:left="1134"/>
      </w:pPr>
      <w:r w:rsidRPr="00DB2967">
        <w:t xml:space="preserve">(e) </w:t>
      </w:r>
      <w:r w:rsidR="00BE1548">
        <w:tab/>
      </w:r>
      <w:r w:rsidRPr="00DB2967">
        <w:t>zebraste dagnje (</w:t>
      </w:r>
      <w:proofErr w:type="spellStart"/>
      <w:r w:rsidRPr="00DB2967">
        <w:t>Dreissena</w:t>
      </w:r>
      <w:proofErr w:type="spellEnd"/>
      <w:r w:rsidRPr="00DB2967">
        <w:t xml:space="preserve"> </w:t>
      </w:r>
      <w:proofErr w:type="spellStart"/>
      <w:r w:rsidRPr="00DB2967">
        <w:t>polymorpha</w:t>
      </w:r>
      <w:proofErr w:type="spellEnd"/>
      <w:r w:rsidRPr="00DB2967">
        <w:t xml:space="preserve">) unesene u rijeku </w:t>
      </w:r>
      <w:proofErr w:type="spellStart"/>
      <w:r w:rsidRPr="00DB2967">
        <w:t>Ebro</w:t>
      </w:r>
      <w:proofErr w:type="spellEnd"/>
      <w:r w:rsidRPr="00DB2967">
        <w:t xml:space="preserve"> i riba iz redova </w:t>
      </w:r>
      <w:proofErr w:type="spellStart"/>
      <w:r w:rsidRPr="00DB2967">
        <w:t>somovki</w:t>
      </w:r>
      <w:proofErr w:type="spellEnd"/>
      <w:r w:rsidRPr="00DB2967">
        <w:t xml:space="preserve"> (</w:t>
      </w:r>
      <w:proofErr w:type="spellStart"/>
      <w:r w:rsidRPr="00DB2967">
        <w:t>Silurus</w:t>
      </w:r>
      <w:proofErr w:type="spellEnd"/>
      <w:r w:rsidRPr="00DB2967">
        <w:t xml:space="preserve"> </w:t>
      </w:r>
      <w:proofErr w:type="spellStart"/>
      <w:r w:rsidRPr="00DB2967">
        <w:t>glanis</w:t>
      </w:r>
      <w:proofErr w:type="spellEnd"/>
      <w:r w:rsidRPr="00DB2967">
        <w:t>) u Španjolskoj;</w:t>
      </w:r>
    </w:p>
    <w:p w14:paraId="3A4BDBE1" w14:textId="595F7752" w:rsidR="007151F2" w:rsidRPr="00DB2967" w:rsidRDefault="007151F2" w:rsidP="00513BFC">
      <w:pPr>
        <w:pStyle w:val="NormalHanging12a"/>
        <w:ind w:left="1134"/>
      </w:pPr>
      <w:r w:rsidRPr="00DB2967">
        <w:lastRenderedPageBreak/>
        <w:t xml:space="preserve">(f) </w:t>
      </w:r>
      <w:r w:rsidR="00BE1548">
        <w:tab/>
      </w:r>
      <w:r w:rsidRPr="00DB2967">
        <w:t>azijske alge (</w:t>
      </w:r>
      <w:proofErr w:type="spellStart"/>
      <w:r w:rsidRPr="00DB2967">
        <w:t>Rugulopteryx</w:t>
      </w:r>
      <w:proofErr w:type="spellEnd"/>
      <w:r w:rsidRPr="00DB2967">
        <w:t xml:space="preserve"> </w:t>
      </w:r>
      <w:proofErr w:type="spellStart"/>
      <w:r w:rsidRPr="00DB2967">
        <w:t>okamurae</w:t>
      </w:r>
      <w:proofErr w:type="spellEnd"/>
      <w:r w:rsidRPr="00DB2967">
        <w:t>), posebno u zapadnom Sredozemlju;</w:t>
      </w:r>
    </w:p>
    <w:p w14:paraId="0B3F2766" w14:textId="77777777" w:rsidR="007151F2" w:rsidRPr="00DB2967" w:rsidRDefault="007151F2" w:rsidP="007151F2">
      <w:pPr>
        <w:pStyle w:val="NormalHanging12a"/>
      </w:pPr>
      <w:r w:rsidRPr="00DB2967">
        <w:t>25.</w:t>
      </w:r>
      <w:r w:rsidRPr="00DB2967">
        <w:tab/>
        <w:t>poziva Komisiju i države članice da uspostave regionalne sustave praćenja pojedinih vrsta, među ostalim koordinirane strategije ranog upozoravanja i odgovora za strane vrste koje utječu na gospodarski relevantna staništa;</w:t>
      </w:r>
    </w:p>
    <w:p w14:paraId="10D733AC" w14:textId="77777777" w:rsidR="007151F2" w:rsidRPr="00DB2967" w:rsidRDefault="007151F2" w:rsidP="007151F2">
      <w:pPr>
        <w:pStyle w:val="NormalHanging12a"/>
      </w:pPr>
      <w:r w:rsidRPr="00DB2967">
        <w:t>26.</w:t>
      </w:r>
      <w:r w:rsidRPr="00DB2967">
        <w:tab/>
        <w:t>žali zbog nedostatka posebnih programa praćenja morskih invazivnih stranih vrsta i traži poboljšanje metoda praćenja i usklađivanje pokazatelja diljem EU-a, kao i veću tehničku i financijsku potporu, posebno za najudaljenije regije, kojima su potrebna posebna dodatna sredstva zbog njihove jedinstvene bioraznolikosti i udaljenosti;</w:t>
      </w:r>
    </w:p>
    <w:p w14:paraId="2AE60921" w14:textId="77777777" w:rsidR="007151F2" w:rsidRPr="00DB2967" w:rsidRDefault="007151F2" w:rsidP="007151F2">
      <w:pPr>
        <w:pStyle w:val="Normal6a"/>
        <w:ind w:left="567" w:hanging="567"/>
      </w:pPr>
      <w:r w:rsidRPr="00DB2967">
        <w:t>27.</w:t>
      </w:r>
      <w:r w:rsidRPr="00DB2967">
        <w:tab/>
        <w:t xml:space="preserve">preporučuje uspostavu metodologija za utvrđivanje pragova i vrijednosti za sve europske morske regije i </w:t>
      </w:r>
      <w:proofErr w:type="spellStart"/>
      <w:r w:rsidRPr="00DB2967">
        <w:t>podregije</w:t>
      </w:r>
      <w:proofErr w:type="spellEnd"/>
      <w:r w:rsidRPr="00DB2967">
        <w:t xml:space="preserve">, uzimajući u obzir učinak na ribarstvo i akvakulturu, mogućnosti upravljanja putovima unosa i potrebu za strožom kontrolom flota EU-a i trećih zemalja, posebno u pogledu invazivnih vrsta, provedbom Međunarodne konvencije o nadzoru i upravljanju brodskim balastnim vodama i </w:t>
      </w:r>
      <w:proofErr w:type="spellStart"/>
      <w:r w:rsidRPr="00DB2967">
        <w:t>talozima</w:t>
      </w:r>
      <w:proofErr w:type="spellEnd"/>
      <w:r w:rsidRPr="00DB2967">
        <w:t xml:space="preserve"> te primjenom smjernica u pogledu </w:t>
      </w:r>
      <w:proofErr w:type="spellStart"/>
      <w:r w:rsidRPr="00DB2967">
        <w:t>obraštaja</w:t>
      </w:r>
      <w:proofErr w:type="spellEnd"/>
      <w:r w:rsidRPr="00DB2967">
        <w:t xml:space="preserve"> trupa;</w:t>
      </w:r>
    </w:p>
    <w:p w14:paraId="55F900F1" w14:textId="77777777" w:rsidR="007151F2" w:rsidRPr="00DB2967" w:rsidRDefault="007151F2" w:rsidP="007151F2">
      <w:pPr>
        <w:pStyle w:val="NormalHanging12a"/>
      </w:pPr>
      <w:r w:rsidRPr="00DB2967">
        <w:t>28.</w:t>
      </w:r>
      <w:r w:rsidRPr="00DB2967">
        <w:tab/>
        <w:t>ističe moguću povezanost invazivnih stranih vrsta u kopnenim i slatkovodnim ekosustavima s onima u oceanima i morima te njihov utjecaj na ribarstvo i akvakulturu; poziva Komisiju da izradi sveobuhvatnu strategiju za rješavanje tog pitanja;</w:t>
      </w:r>
    </w:p>
    <w:p w14:paraId="4CA6021B" w14:textId="77777777" w:rsidR="007151F2" w:rsidRPr="00DB2967" w:rsidRDefault="007151F2" w:rsidP="007151F2">
      <w:pPr>
        <w:pStyle w:val="NormalHanging12a"/>
      </w:pPr>
      <w:r w:rsidRPr="00DB2967">
        <w:t>29.</w:t>
      </w:r>
      <w:r w:rsidRPr="00DB2967">
        <w:tab/>
        <w:t xml:space="preserve">naglašava da je cjelovit, preventivni i višesmjerni pristup upravljanju koji se temelji na putovima unosa apsolutni prioritet za učinkovito sprečavanje unošenja morskih invazivnih stranih vrsta i njihova širenja te u borbi protiv glavnih uzroka njihova širenja; potiče države članice da povećaju upotrebu ranog predviđanja i novih tehnika kao što su </w:t>
      </w:r>
      <w:proofErr w:type="spellStart"/>
      <w:r w:rsidRPr="00DB2967">
        <w:t>eDNA</w:t>
      </w:r>
      <w:proofErr w:type="spellEnd"/>
      <w:r w:rsidRPr="00DB2967">
        <w:t>, umjetna inteligencija i automatizirano praćenje, te da povećaju sudjelovanje ribara, ribiča, obalnih zajednica te građansku znanost kao sredstva i resurse kojima bi se odredile i kao prioritet utvrdile nove invazivne strane vrste, invazivne strane vrste koje se počinju sve više pojavljivati i visokorizične strane vrste za ribarstvo i akvakulturu; apelira na Komisiju da primijeni taj integrirani pristup u provedbi Europskog pakta o oceanima kako bi se osiguralo koordinirano djelovanje u svim sektorima i državama članicama;</w:t>
      </w:r>
    </w:p>
    <w:p w14:paraId="17AB9682" w14:textId="77777777" w:rsidR="007151F2" w:rsidRPr="00DB2967" w:rsidRDefault="007151F2" w:rsidP="007151F2">
      <w:pPr>
        <w:pStyle w:val="NormalHanging12a"/>
      </w:pPr>
      <w:r w:rsidRPr="00DB2967">
        <w:t>30.</w:t>
      </w:r>
      <w:r w:rsidRPr="00DB2967">
        <w:tab/>
        <w:t>poziva države članice da ojačaju komunikaciju, koordinaciju i suradnju, posebno u prekograničnim područjima, te da istodobno iskoriste biološku sigurnost kako bi se brzo provele mjere za rano otkrivanje i brzo iskorjenjivanje morskih invazivnih stranih vrsta te kako bi se upravljalo vrstama koje su već široko rasprostranjene; nadalje poziva Komisiju da surađuje s državama članicama kako bi se ta djelovanja proširila suradnjom s trećim zemljama koje dijele isti morski bazen;</w:t>
      </w:r>
    </w:p>
    <w:p w14:paraId="2CB9C4C1" w14:textId="77777777" w:rsidR="007151F2" w:rsidRPr="00DB2967" w:rsidRDefault="007151F2" w:rsidP="007151F2">
      <w:pPr>
        <w:pStyle w:val="NormalHanging12a"/>
      </w:pPr>
      <w:r w:rsidRPr="00DB2967">
        <w:t>31.</w:t>
      </w:r>
      <w:r w:rsidRPr="00DB2967">
        <w:tab/>
        <w:t>preporučuje pojačanu suradnju između znanstvenih institucija i agencija EU-a kako bi se poboljšao prijenos znanja i primijenjena istraživanja o širenju, utjecaju i kontroli invazivnih morskih vrsta;</w:t>
      </w:r>
    </w:p>
    <w:p w14:paraId="6DBDFD8C" w14:textId="77777777" w:rsidR="007151F2" w:rsidRPr="00DB2967" w:rsidRDefault="007151F2" w:rsidP="007151F2">
      <w:pPr>
        <w:pStyle w:val="NormalHanging12a"/>
      </w:pPr>
      <w:r w:rsidRPr="00DB2967">
        <w:t>32.</w:t>
      </w:r>
      <w:r w:rsidRPr="00DB2967">
        <w:tab/>
        <w:t>Ističe da je Sredozemno more, koje se prema Organizaciji za hranu i poljoprivredu zagrijava 20 % brže od ostatka svijeta, posebna žarišna točka u kojoj obitava više invazivnih stranih vrsta nego u bilo kojem drugom moru na svijetu, što uvelike utječe na morske ekosustave te na sektore ribarstva i akvakulture, zbog čega mu je potrebno posvetiti posebnu pozornost; u tom pogledu potiče Komisiju i države članice da dodijele dodatna sredstva i uspostave hitne mjere za zaustavljanje širenja tih vrsta u tom morskom bazenu;</w:t>
      </w:r>
    </w:p>
    <w:p w14:paraId="2CB4D11B" w14:textId="77777777" w:rsidR="007151F2" w:rsidRPr="00DB2967" w:rsidRDefault="007151F2" w:rsidP="007151F2">
      <w:pPr>
        <w:pStyle w:val="NormalHanging12a"/>
      </w:pPr>
      <w:r w:rsidRPr="00DB2967">
        <w:lastRenderedPageBreak/>
        <w:t>33.</w:t>
      </w:r>
      <w:r w:rsidRPr="00DB2967">
        <w:tab/>
        <w:t>poziva Komisiju da podrži Opću komisiju za ribarstvo Sredozemlja u njezinim inicijativama za znanstveno praćenje i pilot-projektima kako bi se odgovorilo na probleme koje uzrokuju invazivne morske vrste;</w:t>
      </w:r>
    </w:p>
    <w:p w14:paraId="2FC6CC5B" w14:textId="77777777" w:rsidR="007151F2" w:rsidRPr="00DB2967" w:rsidRDefault="007151F2" w:rsidP="007151F2">
      <w:pPr>
        <w:pStyle w:val="NormalHanging12a"/>
      </w:pPr>
      <w:r w:rsidRPr="00DB2967">
        <w:t xml:space="preserve">34. </w:t>
      </w:r>
      <w:r w:rsidRPr="00DB2967">
        <w:tab/>
        <w:t>poziva Komisiju da u okviru Europskog fonda za pomorstvo, ribarstvo i akvakulturu i drugih proračunskih programa stavi na raspolaganje posebna sredstva za potporu istraživanju, sprečavanju i iskorjenjivanju invazivnih vrsta ili, ako iskorjenjivanje nije izvedivo, upravljanju njihovim širenjem i oporavku od posljedica širenja, u suradnji s ribarima, lokalnim vlastima i znanstvenim organizacijama; ponovno potvrđuje svoje uvjerenje da bi takva sredstva trebala biti dostupna u sljedećem višegodišnjem financijskom okviru;</w:t>
      </w:r>
    </w:p>
    <w:p w14:paraId="789A86D6" w14:textId="77777777" w:rsidR="007151F2" w:rsidRPr="00DB2967" w:rsidRDefault="007151F2" w:rsidP="007151F2">
      <w:pPr>
        <w:pStyle w:val="NormalHanging12a"/>
      </w:pPr>
      <w:r w:rsidRPr="00DB2967">
        <w:t>35.</w:t>
      </w:r>
      <w:r w:rsidRPr="00DB2967">
        <w:tab/>
        <w:t>ističe važnost sustava obavješćivanja EASIN-a, posebno za pravodobno i sveobuhvatno izvješćivanje o novim slučajevima otkrivanja, mjerama iskorjenjivanja i otkrivanju na temelju službenih kontrola; potiče države članice da poboljšaju sustav pružanjem dodatnih informacija, osobito podataka o rasprostranjenosti, koristeći se posebno informacijama koje dostavljaju ribari, proizvođači u akvakulturi i svi drugi relevantni dionici;</w:t>
      </w:r>
    </w:p>
    <w:p w14:paraId="5B33C065" w14:textId="77777777" w:rsidR="007151F2" w:rsidRPr="00DB2967" w:rsidRDefault="007151F2" w:rsidP="007151F2">
      <w:pPr>
        <w:pStyle w:val="NormalHanging12a"/>
        <w:spacing w:after="120"/>
      </w:pPr>
      <w:r w:rsidRPr="00DB2967">
        <w:t>36.</w:t>
      </w:r>
      <w:r w:rsidRPr="00DB2967">
        <w:tab/>
        <w:t xml:space="preserve">podsjeća na međunarodnu dimenziju invazivnih stranih vrsta i predlaže da EU ojača svoje djelovanje u tom pogledu koristeći se svim dostupnim međunarodnim forumima, a posebno regionalnim organizacijama za upravljanje ribarstvom, Konvencijom o biološkoj raznolikosti i Globalnim okvirom za bioraznolikost iz </w:t>
      </w:r>
      <w:proofErr w:type="spellStart"/>
      <w:r w:rsidRPr="00DB2967">
        <w:t>Kunminga</w:t>
      </w:r>
      <w:proofErr w:type="spellEnd"/>
      <w:r w:rsidRPr="00DB2967">
        <w:t xml:space="preserve"> i Montreala; traži od EU-a da ojača suradnju s drugim međunarodnim organizacijama i trećim zemljama u pogledu razmjene znanja i uzajamnog učenja;</w:t>
      </w:r>
    </w:p>
    <w:p w14:paraId="6B68B7E2" w14:textId="77777777" w:rsidR="007151F2" w:rsidRPr="00DB2967" w:rsidRDefault="007151F2" w:rsidP="007151F2">
      <w:pPr>
        <w:pStyle w:val="Normal12a24b"/>
        <w:ind w:left="567" w:hanging="567"/>
      </w:pPr>
      <w:r w:rsidRPr="00DB2967">
        <w:t>37.</w:t>
      </w:r>
      <w:r w:rsidRPr="00DB2967">
        <w:tab/>
        <w:t>ističe potencijal suradnje s trećim zemljama koje dijele isti morski bazen, među ostalim s pomoću regionalnih organizacija za upravljanje ribarstvom, radi razmjene najboljih praksi, poticanja ulaganja i uspostave zajedničkih ciljeva za borbu protiv utjecaja invazivnih stranih vrsta;</w:t>
      </w:r>
    </w:p>
    <w:p w14:paraId="2B634719" w14:textId="77777777" w:rsidR="007151F2" w:rsidRPr="00DB2967" w:rsidRDefault="007151F2" w:rsidP="007151F2">
      <w:pPr>
        <w:pStyle w:val="Normal12a24b"/>
        <w:spacing w:after="360"/>
      </w:pPr>
      <w:r w:rsidRPr="00DB2967">
        <w:rPr>
          <w:rStyle w:val="BoldItalic"/>
        </w:rPr>
        <w:t>Prilike i izazovi za obalne zajednice</w:t>
      </w:r>
    </w:p>
    <w:p w14:paraId="1AAB5670" w14:textId="77777777" w:rsidR="007151F2" w:rsidRPr="00DB2967" w:rsidRDefault="007151F2" w:rsidP="007151F2">
      <w:pPr>
        <w:pStyle w:val="NormalHanging12a"/>
      </w:pPr>
      <w:r w:rsidRPr="00DB2967">
        <w:t>38.</w:t>
      </w:r>
      <w:r w:rsidRPr="00DB2967">
        <w:tab/>
        <w:t>naglašava da invazivne strane vrste uvelike negativno utječu na morsku bioraznolikost i ekosustave, na aktivnosti plavoga gospodarstva, među ostalim na ribarstvo i akvakulturu, te na druge gospodarske aktivnosti koje nisu povezane s morem, kao i na obalne zajednice i društvo u cjelini; smatra da je, kako bi se učinkovito spriječile nove invazije i provele uspješne mjere ublažavanja, ključno uzeti u obzir šire posljedice koje invazivne strane vrste imaju na društvo, gospodarstvo i kulturu, a ne samo gubitak bioraznolikosti i učinke koje imaju na ekosustave;</w:t>
      </w:r>
    </w:p>
    <w:p w14:paraId="3A1FBDB0" w14:textId="77777777" w:rsidR="007151F2" w:rsidRPr="00DB2967" w:rsidRDefault="007151F2" w:rsidP="007151F2">
      <w:pPr>
        <w:pStyle w:val="NormalHanging12a"/>
      </w:pPr>
      <w:r w:rsidRPr="00DB2967">
        <w:t>39.</w:t>
      </w:r>
      <w:r w:rsidRPr="00DB2967">
        <w:tab/>
        <w:t>potiče Komisiju da razvije posebnog pokazatelja za osjetljive i invazivne vrste u morima EU-a, uzimajući u obzir popise poput crvenog popisa IUCN-a, koji bi se uvrstili u publikacije Eurostata povezane s ciljevima održivog razvoja radi boljeg praćenja širenja i djelovanja u pogledu očuvanja i drugih načina upravljanja;</w:t>
      </w:r>
    </w:p>
    <w:p w14:paraId="6EBCC8D9" w14:textId="77777777" w:rsidR="007151F2" w:rsidRPr="00DB2967" w:rsidRDefault="007151F2" w:rsidP="007151F2">
      <w:pPr>
        <w:pStyle w:val="NormalHanging12a"/>
      </w:pPr>
      <w:r w:rsidRPr="00DB2967">
        <w:t>40.</w:t>
      </w:r>
      <w:r w:rsidRPr="00DB2967">
        <w:tab/>
        <w:t>poziva Komisiju da u buduće projekte europskih istraživačkih i inovacijskih programa uvrsti financiranje istraživanja invazivnih stranih vrsta i ekološki prihvatljivih rješenja za njihovo održivo upravljanje i kontrolu;</w:t>
      </w:r>
    </w:p>
    <w:p w14:paraId="5B722AB6" w14:textId="77777777" w:rsidR="007151F2" w:rsidRPr="00DB2967" w:rsidRDefault="007151F2" w:rsidP="007151F2">
      <w:pPr>
        <w:pStyle w:val="NormalHanging12a"/>
      </w:pPr>
      <w:r w:rsidRPr="00DB2967">
        <w:lastRenderedPageBreak/>
        <w:t>41.</w:t>
      </w:r>
      <w:r w:rsidRPr="00DB2967">
        <w:tab/>
        <w:t>naglašava važnost pružanja potpore pogođenim subjektima u ribarstvu i akvakulturi, s pomoću programa naknade i fondova za prilagodbu, u skladu s postojećim financijskim odredbama, posebno u područjima koja se zbog invazivnih vrsta suočavaju s izravnim gospodarskim gubitkom; naglašava potrebu za pružanjem ciljanih financijskih i regulatornih poticaja kako bi se lokalne ribare u obalnim vodama i unutarnjim plovnim putovima potaknulo da ciljano love i uklanjaju invazivne vrste radi smanjenja ekološkog pritiska uz istodobno podupiranje životnih uvjeta na lokalnoj razini; ističe moguću ulogu koju sustavi osiguranja mogu imati u rješavanju tog pitanja, posebno u pogledu posljedica za uzgajivače školjkaša, proizvođače u akvakulturi i ribare;</w:t>
      </w:r>
    </w:p>
    <w:p w14:paraId="45DD67F3" w14:textId="77777777" w:rsidR="007151F2" w:rsidRPr="00DB2967" w:rsidRDefault="007151F2" w:rsidP="007151F2">
      <w:pPr>
        <w:pStyle w:val="NormalHanging12a"/>
      </w:pPr>
      <w:r w:rsidRPr="00DB2967">
        <w:t>42.</w:t>
      </w:r>
      <w:r w:rsidRPr="00DB2967">
        <w:tab/>
        <w:t>poziva države članice i Komisiju da pokrenu kampanje za podizanje razine osviještenosti kako bi se ribare, uzgajivače ribe i školjkaša, dionike iz sektora ribarstva, među ostalim ribiče, i širu javnost informiralo o unošenju, otkrivanju i utjecaju invazivnih stranih vrsta, njihovim učincima na okoliš i gospodarstvo, o tome kako smanjiti rizike povezane s njihovim unošenjem i širenjem te kako bi ih se uključilo u ta pitanja;</w:t>
      </w:r>
    </w:p>
    <w:p w14:paraId="59E9BB54" w14:textId="77777777" w:rsidR="007151F2" w:rsidRPr="00DB2967" w:rsidRDefault="007151F2" w:rsidP="007151F2">
      <w:pPr>
        <w:pStyle w:val="NormalHanging12a"/>
      </w:pPr>
      <w:r w:rsidRPr="00DB2967">
        <w:t>43.</w:t>
      </w:r>
      <w:r w:rsidRPr="00DB2967">
        <w:tab/>
        <w:t>preporučuje, ako je to izvedivo, razvoj programa usmjerenih na invazivne vrste kojima se nastoji poboljšati kontrolu populacije i pružiti mogućnosti naknade ribarima;</w:t>
      </w:r>
    </w:p>
    <w:p w14:paraId="76C46E7D" w14:textId="77777777" w:rsidR="007151F2" w:rsidRPr="00DB2967" w:rsidRDefault="007151F2" w:rsidP="007151F2">
      <w:pPr>
        <w:pStyle w:val="NormalHanging12a"/>
      </w:pPr>
      <w:r w:rsidRPr="00DB2967">
        <w:t>44.</w:t>
      </w:r>
      <w:r w:rsidRPr="00DB2967">
        <w:tab/>
        <w:t xml:space="preserve">smatra da upravljanje invazivnim stranim vrstama može pružiti mogućnosti za dodatni privremeni prihod s pomoću primijenjenih inovacija za stvaranje proizvoda s dodanom vrijednošću kao što su </w:t>
      </w:r>
      <w:proofErr w:type="spellStart"/>
      <w:r w:rsidRPr="00DB2967">
        <w:t>biognojiva</w:t>
      </w:r>
      <w:proofErr w:type="spellEnd"/>
      <w:r w:rsidRPr="00DB2967">
        <w:t xml:space="preserve"> i poljoprivredni supstrati kojima se podupire kontrola tih vrsta i, ako je moguće, njihovo iskorjenjivanje; poziva Komisiju da financira istraživanje i prijenos tehnologije u tom području;</w:t>
      </w:r>
    </w:p>
    <w:p w14:paraId="68CF9D9B" w14:textId="77777777" w:rsidR="007151F2" w:rsidRPr="00DB2967" w:rsidRDefault="007151F2" w:rsidP="007151F2">
      <w:pPr>
        <w:pStyle w:val="NormalHanging12a"/>
      </w:pPr>
      <w:r w:rsidRPr="00DB2967">
        <w:t>45.</w:t>
      </w:r>
      <w:r w:rsidRPr="00DB2967">
        <w:tab/>
        <w:t>naglašava da, ako iskorjenjivanje invazivnih vrsta nije izvedivo, iskorištavanje invazivnih vrsta za ljudsku potrošnju može ribarima pružiti dodatni privremeni prihod i doprinijeti bogatstvu koje koristi lokalnim gospodarstvima u EU-u;</w:t>
      </w:r>
    </w:p>
    <w:p w14:paraId="7FDE283C" w14:textId="77777777" w:rsidR="007151F2" w:rsidRPr="00DB2967" w:rsidRDefault="007151F2" w:rsidP="007151F2">
      <w:pPr>
        <w:pStyle w:val="NormalHanging12a"/>
      </w:pPr>
      <w:r w:rsidRPr="00DB2967">
        <w:t>46.</w:t>
      </w:r>
      <w:r w:rsidRPr="00DB2967">
        <w:tab/>
        <w:t>podržava privremeno gospodarsko iskorištavanje određenih invazivnih stranih vrsta, kao što su alge, u prehrambene i neprehrambene svrhe; ističe da bi se one mogli upotrebljavati i za hranu za životinje i ribu, lijekove, ambalažu, kozmetiku ili biogoriva, a ne samo za prehranu ljudi;</w:t>
      </w:r>
    </w:p>
    <w:p w14:paraId="08BA7957" w14:textId="77777777" w:rsidR="007151F2" w:rsidRPr="00DB2967" w:rsidRDefault="007151F2" w:rsidP="007151F2">
      <w:pPr>
        <w:pStyle w:val="NormalHanging12a"/>
      </w:pPr>
      <w:r w:rsidRPr="00DB2967">
        <w:t>47.</w:t>
      </w:r>
      <w:r w:rsidRPr="00DB2967">
        <w:tab/>
        <w:t xml:space="preserve">ponavlja da je krajnji cilj i dalje iskorjenjivanje invazivnih stranih vrsta; u tom pogledu naglašava da bi gospodarska ovisnost o iskorištavanju invazivnih stranih vrsta uvijek trebala biti privremena ili sekundarna te da se njome ne smije poticati širenje tih vrsta ili njihovo stavljanje na tržište; </w:t>
      </w:r>
    </w:p>
    <w:p w14:paraId="74CDB5AD" w14:textId="77777777" w:rsidR="007151F2" w:rsidRPr="00DB2967" w:rsidRDefault="007151F2" w:rsidP="007151F2">
      <w:pPr>
        <w:pStyle w:val="NormalHanging12a"/>
      </w:pPr>
      <w:r w:rsidRPr="00DB2967">
        <w:t>48.</w:t>
      </w:r>
      <w:r w:rsidRPr="00DB2967">
        <w:tab/>
        <w:t>traži povećanu i namjensku financijsku potporu za poboljšanje učinkovitog upravljanja i zaštite obalnih životnih uvjeta i morskih ekosustava te očuvanja osjetljivih vrsta, kao i uspostavu sustava informiranja, praćenja i ranog upozoravanja za invazivne strane vrste na regionalnoj i nacionalnoj razini te na razini EU-a, s obzirom na pozitivan učinak takve potpore na ribarstvo, bioraznolikost i ekosustave;</w:t>
      </w:r>
    </w:p>
    <w:p w14:paraId="12BF9B19" w14:textId="77777777" w:rsidR="007151F2" w:rsidRPr="00DB2967" w:rsidRDefault="007151F2" w:rsidP="007151F2">
      <w:pPr>
        <w:pStyle w:val="NormalHanging12a"/>
      </w:pPr>
      <w:r w:rsidRPr="00DB2967">
        <w:t>49.</w:t>
      </w:r>
      <w:r w:rsidRPr="00DB2967">
        <w:tab/>
        <w:t>ustraje u tome da se u budući višegodišnji financijski okvir uključi financiranje kako bi se ojačala konkurentnost ribarske flote s obzirom na izazove kao što su rastući troškovi, gubitak ribolovnih područja i utjecaj invazivnih vrsta; smatra da je prioritet poboljšati pristup financijskim sredstvima za ribare kako bi modernizirali svoja plovila, digitalizirali svoje aktivnosti i diversificirali svoje izvore prihoda;</w:t>
      </w:r>
    </w:p>
    <w:p w14:paraId="5BADBB43" w14:textId="77777777" w:rsidR="007151F2" w:rsidRPr="00DB2967" w:rsidRDefault="007151F2" w:rsidP="007151F2">
      <w:pPr>
        <w:pStyle w:val="NormalHanging12a"/>
      </w:pPr>
      <w:r w:rsidRPr="00DB2967">
        <w:lastRenderedPageBreak/>
        <w:t>50.</w:t>
      </w:r>
      <w:r w:rsidRPr="00DB2967">
        <w:tab/>
        <w:t>podsjeća Komisiju da najudaljenije regije te otočna i obalna područja služe kao važne sigurne luke za osjetljive morske vrste, a istodobno su vrlo osjetljive na invazivne strane vrste; traži da se prepozna važnost zaštite tih osjetljivih vrsta i borbe protiv invazivnih stranih vrsta u tim regijama, osobito uspostavom posebnog programa mogućnosti za lokalno ribarstvo specifičnih za udaljena i otočna područja; ističe potencijal održivog ekoturizma kao sredstva za pružanje mogućnosti diversifikacije, uz istodobno očuvanje jedinstvene bioraznolikosti tih regija i ostvarivanje izravnih koristi za sektore ribarstva i akvakulture;</w:t>
      </w:r>
    </w:p>
    <w:p w14:paraId="32F5E77C" w14:textId="77777777" w:rsidR="007151F2" w:rsidRPr="00DB2967" w:rsidRDefault="007151F2" w:rsidP="007151F2">
      <w:pPr>
        <w:pStyle w:val="NormalCenter12a"/>
      </w:pPr>
      <w:r w:rsidRPr="00DB2967">
        <w:t>°</w:t>
      </w:r>
    </w:p>
    <w:p w14:paraId="1EBE5A56" w14:textId="77777777" w:rsidR="007151F2" w:rsidRPr="00DB2967" w:rsidRDefault="007151F2" w:rsidP="007151F2">
      <w:pPr>
        <w:pStyle w:val="NormalCenter12a"/>
      </w:pPr>
      <w:r w:rsidRPr="00DB2967">
        <w:t>°</w:t>
      </w:r>
      <w:r w:rsidRPr="00DB2967">
        <w:tab/>
        <w:t>°</w:t>
      </w:r>
    </w:p>
    <w:p w14:paraId="079C6A5D" w14:textId="06F68553" w:rsidR="00F47EB0" w:rsidRPr="00DB2967" w:rsidRDefault="007151F2" w:rsidP="00F47EB0">
      <w:pPr>
        <w:pStyle w:val="NormalHanging12a"/>
      </w:pPr>
      <w:r w:rsidRPr="00DB2967">
        <w:t>51.</w:t>
      </w:r>
      <w:r w:rsidRPr="00DB2967">
        <w:tab/>
        <w:t>nalaže svojoj predsjednici da ovu Rezoluciju proslijedi Vijeću i Komisiji.</w:t>
      </w:r>
    </w:p>
    <w:p w14:paraId="0BDD9831" w14:textId="5F47542E" w:rsidR="00E365E1" w:rsidRPr="00DB2967" w:rsidRDefault="00E365E1" w:rsidP="00DB1E4F"/>
    <w:sectPr w:rsidR="00E365E1" w:rsidRPr="00DB2967" w:rsidSect="00F47E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AE39" w14:textId="77777777" w:rsidR="00DB1E4F" w:rsidRPr="00F47EB0" w:rsidRDefault="00DB1E4F">
      <w:r w:rsidRPr="00F47EB0">
        <w:separator/>
      </w:r>
    </w:p>
  </w:endnote>
  <w:endnote w:type="continuationSeparator" w:id="0">
    <w:p w14:paraId="2443D01F" w14:textId="77777777" w:rsidR="00DB1E4F" w:rsidRPr="00F47EB0" w:rsidRDefault="00DB1E4F">
      <w:r w:rsidRPr="00F47E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3159" w14:textId="77777777" w:rsidR="00064002" w:rsidRPr="00F47E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4A62" w14:textId="77777777" w:rsidR="00064002" w:rsidRPr="00F47E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60C1" w14:textId="77777777" w:rsidR="00064002" w:rsidRPr="00F47E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7FEB" w14:textId="77777777" w:rsidR="00DB1E4F" w:rsidRPr="00F47EB0" w:rsidRDefault="00DB1E4F">
      <w:r w:rsidRPr="00F47EB0">
        <w:separator/>
      </w:r>
    </w:p>
  </w:footnote>
  <w:footnote w:type="continuationSeparator" w:id="0">
    <w:p w14:paraId="12844ED8" w14:textId="77777777" w:rsidR="00DB1E4F" w:rsidRPr="00F47EB0" w:rsidRDefault="00DB1E4F">
      <w:r w:rsidRPr="00F47EB0">
        <w:continuationSeparator/>
      </w:r>
    </w:p>
  </w:footnote>
  <w:footnote w:id="1">
    <w:p w14:paraId="7401363F" w14:textId="545A4B44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 L 354, 28.12.2013., str. 22</w:t>
      </w:r>
      <w:r w:rsidR="00BE1548">
        <w:rPr>
          <w:sz w:val="24"/>
          <w:lang w:val="hr-HR"/>
        </w:rPr>
        <w:t>.</w:t>
      </w:r>
      <w:r w:rsidRPr="00F47EB0">
        <w:rPr>
          <w:sz w:val="24"/>
          <w:lang w:val="hr-HR"/>
        </w:rPr>
        <w:t xml:space="preserve">, ELI: </w:t>
      </w:r>
      <w:hyperlink r:id="rId1" w:history="1">
        <w:r w:rsidRPr="00F47EB0">
          <w:rPr>
            <w:rStyle w:val="Hyperlink"/>
            <w:sz w:val="24"/>
            <w:lang w:val="hr-HR"/>
          </w:rPr>
          <w:t>http://data.europa.eu/eli/reg/2013/1380/oj</w:t>
        </w:r>
      </w:hyperlink>
      <w:r w:rsidRPr="00F47EB0">
        <w:rPr>
          <w:sz w:val="24"/>
          <w:lang w:val="hr-HR"/>
        </w:rPr>
        <w:t>.</w:t>
      </w:r>
    </w:p>
  </w:footnote>
  <w:footnote w:id="2">
    <w:p w14:paraId="6D8B123C" w14:textId="0A20FED3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SL L 317, 4.11.2014., str. 35., ELI: </w:t>
      </w:r>
      <w:hyperlink r:id="rId2" w:history="1">
        <w:r w:rsidRPr="00F47EB0">
          <w:rPr>
            <w:rStyle w:val="Hyperlink"/>
            <w:sz w:val="24"/>
            <w:lang w:val="hr-HR"/>
          </w:rPr>
          <w:t>http://data.europa.eu/eli/reg/2014/1143/oj</w:t>
        </w:r>
      </w:hyperlink>
      <w:r w:rsidRPr="00F47EB0">
        <w:rPr>
          <w:sz w:val="24"/>
          <w:lang w:val="hr-HR"/>
        </w:rPr>
        <w:t>.</w:t>
      </w:r>
    </w:p>
  </w:footnote>
  <w:footnote w:id="3">
    <w:p w14:paraId="0B4771AD" w14:textId="1B02227F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bookmarkStart w:id="7" w:name="_Hlk220422172"/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L 286, 31.10.2009., str. 36</w:t>
      </w:r>
      <w:r w:rsidR="00BE1548">
        <w:rPr>
          <w:sz w:val="24"/>
          <w:lang w:val="hr-HR"/>
        </w:rPr>
        <w:t>.</w:t>
      </w:r>
      <w:r w:rsidRPr="00F47EB0">
        <w:rPr>
          <w:sz w:val="24"/>
          <w:lang w:val="hr-HR"/>
        </w:rPr>
        <w:t xml:space="preserve">, ELI: </w:t>
      </w:r>
      <w:hyperlink r:id="rId3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http://data.europa.eu/eli/reg/2009/1007/oj</w:t>
        </w:r>
      </w:hyperlink>
      <w:bookmarkEnd w:id="7"/>
      <w:r w:rsidRPr="00F47EB0">
        <w:rPr>
          <w:sz w:val="24"/>
          <w:lang w:val="hr-HR"/>
        </w:rPr>
        <w:t>.</w:t>
      </w:r>
    </w:p>
  </w:footnote>
  <w:footnote w:id="4">
    <w:p w14:paraId="4EE0A049" w14:textId="37617761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SL L 343, 22.12.2009., str. 1., ELI: </w:t>
      </w:r>
      <w:hyperlink r:id="rId4" w:history="1">
        <w:r w:rsidRPr="00F47EB0">
          <w:rPr>
            <w:rStyle w:val="Hyperlink"/>
            <w:sz w:val="24"/>
            <w:lang w:val="hr-HR"/>
          </w:rPr>
          <w:t>http://data.europa.eu/eli/reg/2009/1224/oj</w:t>
        </w:r>
      </w:hyperlink>
      <w:r w:rsidRPr="00F47EB0">
        <w:rPr>
          <w:sz w:val="24"/>
          <w:lang w:val="hr-HR"/>
        </w:rPr>
        <w:t>.</w:t>
      </w:r>
    </w:p>
  </w:footnote>
  <w:footnote w:id="5">
    <w:p w14:paraId="1A71F154" w14:textId="3D24C1CD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L 198, 25.7.2019., str. 105., ELI: </w:t>
      </w:r>
      <w:hyperlink r:id="rId5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http://data.europa.eu/eli/reg/2019/1241/oj</w:t>
        </w:r>
      </w:hyperlink>
      <w:r w:rsidRPr="00F47EB0">
        <w:rPr>
          <w:sz w:val="24"/>
          <w:lang w:val="hr-HR"/>
        </w:rPr>
        <w:t>.</w:t>
      </w:r>
    </w:p>
  </w:footnote>
  <w:footnote w:id="6">
    <w:p w14:paraId="2043F112" w14:textId="1502A0F6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SL L, 2023/2842, 20.12.2023., ELI: </w:t>
      </w:r>
      <w:hyperlink r:id="rId6" w:history="1">
        <w:r w:rsidRPr="00F47EB0">
          <w:rPr>
            <w:rStyle w:val="Hyperlink"/>
            <w:sz w:val="24"/>
            <w:lang w:val="hr-HR"/>
          </w:rPr>
          <w:t>http://data.europa.eu/eli/reg/2023/2842/oj</w:t>
        </w:r>
      </w:hyperlink>
      <w:r w:rsidRPr="00F47EB0">
        <w:rPr>
          <w:sz w:val="24"/>
          <w:lang w:val="hr-HR"/>
        </w:rPr>
        <w:t>.</w:t>
      </w:r>
      <w:r w:rsidRPr="00F47EB0">
        <w:rPr>
          <w:rStyle w:val="Hyperlink"/>
          <w:sz w:val="24"/>
          <w:lang w:val="hr-HR"/>
        </w:rPr>
        <w:t xml:space="preserve"> </w:t>
      </w:r>
    </w:p>
  </w:footnote>
  <w:footnote w:id="7">
    <w:p w14:paraId="6983F2F0" w14:textId="28B80962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bookmarkStart w:id="8" w:name="_Hlk220422577"/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L, 2024/1991, 29.7.2024., ELI: </w:t>
      </w:r>
      <w:hyperlink r:id="rId7" w:tgtFrame="_blank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http://data.europa.eu/eli/reg/2024/1991/oj)</w:t>
        </w:r>
      </w:hyperlink>
      <w:bookmarkEnd w:id="8"/>
      <w:r w:rsidRPr="00F47EB0">
        <w:rPr>
          <w:sz w:val="24"/>
          <w:lang w:val="hr-HR"/>
        </w:rPr>
        <w:t>.</w:t>
      </w:r>
    </w:p>
  </w:footnote>
  <w:footnote w:id="8">
    <w:p w14:paraId="060BD242" w14:textId="64DF2584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SL L 206, </w:t>
      </w:r>
      <w:r w:rsidRPr="00F47EB0">
        <w:rPr>
          <w:sz w:val="24"/>
          <w:lang w:val="hr-HR"/>
        </w:rPr>
        <w:t>22.7.1992</w:t>
      </w:r>
      <w:r w:rsidR="003E23B3">
        <w:rPr>
          <w:sz w:val="24"/>
          <w:lang w:val="hr-HR"/>
        </w:rPr>
        <w:t>.</w:t>
      </w:r>
      <w:r w:rsidRPr="00F47EB0">
        <w:rPr>
          <w:sz w:val="24"/>
          <w:lang w:val="hr-HR"/>
        </w:rPr>
        <w:t xml:space="preserve">, str. 7., ELI: </w:t>
      </w:r>
      <w:hyperlink r:id="rId8" w:history="1">
        <w:r w:rsidRPr="00F47EB0">
          <w:rPr>
            <w:rStyle w:val="Hyperlink"/>
            <w:sz w:val="24"/>
            <w:lang w:val="hr-HR"/>
          </w:rPr>
          <w:t>http://data.europa.eu/eli/dir/1992/43/oj</w:t>
        </w:r>
      </w:hyperlink>
      <w:r w:rsidRPr="00F47EB0">
        <w:rPr>
          <w:sz w:val="24"/>
          <w:lang w:val="hr-HR"/>
        </w:rPr>
        <w:t>.</w:t>
      </w:r>
    </w:p>
  </w:footnote>
  <w:footnote w:id="9">
    <w:p w14:paraId="0E8DE521" w14:textId="50FD4C82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 L 164, 25.6.2008., str. 19., ELI: </w:t>
      </w:r>
      <w:hyperlink r:id="rId9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http://data.europa.eu/eli/dir/2008/56/oj</w:t>
        </w:r>
      </w:hyperlink>
      <w:r w:rsidRPr="00F47EB0">
        <w:rPr>
          <w:sz w:val="24"/>
          <w:lang w:val="hr-HR"/>
        </w:rPr>
        <w:t>.</w:t>
      </w:r>
    </w:p>
  </w:footnote>
  <w:footnote w:id="10">
    <w:p w14:paraId="749BCA79" w14:textId="0D213998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SL L 20, 26.1.2010., str. 7., ELI: </w:t>
      </w:r>
      <w:hyperlink r:id="rId10" w:history="1">
        <w:r w:rsidRPr="00F47EB0">
          <w:rPr>
            <w:rStyle w:val="Hyperlink"/>
            <w:sz w:val="24"/>
            <w:lang w:val="hr-HR"/>
          </w:rPr>
          <w:t>http://data.europa.eu/eli/dir/2009/147/oj</w:t>
        </w:r>
      </w:hyperlink>
      <w:r w:rsidRPr="00F47EB0">
        <w:rPr>
          <w:sz w:val="24"/>
          <w:lang w:val="hr-HR"/>
        </w:rPr>
        <w:t>.</w:t>
      </w:r>
    </w:p>
  </w:footnote>
  <w:footnote w:id="11">
    <w:p w14:paraId="17B37999" w14:textId="19AA81D2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bookmarkStart w:id="9" w:name="_Hlk219910362"/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C 67, 8.2.2022., str. 25.</w:t>
      </w:r>
      <w:bookmarkEnd w:id="9"/>
    </w:p>
  </w:footnote>
  <w:footnote w:id="12">
    <w:p w14:paraId="5B4C9CF3" w14:textId="5043D268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C, C/2023/1074, 15.12.2023., ELI: </w:t>
      </w:r>
      <w:hyperlink r:id="rId11" w:tgtFrame="_blank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http://data.europa.eu/eli/C/2023/1074/oj</w:t>
        </w:r>
      </w:hyperlink>
      <w:r w:rsidRPr="00F47EB0">
        <w:rPr>
          <w:sz w:val="24"/>
          <w:lang w:val="hr-HR"/>
        </w:rPr>
        <w:t>.</w:t>
      </w:r>
    </w:p>
  </w:footnote>
  <w:footnote w:id="13">
    <w:p w14:paraId="252E033A" w14:textId="75C93190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>SL C, C/2024/5734, 17.10.2024., ELI: </w:t>
      </w:r>
      <w:hyperlink r:id="rId12" w:tgtFrame="_blank" w:tooltip="Poveznica ELI URI za pristup dokumentu." w:history="1">
        <w:r w:rsidRPr="00F47EB0">
          <w:rPr>
            <w:rStyle w:val="Hyperlink"/>
            <w:sz w:val="24"/>
            <w:lang w:val="hr-HR"/>
          </w:rPr>
          <w:t>http://data.europa.eu/eli/C/2024/5734/oj</w:t>
        </w:r>
      </w:hyperlink>
      <w:r w:rsidRPr="00F47EB0">
        <w:rPr>
          <w:sz w:val="24"/>
          <w:lang w:val="hr-HR"/>
        </w:rPr>
        <w:t>.</w:t>
      </w:r>
    </w:p>
  </w:footnote>
  <w:footnote w:id="14">
    <w:p w14:paraId="713E7F97" w14:textId="2C0C13DB" w:rsidR="007151F2" w:rsidRPr="00F47EB0" w:rsidRDefault="007151F2" w:rsidP="00F47EB0">
      <w:pPr>
        <w:pStyle w:val="FootnoteText"/>
        <w:ind w:left="567" w:hanging="567"/>
        <w:rPr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F47EB0">
        <w:rPr>
          <w:sz w:val="24"/>
          <w:lang w:val="hr-HR"/>
        </w:rPr>
        <w:t xml:space="preserve">Europska agencija za okoliš, „Zaštićena morska područja u europskim morima” („Marine </w:t>
      </w:r>
      <w:proofErr w:type="spellStart"/>
      <w:r w:rsidRPr="00F47EB0">
        <w:rPr>
          <w:sz w:val="24"/>
          <w:lang w:val="hr-HR"/>
        </w:rPr>
        <w:t>protected</w:t>
      </w:r>
      <w:proofErr w:type="spellEnd"/>
      <w:r w:rsidRPr="00F47EB0">
        <w:rPr>
          <w:sz w:val="24"/>
          <w:lang w:val="hr-HR"/>
        </w:rPr>
        <w:t xml:space="preserve"> </w:t>
      </w:r>
      <w:proofErr w:type="spellStart"/>
      <w:r w:rsidRPr="00F47EB0">
        <w:rPr>
          <w:sz w:val="24"/>
          <w:lang w:val="hr-HR"/>
        </w:rPr>
        <w:t>areas</w:t>
      </w:r>
      <w:proofErr w:type="spellEnd"/>
      <w:r w:rsidRPr="00F47EB0">
        <w:rPr>
          <w:sz w:val="24"/>
          <w:lang w:val="hr-HR"/>
        </w:rPr>
        <w:t xml:space="preserve"> </w:t>
      </w:r>
      <w:proofErr w:type="spellStart"/>
      <w:r w:rsidRPr="00F47EB0">
        <w:rPr>
          <w:sz w:val="24"/>
          <w:lang w:val="hr-HR"/>
        </w:rPr>
        <w:t>in</w:t>
      </w:r>
      <w:proofErr w:type="spellEnd"/>
      <w:r w:rsidRPr="00F47EB0">
        <w:rPr>
          <w:sz w:val="24"/>
          <w:lang w:val="hr-HR"/>
        </w:rPr>
        <w:t xml:space="preserve"> </w:t>
      </w:r>
      <w:proofErr w:type="spellStart"/>
      <w:r w:rsidRPr="00F47EB0">
        <w:rPr>
          <w:sz w:val="24"/>
          <w:lang w:val="hr-HR"/>
        </w:rPr>
        <w:t>Europe’s</w:t>
      </w:r>
      <w:proofErr w:type="spellEnd"/>
      <w:r w:rsidRPr="00F47EB0">
        <w:rPr>
          <w:sz w:val="24"/>
          <w:lang w:val="hr-HR"/>
        </w:rPr>
        <w:t xml:space="preserve"> </w:t>
      </w:r>
      <w:proofErr w:type="spellStart"/>
      <w:r w:rsidRPr="00F47EB0">
        <w:rPr>
          <w:sz w:val="24"/>
          <w:lang w:val="hr-HR"/>
        </w:rPr>
        <w:t>Seas</w:t>
      </w:r>
      <w:proofErr w:type="spellEnd"/>
      <w:r w:rsidRPr="00F47EB0">
        <w:rPr>
          <w:sz w:val="24"/>
          <w:lang w:val="hr-HR"/>
        </w:rPr>
        <w:t>”), internetske stranice Europske agencije za okoliš – Analiza i podaci – pokazatelji, 6. studenoga 2025.</w:t>
      </w:r>
    </w:p>
  </w:footnote>
  <w:footnote w:id="15">
    <w:p w14:paraId="05B1B48D" w14:textId="27D905A1" w:rsidR="007151F2" w:rsidRPr="00DB2967" w:rsidRDefault="007151F2" w:rsidP="00F47EB0">
      <w:pPr>
        <w:pStyle w:val="FootnoteText"/>
        <w:ind w:left="567" w:hanging="567"/>
        <w:rPr>
          <w:bCs/>
          <w:iCs/>
          <w:sz w:val="24"/>
          <w:lang w:val="hr-HR"/>
        </w:rPr>
      </w:pPr>
      <w:r w:rsidRPr="00F47EB0">
        <w:rPr>
          <w:rStyle w:val="FootnoteReference"/>
          <w:sz w:val="24"/>
          <w:lang w:val="hr-HR"/>
        </w:rPr>
        <w:footnoteRef/>
      </w:r>
      <w:r w:rsidR="00F47EB0" w:rsidRPr="00F47EB0">
        <w:rPr>
          <w:sz w:val="24"/>
          <w:lang w:val="hr-HR"/>
        </w:rPr>
        <w:t xml:space="preserve"> </w:t>
      </w:r>
      <w:r w:rsidR="00F47EB0" w:rsidRPr="00F47EB0">
        <w:rPr>
          <w:sz w:val="24"/>
          <w:lang w:val="hr-HR"/>
        </w:rPr>
        <w:tab/>
      </w:r>
      <w:r w:rsidRPr="00DB2967">
        <w:rPr>
          <w:rStyle w:val="FootnoteReference"/>
          <w:sz w:val="24"/>
          <w:vertAlign w:val="baseline"/>
          <w:lang w:val="hr-HR"/>
        </w:rPr>
        <w:t>Europska komisija, „Studija o propisima u zaštićenim morskim područjima EU-a: uvid i posljedice”, internetska stranica portala Misije za oceane i vode</w:t>
      </w:r>
      <w:r w:rsidR="00DB2967">
        <w:rPr>
          <w:rStyle w:val="FootnoteReference"/>
          <w:sz w:val="24"/>
          <w:vertAlign w:val="baseline"/>
          <w:lang w:val="hr-HR"/>
        </w:rPr>
        <w:t>.</w:t>
      </w:r>
    </w:p>
  </w:footnote>
  <w:footnote w:id="16">
    <w:p w14:paraId="4821BE5B" w14:textId="2B1B7B56" w:rsidR="00513BFC" w:rsidRPr="00A04E47" w:rsidRDefault="00513BFC" w:rsidP="00A04E47">
      <w:pPr>
        <w:pStyle w:val="FootnoteText"/>
        <w:ind w:left="567" w:hanging="567"/>
        <w:rPr>
          <w:sz w:val="24"/>
          <w:szCs w:val="24"/>
          <w:lang w:val="hr-HR"/>
        </w:rPr>
      </w:pPr>
      <w:r w:rsidRPr="00A04E47">
        <w:rPr>
          <w:rStyle w:val="FootnoteReference"/>
          <w:sz w:val="24"/>
          <w:szCs w:val="24"/>
        </w:rPr>
        <w:footnoteRef/>
      </w:r>
      <w:r w:rsidRPr="00A04E47">
        <w:rPr>
          <w:sz w:val="24"/>
          <w:szCs w:val="24"/>
        </w:rPr>
        <w:t xml:space="preserve"> </w:t>
      </w:r>
      <w:r w:rsidRPr="00A04E47">
        <w:rPr>
          <w:sz w:val="24"/>
          <w:szCs w:val="24"/>
          <w:lang w:val="hr-HR"/>
        </w:rPr>
        <w:tab/>
      </w:r>
      <w:r w:rsidRPr="00A04E47">
        <w:rPr>
          <w:sz w:val="24"/>
          <w:szCs w:val="24"/>
          <w:lang w:val="hr-HR" w:eastAsia="en-US"/>
        </w:rPr>
        <w:t>Europska komisija, „Trgovina proizvodima od tuljana – provjera primjerenosti pravila EU-a”, internetske stranice Europske komisije.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04C2" w14:textId="77777777" w:rsidR="00064002" w:rsidRPr="00F47E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4D57" w14:textId="77777777" w:rsidR="00064002" w:rsidRPr="00F47E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9A70" w14:textId="77777777" w:rsidR="00064002" w:rsidRPr="00F47E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9543101">
    <w:abstractNumId w:val="9"/>
  </w:num>
  <w:num w:numId="2" w16cid:durableId="1603956739">
    <w:abstractNumId w:val="9"/>
  </w:num>
  <w:num w:numId="3" w16cid:durableId="1580674815">
    <w:abstractNumId w:val="7"/>
  </w:num>
  <w:num w:numId="4" w16cid:durableId="1081636977">
    <w:abstractNumId w:val="7"/>
  </w:num>
  <w:num w:numId="5" w16cid:durableId="957639330">
    <w:abstractNumId w:val="6"/>
  </w:num>
  <w:num w:numId="6" w16cid:durableId="2029065962">
    <w:abstractNumId w:val="6"/>
  </w:num>
  <w:num w:numId="7" w16cid:durableId="1378512559">
    <w:abstractNumId w:val="5"/>
  </w:num>
  <w:num w:numId="8" w16cid:durableId="1615676056">
    <w:abstractNumId w:val="5"/>
  </w:num>
  <w:num w:numId="9" w16cid:durableId="1926647359">
    <w:abstractNumId w:val="4"/>
  </w:num>
  <w:num w:numId="10" w16cid:durableId="1444617893">
    <w:abstractNumId w:val="4"/>
  </w:num>
  <w:num w:numId="11" w16cid:durableId="731394071">
    <w:abstractNumId w:val="8"/>
  </w:num>
  <w:num w:numId="12" w16cid:durableId="1546215112">
    <w:abstractNumId w:val="8"/>
  </w:num>
  <w:num w:numId="13" w16cid:durableId="1169950980">
    <w:abstractNumId w:val="3"/>
  </w:num>
  <w:num w:numId="14" w16cid:durableId="160974272">
    <w:abstractNumId w:val="3"/>
  </w:num>
  <w:num w:numId="15" w16cid:durableId="1985355750">
    <w:abstractNumId w:val="2"/>
  </w:num>
  <w:num w:numId="16" w16cid:durableId="645014798">
    <w:abstractNumId w:val="2"/>
  </w:num>
  <w:num w:numId="17" w16cid:durableId="501436983">
    <w:abstractNumId w:val="1"/>
  </w:num>
  <w:num w:numId="18" w16cid:durableId="1028332786">
    <w:abstractNumId w:val="1"/>
  </w:num>
  <w:num w:numId="19" w16cid:durableId="1239942887">
    <w:abstractNumId w:val="0"/>
  </w:num>
  <w:num w:numId="20" w16cid:durableId="1583684233">
    <w:abstractNumId w:val="0"/>
  </w:num>
  <w:num w:numId="21" w16cid:durableId="1420561244">
    <w:abstractNumId w:val="9"/>
  </w:num>
  <w:num w:numId="22" w16cid:durableId="2016110156">
    <w:abstractNumId w:val="7"/>
  </w:num>
  <w:num w:numId="23" w16cid:durableId="1820340881">
    <w:abstractNumId w:val="6"/>
  </w:num>
  <w:num w:numId="24" w16cid:durableId="1447890629">
    <w:abstractNumId w:val="5"/>
  </w:num>
  <w:num w:numId="25" w16cid:durableId="1577090828">
    <w:abstractNumId w:val="4"/>
  </w:num>
  <w:num w:numId="26" w16cid:durableId="1912737428">
    <w:abstractNumId w:val="8"/>
  </w:num>
  <w:num w:numId="27" w16cid:durableId="1382560322">
    <w:abstractNumId w:val="3"/>
  </w:num>
  <w:num w:numId="28" w16cid:durableId="560604293">
    <w:abstractNumId w:val="2"/>
  </w:num>
  <w:num w:numId="29" w16cid:durableId="1382705079">
    <w:abstractNumId w:val="1"/>
  </w:num>
  <w:num w:numId="30" w16cid:durableId="1530072378">
    <w:abstractNumId w:val="0"/>
  </w:num>
  <w:num w:numId="31" w16cid:durableId="1843659229">
    <w:abstractNumId w:val="9"/>
  </w:num>
  <w:num w:numId="32" w16cid:durableId="1843929727">
    <w:abstractNumId w:val="7"/>
  </w:num>
  <w:num w:numId="33" w16cid:durableId="965044990">
    <w:abstractNumId w:val="6"/>
  </w:num>
  <w:num w:numId="34" w16cid:durableId="1673755518">
    <w:abstractNumId w:val="5"/>
  </w:num>
  <w:num w:numId="35" w16cid:durableId="1011028189">
    <w:abstractNumId w:val="4"/>
  </w:num>
  <w:num w:numId="36" w16cid:durableId="834613890">
    <w:abstractNumId w:val="8"/>
  </w:num>
  <w:num w:numId="37" w16cid:durableId="1496456598">
    <w:abstractNumId w:val="3"/>
  </w:num>
  <w:num w:numId="38" w16cid:durableId="1653755267">
    <w:abstractNumId w:val="2"/>
  </w:num>
  <w:num w:numId="39" w16cid:durableId="1289244773">
    <w:abstractNumId w:val="1"/>
  </w:num>
  <w:num w:numId="40" w16cid:durableId="1022975849">
    <w:abstractNumId w:val="0"/>
  </w:num>
  <w:num w:numId="41" w16cid:durableId="316611328">
    <w:abstractNumId w:val="10"/>
  </w:num>
  <w:num w:numId="42" w16cid:durableId="262539506">
    <w:abstractNumId w:val="10"/>
  </w:num>
  <w:num w:numId="43" w16cid:durableId="790439757">
    <w:abstractNumId w:val="10"/>
  </w:num>
  <w:num w:numId="44" w16cid:durableId="81873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HR"/>
    <w:docVar w:name="dvnumam" w:val="0"/>
    <w:docVar w:name="dvpe" w:val="769.962"/>
    <w:docVar w:name="dvrapporteur" w:val="Izvjestitelj: "/>
    <w:docVar w:name="dvtitre" w:val="Rezolucija Europskog parlamenta od .... 2026. o pristupima upravljanju ribarstvom za zaštitu osjetljivih vrsta, rješavanju problema invazivnih vrsta i ostvarivanju koristi za lokalna gospodarstva(2025/2011(INI))"/>
  </w:docVars>
  <w:rsids>
    <w:rsidRoot w:val="00DB1E4F"/>
    <w:rsid w:val="00002272"/>
    <w:rsid w:val="00003A73"/>
    <w:rsid w:val="0001722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3B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BF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51F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E4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548"/>
    <w:rsid w:val="00BE6ADC"/>
    <w:rsid w:val="00C05BFE"/>
    <w:rsid w:val="00C23CD4"/>
    <w:rsid w:val="00C61C0C"/>
    <w:rsid w:val="00C941CB"/>
    <w:rsid w:val="00CC2357"/>
    <w:rsid w:val="00CF071A"/>
    <w:rsid w:val="00D058B8"/>
    <w:rsid w:val="00D43540"/>
    <w:rsid w:val="00D56C11"/>
    <w:rsid w:val="00D834A0"/>
    <w:rsid w:val="00D872DF"/>
    <w:rsid w:val="00D91E21"/>
    <w:rsid w:val="00DA7FCD"/>
    <w:rsid w:val="00DB1E4F"/>
    <w:rsid w:val="00DB296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E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10626"/>
  <w15:chartTrackingRefBased/>
  <w15:docId w15:val="{5E3D50EB-36E6-473C-A50F-3D6DDF42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51F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7151F2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7151F2"/>
    <w:pPr>
      <w:spacing w:after="240"/>
      <w:jc w:val="center"/>
    </w:pPr>
  </w:style>
  <w:style w:type="paragraph" w:customStyle="1" w:styleId="Normal6a">
    <w:name w:val="Normal6a"/>
    <w:basedOn w:val="Normal"/>
    <w:rsid w:val="007151F2"/>
    <w:pPr>
      <w:spacing w:after="120"/>
    </w:pPr>
  </w:style>
  <w:style w:type="character" w:customStyle="1" w:styleId="BoldItalic">
    <w:name w:val="BoldItalic"/>
    <w:uiPriority w:val="1"/>
    <w:rsid w:val="007151F2"/>
    <w:rPr>
      <w:b/>
      <w:i/>
      <w:u w:val="none"/>
    </w:rPr>
  </w:style>
  <w:style w:type="character" w:customStyle="1" w:styleId="Italic">
    <w:name w:val="Italic"/>
    <w:uiPriority w:val="1"/>
    <w:rsid w:val="007151F2"/>
    <w:rPr>
      <w:i/>
    </w:rPr>
  </w:style>
  <w:style w:type="paragraph" w:customStyle="1" w:styleId="Normal12a24b">
    <w:name w:val="Normal12a24b"/>
    <w:basedOn w:val="Normal"/>
    <w:rsid w:val="007151F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7151F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151F2"/>
    <w:rPr>
      <w:snapToGrid w:val="0"/>
      <w:sz w:val="24"/>
      <w:lang w:val="hr-HR" w:eastAsia="en-US"/>
    </w:rPr>
  </w:style>
  <w:style w:type="paragraph" w:styleId="Revision">
    <w:name w:val="Revision"/>
    <w:hidden/>
    <w:uiPriority w:val="99"/>
    <w:semiHidden/>
    <w:rsid w:val="00BE154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2/43/oj." TargetMode="External"/><Relationship Id="rId3" Type="http://schemas.openxmlformats.org/officeDocument/2006/relationships/hyperlink" Target="http://data.europa.eu/eli/reg/2009/1007/oj" TargetMode="External"/><Relationship Id="rId7" Type="http://schemas.openxmlformats.org/officeDocument/2006/relationships/hyperlink" Target="http://data.europa.eu/eli/reg/2024/1991/oj" TargetMode="External"/><Relationship Id="rId12" Type="http://schemas.openxmlformats.org/officeDocument/2006/relationships/hyperlink" Target="http://data.europa.eu/eli/C/2024/5734/oj" TargetMode="External"/><Relationship Id="rId2" Type="http://schemas.openxmlformats.org/officeDocument/2006/relationships/hyperlink" Target="http://data.europa.eu/eli/reg/2014/1143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2023/2842/oj" TargetMode="External"/><Relationship Id="rId11" Type="http://schemas.openxmlformats.org/officeDocument/2006/relationships/hyperlink" Target="http://data.europa.eu/eli/C/2023/1074/oj" TargetMode="External"/><Relationship Id="rId5" Type="http://schemas.openxmlformats.org/officeDocument/2006/relationships/hyperlink" Target="http://data.europa.eu/eli/reg/2019/1241/oj" TargetMode="External"/><Relationship Id="rId10" Type="http://schemas.openxmlformats.org/officeDocument/2006/relationships/hyperlink" Target="http://data.europa.eu/eli/dir/2009/147/oj;" TargetMode="External"/><Relationship Id="rId4" Type="http://schemas.openxmlformats.org/officeDocument/2006/relationships/hyperlink" Target="http://data.europa.eu/eli/reg/2009/1224/oj" TargetMode="External"/><Relationship Id="rId9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4499</Words>
  <Characters>27471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MEMIĆ Samir</cp:lastModifiedBy>
  <cp:revision>2</cp:revision>
  <cp:lastPrinted>2004-11-19T15:42:00Z</cp:lastPrinted>
  <dcterms:created xsi:type="dcterms:W3CDTF">2026-04-22T07:01:00Z</dcterms:created>
  <dcterms:modified xsi:type="dcterms:W3CDTF">2026-04-22T07:01:00Z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A10-0018/2026</vt:lpwstr>
  </property>
  <property fmtid="{D5CDD505-2E9C-101B-9397-08002B2CF9AE}" pid="4" name="&lt;Type&gt;">
    <vt:lpwstr>RR</vt:lpwstr>
  </property>
</Properties>
</file>