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1E8F" w14:paraId="0EDC7EB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CE520F" w14:textId="704E37AB" w:rsidR="00751A4A" w:rsidRPr="00511E8F" w:rsidRDefault="008C45E0" w:rsidP="0010095E">
            <w:pPr>
              <w:pStyle w:val="EPName"/>
            </w:pPr>
            <w:r w:rsidRPr="00511E8F">
              <w:t>Parlament Europejski</w:t>
            </w:r>
          </w:p>
          <w:p w14:paraId="2B2EE6E3" w14:textId="77777777" w:rsidR="00751A4A" w:rsidRPr="00511E8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1E8F">
              <w:t>2024</w:t>
            </w:r>
            <w:r w:rsidR="00817416" w:rsidRPr="00511E8F">
              <w:t>-202</w:t>
            </w:r>
            <w:r w:rsidRPr="00511E8F">
              <w:t>9</w:t>
            </w:r>
          </w:p>
        </w:tc>
        <w:tc>
          <w:tcPr>
            <w:tcW w:w="2268" w:type="dxa"/>
            <w:shd w:val="clear" w:color="auto" w:fill="auto"/>
          </w:tcPr>
          <w:p w14:paraId="415C5959" w14:textId="77777777" w:rsidR="00751A4A" w:rsidRPr="00511E8F" w:rsidRDefault="00187494" w:rsidP="0010095E">
            <w:pPr>
              <w:pStyle w:val="EPLogo"/>
            </w:pPr>
            <w:r w:rsidRPr="00511E8F">
              <w:rPr>
                <w:noProof/>
                <w:lang w:eastAsia="ja-JP"/>
              </w:rPr>
              <w:drawing>
                <wp:inline distT="0" distB="0" distL="0" distR="0" wp14:anchorId="104B1AC0" wp14:editId="2C4DEB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F685C7" w14:textId="77777777" w:rsidR="00D058B8" w:rsidRPr="00511E8F" w:rsidRDefault="00D058B8" w:rsidP="004C5D52">
      <w:pPr>
        <w:pStyle w:val="LineTop"/>
      </w:pPr>
    </w:p>
    <w:p w14:paraId="7B7705D2" w14:textId="28951486" w:rsidR="00680577" w:rsidRPr="00511E8F" w:rsidRDefault="008C45E0" w:rsidP="00680577">
      <w:pPr>
        <w:pStyle w:val="EPBodyTA1"/>
      </w:pPr>
      <w:r w:rsidRPr="00511E8F">
        <w:t>TEKSTY PRZYJĘTE</w:t>
      </w:r>
    </w:p>
    <w:p w14:paraId="20274406" w14:textId="77777777" w:rsidR="00D058B8" w:rsidRPr="00511E8F" w:rsidRDefault="00D058B8" w:rsidP="00D058B8">
      <w:pPr>
        <w:pStyle w:val="LineBottom"/>
      </w:pPr>
    </w:p>
    <w:p w14:paraId="65C04467" w14:textId="751387CA" w:rsidR="008C45E0" w:rsidRPr="00511E8F" w:rsidRDefault="008C45E0" w:rsidP="008C45E0">
      <w:pPr>
        <w:pStyle w:val="ATHeading1"/>
      </w:pPr>
      <w:bookmarkStart w:id="0" w:name="TANumber"/>
      <w:r w:rsidRPr="00511E8F">
        <w:t>P10_TA(2026)00</w:t>
      </w:r>
      <w:bookmarkEnd w:id="0"/>
      <w:r w:rsidR="00511E8F">
        <w:t>67</w:t>
      </w:r>
    </w:p>
    <w:p w14:paraId="7B57AEB9" w14:textId="77777777" w:rsidR="008C45E0" w:rsidRPr="00511E8F" w:rsidRDefault="008C45E0" w:rsidP="008C45E0">
      <w:pPr>
        <w:pStyle w:val="ATHeading2"/>
      </w:pPr>
      <w:bookmarkStart w:id="1" w:name="title"/>
      <w:r w:rsidRPr="00511E8F">
        <w:t>Podejścia do zarządzania rybołówstwem sprzyjające ochronie wrażliwych gatunków, zwalczaniu gatunków inwazyjnych i korzyściom dla lokalnych gospodarek</w:t>
      </w:r>
      <w:bookmarkEnd w:id="1"/>
    </w:p>
    <w:p w14:paraId="0261A90F" w14:textId="77777777" w:rsidR="008C45E0" w:rsidRPr="00511E8F" w:rsidRDefault="008C45E0" w:rsidP="008C45E0">
      <w:pPr>
        <w:rPr>
          <w:i/>
          <w:vanish/>
        </w:rPr>
      </w:pPr>
      <w:r w:rsidRPr="00511E8F">
        <w:rPr>
          <w:i/>
        </w:rPr>
        <w:fldChar w:fldCharType="begin"/>
      </w:r>
      <w:r w:rsidRPr="00511E8F">
        <w:rPr>
          <w:i/>
        </w:rPr>
        <w:instrText xml:space="preserve"> TC"(</w:instrText>
      </w:r>
      <w:bookmarkStart w:id="2" w:name="DocNumber"/>
      <w:r w:rsidRPr="00511E8F">
        <w:rPr>
          <w:i/>
        </w:rPr>
        <w:instrText>A10-0018/2026</w:instrText>
      </w:r>
      <w:bookmarkEnd w:id="2"/>
      <w:r w:rsidRPr="00511E8F">
        <w:rPr>
          <w:i/>
        </w:rPr>
        <w:instrText xml:space="preserve"> - Sprawozdawca: André Rodrigues)"\l3 \n&gt; \* MERGEFORMAT </w:instrText>
      </w:r>
      <w:r w:rsidRPr="00511E8F">
        <w:rPr>
          <w:i/>
        </w:rPr>
        <w:fldChar w:fldCharType="end"/>
      </w:r>
    </w:p>
    <w:p w14:paraId="1F27FCF1" w14:textId="77777777" w:rsidR="008C45E0" w:rsidRPr="00511E8F" w:rsidRDefault="008C45E0" w:rsidP="008C45E0">
      <w:pPr>
        <w:rPr>
          <w:vanish/>
        </w:rPr>
      </w:pPr>
      <w:bookmarkStart w:id="3" w:name="Commission"/>
      <w:r w:rsidRPr="00511E8F">
        <w:rPr>
          <w:vanish/>
        </w:rPr>
        <w:t>Komisja Rybołówstwa</w:t>
      </w:r>
      <w:bookmarkEnd w:id="3"/>
    </w:p>
    <w:p w14:paraId="183D30E4" w14:textId="77777777" w:rsidR="008C45E0" w:rsidRPr="00511E8F" w:rsidRDefault="008C45E0" w:rsidP="008C45E0">
      <w:pPr>
        <w:rPr>
          <w:vanish/>
        </w:rPr>
      </w:pPr>
      <w:bookmarkStart w:id="4" w:name="PE"/>
      <w:r w:rsidRPr="00511E8F">
        <w:rPr>
          <w:vanish/>
        </w:rPr>
        <w:t>PE769.962</w:t>
      </w:r>
      <w:bookmarkEnd w:id="4"/>
    </w:p>
    <w:p w14:paraId="0228C4C8" w14:textId="101925D1" w:rsidR="008C45E0" w:rsidRPr="00511E8F" w:rsidRDefault="008C45E0" w:rsidP="008C45E0">
      <w:pPr>
        <w:pStyle w:val="ATHeading3"/>
      </w:pPr>
      <w:bookmarkStart w:id="5" w:name="Sujet"/>
      <w:r w:rsidRPr="00511E8F">
        <w:t xml:space="preserve">Rezolucja Parlamentu Europejskiego z dnia </w:t>
      </w:r>
      <w:r w:rsidR="001F55BA" w:rsidRPr="00511E8F">
        <w:t>10 marca</w:t>
      </w:r>
      <w:r w:rsidRPr="00511E8F">
        <w:t xml:space="preserve"> 2026 r. w sprawie podejść do zarządzania rybołówstwem sprzyjających ochronie wrażliwych gatunków, zwalczaniu gatunków inwazyjnych i korzyściom dla lokalnych gospodarek</w:t>
      </w:r>
      <w:bookmarkEnd w:id="5"/>
      <w:r w:rsidRPr="00511E8F">
        <w:t xml:space="preserve"> </w:t>
      </w:r>
      <w:bookmarkStart w:id="6" w:name="References"/>
      <w:r w:rsidRPr="00511E8F">
        <w:t>(2025/2011(INI))</w:t>
      </w:r>
      <w:bookmarkEnd w:id="6"/>
    </w:p>
    <w:p w14:paraId="1396EC6A" w14:textId="77777777" w:rsidR="005A092A" w:rsidRPr="00511E8F" w:rsidRDefault="005A092A" w:rsidP="005A092A">
      <w:pPr>
        <w:pStyle w:val="EPComma"/>
      </w:pPr>
      <w:r w:rsidRPr="00511E8F">
        <w:rPr>
          <w:rStyle w:val="Italic"/>
        </w:rPr>
        <w:t>Parlament Europejski</w:t>
      </w:r>
      <w:r w:rsidRPr="00511E8F">
        <w:t>,</w:t>
      </w:r>
    </w:p>
    <w:p w14:paraId="1FF85894" w14:textId="77777777" w:rsidR="005A092A" w:rsidRPr="00511E8F" w:rsidRDefault="005A092A" w:rsidP="005A092A">
      <w:pPr>
        <w:pStyle w:val="NormalHanging12a"/>
      </w:pPr>
      <w:r w:rsidRPr="00511E8F">
        <w:t>–</w:t>
      </w:r>
      <w:r w:rsidRPr="00511E8F">
        <w:tab/>
        <w:t>uwzględniając Traktat o funkcjonowaniu Unii Europejskiej (TFUE), w szczególności jego art. 43,</w:t>
      </w:r>
    </w:p>
    <w:p w14:paraId="156AF6D7" w14:textId="77777777" w:rsidR="005A092A" w:rsidRPr="00511E8F" w:rsidRDefault="005A092A" w:rsidP="005A092A">
      <w:pPr>
        <w:pStyle w:val="NormalHanging12a"/>
      </w:pPr>
      <w:r w:rsidRPr="00511E8F">
        <w:t>–</w:t>
      </w:r>
      <w:r w:rsidRPr="00511E8F">
        <w:tab/>
        <w:t>uwzględniając rozporządzenie Parlamentu Europejskiego i Rady (UE) nr 1380/2013 z dnia 11 grudnia 2013 r. w sprawie wspólnej polityki rybołówstwa, zmieniające rozporządzenia Rady (WE) nr 1954/2003 i (WE) nr 1224/2009 oraz uchylające rozporządzenia Rady (WE) nr 2371/2002 i (WE) nr 639/2004 oraz decyzję Rady 2004/585/WE</w:t>
      </w:r>
      <w:r w:rsidRPr="00511E8F">
        <w:rPr>
          <w:rStyle w:val="FootnoteReference"/>
        </w:rPr>
        <w:footnoteReference w:id="1"/>
      </w:r>
      <w:r w:rsidRPr="00511E8F">
        <w:t xml:space="preserve"> (rozporządzenie w sprawie </w:t>
      </w:r>
      <w:proofErr w:type="spellStart"/>
      <w:r w:rsidRPr="00511E8F">
        <w:t>WPRyb</w:t>
      </w:r>
      <w:proofErr w:type="spellEnd"/>
      <w:r w:rsidRPr="00511E8F">
        <w:t>),</w:t>
      </w:r>
    </w:p>
    <w:p w14:paraId="438C5E1D" w14:textId="77777777" w:rsidR="005A092A" w:rsidRPr="00511E8F" w:rsidRDefault="005A092A" w:rsidP="005A092A">
      <w:pPr>
        <w:pStyle w:val="NormalHanging12a"/>
      </w:pPr>
      <w:r w:rsidRPr="00511E8F">
        <w:t>–</w:t>
      </w:r>
      <w:r w:rsidRPr="00511E8F">
        <w:tab/>
        <w:t>uwzględniając rozporządzenie Parlamentu Europejskiego i Rady (UE) nr 1143/2014 z dnia 22 października 2014 r. w sprawie działań zapobiegawczych i zaradczych w odniesieniu do wprowadzania i rozprzestrzeniania inwazyjnych gatunków obcych (rozporządzenie w sprawie inwazyjnych gatunków obcych)</w:t>
      </w:r>
      <w:r w:rsidRPr="00511E8F">
        <w:rPr>
          <w:rStyle w:val="FootnoteReference"/>
        </w:rPr>
        <w:footnoteReference w:id="2"/>
      </w:r>
      <w:r w:rsidRPr="00511E8F">
        <w:t>,</w:t>
      </w:r>
    </w:p>
    <w:p w14:paraId="7B03475D" w14:textId="77777777" w:rsidR="005A092A" w:rsidRPr="00511E8F" w:rsidRDefault="005A092A" w:rsidP="005A092A">
      <w:pPr>
        <w:pStyle w:val="NormalHanging12a"/>
      </w:pPr>
      <w:r w:rsidRPr="00511E8F">
        <w:t>–</w:t>
      </w:r>
      <w:r w:rsidRPr="00511E8F">
        <w:tab/>
        <w:t>uwzględniając rozporządzenie Parlamentu Europejskiego i Rady (WE) nr 1007/2009 z dnia 16 września 2009 r. w sprawie handlu produktami z fok</w:t>
      </w:r>
      <w:r w:rsidRPr="00511E8F">
        <w:rPr>
          <w:rStyle w:val="FootnoteReference"/>
          <w:bCs/>
          <w:iCs/>
        </w:rPr>
        <w:footnoteReference w:id="3"/>
      </w:r>
      <w:r w:rsidRPr="00511E8F">
        <w:t>,</w:t>
      </w:r>
    </w:p>
    <w:p w14:paraId="47D5A9E7" w14:textId="77777777" w:rsidR="005A092A" w:rsidRPr="00511E8F" w:rsidRDefault="005A092A" w:rsidP="005A092A">
      <w:pPr>
        <w:pStyle w:val="NormalHanging12a"/>
      </w:pPr>
      <w:r w:rsidRPr="00511E8F">
        <w:t>–</w:t>
      </w:r>
      <w:r w:rsidRPr="00511E8F">
        <w:tab/>
        <w:t xml:space="preserve">uwzględniając rozporządzenie Rady (WE) nr 1224/2009 z dnia 20 listopada 2009 r. ustanawiające wspólnotowy system kontroli w celu zapewnienia przestrzegania przepisów wspólnej polityki rybołówstwa, zmieniające rozporządzenia (WE) nr 847/96, (WE) nr 2371/2002, (WE) nr 811/2004, (WE) nr 768/2005, (WE) nr 2115/2005, (WE) nr 2166/2005, (WE) nr 388/2006, (WE) nr 509/2007, (WE) nr 676/2007, (WE) nr </w:t>
      </w:r>
      <w:r w:rsidRPr="00511E8F">
        <w:lastRenderedPageBreak/>
        <w:t>1098/2007, (WE) nr 1300/2008, (WE) nr 1342/2008 i uchylające rozporządzenia (EWG) nr 2847/93, (WE) nr 1627/94 oraz (WE) nr 1966/2006</w:t>
      </w:r>
      <w:r w:rsidRPr="00511E8F">
        <w:rPr>
          <w:rStyle w:val="FootnoteReference"/>
        </w:rPr>
        <w:footnoteReference w:id="4"/>
      </w:r>
      <w:r w:rsidRPr="00511E8F">
        <w:t xml:space="preserve"> (rozporządzenie w sprawie kontroli rybołówstwa),</w:t>
      </w:r>
    </w:p>
    <w:p w14:paraId="6AE3EB24" w14:textId="77777777" w:rsidR="005A092A" w:rsidRPr="00511E8F" w:rsidRDefault="005A092A" w:rsidP="005A092A">
      <w:pPr>
        <w:pStyle w:val="NormalHanging12a"/>
      </w:pPr>
      <w:r w:rsidRPr="00511E8F">
        <w:t>–</w:t>
      </w:r>
      <w:r w:rsidRPr="00511E8F">
        <w:tab/>
        <w:t>uwzględniając rozporządzenie Parlamentu Europejskiego i Rady (UE) 2019/1241 z dnia 20 czerwca 2019 r. w sprawie zachowania zasobów rybnych i ochrony ekosystemów morskich za pomocą środków technicznych, zmieniające rozporządzenia Rady (WE) nr 1967/2006, (WE) nr 1224/2009 i rozporządzenia Parlamentu Europejskiego i Rady (UE) nr 1380/2013, (UE) 2016/1139, (UE) 2018/973, (UE) 2019/472 i (UE) 2019/1022 oraz uchylające rozporządzenia Rady (WE) nr 894/97, (WE) nr 850/98, (WE) nr 2549/2000, (WE) nr 254/2002, (WE) nr 812/2004 i (WE) nr 2187/2005</w:t>
      </w:r>
      <w:r w:rsidRPr="00511E8F">
        <w:rPr>
          <w:rStyle w:val="FootnoteReference"/>
          <w:bCs/>
          <w:iCs/>
        </w:rPr>
        <w:footnoteReference w:id="5"/>
      </w:r>
      <w:r w:rsidRPr="00511E8F">
        <w:t>,</w:t>
      </w:r>
    </w:p>
    <w:p w14:paraId="44C0B751" w14:textId="77777777" w:rsidR="005A092A" w:rsidRPr="00511E8F" w:rsidRDefault="005A092A" w:rsidP="005A092A">
      <w:pPr>
        <w:pStyle w:val="NormalHanging12a"/>
        <w:rPr>
          <w:bCs/>
          <w:iCs/>
        </w:rPr>
      </w:pPr>
      <w:r w:rsidRPr="00511E8F">
        <w:t>–</w:t>
      </w:r>
      <w:r w:rsidRPr="00511E8F">
        <w:tab/>
        <w:t>uwzględniając rozporządzenie Parlamentu Europejskiego i Rady (UE) 2023/2842 z dnia 22 listopada 2023 r. zmieniające rozporządzenie Rady (WE) nr 1224/2009, a także zmieniające rozporządzenia Rady (WE) nr 1967/2006 i (WE) nr 1005/2008 oraz rozporządzenia Parlamentu Europejskiego i Rady (UE) 2016/1139, (UE) 2017/2403 i (UE) 2019/473, w odniesieniu do kontroli rybołówstwa</w:t>
      </w:r>
      <w:r w:rsidRPr="00511E8F">
        <w:rPr>
          <w:rStyle w:val="FootnoteReference"/>
          <w:bCs/>
          <w:iCs/>
        </w:rPr>
        <w:footnoteReference w:id="6"/>
      </w:r>
      <w:r w:rsidRPr="00511E8F">
        <w:t>,</w:t>
      </w:r>
    </w:p>
    <w:p w14:paraId="3045865A" w14:textId="77777777" w:rsidR="005A092A" w:rsidRPr="00511E8F" w:rsidRDefault="005A092A" w:rsidP="005A092A">
      <w:pPr>
        <w:pStyle w:val="NormalHanging12a"/>
        <w:rPr>
          <w:bCs/>
          <w:iCs/>
        </w:rPr>
      </w:pPr>
      <w:r w:rsidRPr="00511E8F">
        <w:rPr>
          <w:snapToGrid/>
        </w:rPr>
        <w:t>–</w:t>
      </w:r>
      <w:r w:rsidRPr="00511E8F">
        <w:tab/>
      </w:r>
      <w:r w:rsidRPr="00511E8F">
        <w:rPr>
          <w:snapToGrid/>
        </w:rPr>
        <w:t>uwzględniając rozporządzenie (UE) 2024/1991 Parlamentu Europejskiego i Rady z dnia 24 czerwca 2024 r. w sprawie odbudowy zasobów przyrodniczych i zmiany rozporządzenia (UE) 2022</w:t>
      </w:r>
      <w:r w:rsidRPr="00511E8F">
        <w:t>/869</w:t>
      </w:r>
      <w:r w:rsidRPr="00511E8F">
        <w:rPr>
          <w:vertAlign w:val="superscript"/>
        </w:rPr>
        <w:footnoteReference w:id="7"/>
      </w:r>
      <w:r w:rsidRPr="00511E8F">
        <w:t>,</w:t>
      </w:r>
    </w:p>
    <w:p w14:paraId="7640020F" w14:textId="77777777" w:rsidR="005A092A" w:rsidRPr="00511E8F" w:rsidRDefault="005A092A" w:rsidP="005A092A">
      <w:pPr>
        <w:pStyle w:val="NormalHanging12a"/>
      </w:pPr>
      <w:r w:rsidRPr="00511E8F">
        <w:t>–</w:t>
      </w:r>
      <w:r w:rsidRPr="00511E8F">
        <w:tab/>
        <w:t>uwzględniając dyrektywę Rady 92/43/EWG z dnia 21 maja 1992 r. w sprawie ochrony siedlisk przyrodniczych oraz dzikiej fauny i flory</w:t>
      </w:r>
      <w:r w:rsidRPr="00511E8F">
        <w:rPr>
          <w:rStyle w:val="FootnoteReference"/>
        </w:rPr>
        <w:footnoteReference w:id="8"/>
      </w:r>
      <w:r w:rsidRPr="00511E8F">
        <w:t xml:space="preserve"> (dyrektywa siedliskowa),</w:t>
      </w:r>
    </w:p>
    <w:p w14:paraId="109BF1B6" w14:textId="77777777" w:rsidR="005A092A" w:rsidRPr="00511E8F" w:rsidRDefault="005A092A" w:rsidP="005A092A">
      <w:pPr>
        <w:pStyle w:val="NormalHanging12a"/>
      </w:pPr>
      <w:r w:rsidRPr="00511E8F">
        <w:t>–</w:t>
      </w:r>
      <w:r w:rsidRPr="00511E8F">
        <w:tab/>
        <w:t>uwzględniając dyrektywę Parlamentu Europejskiego i Rady 2008/56/WE z dnia 17 czerwca 2008 r. ustanawiającą ramy działań Wspólnoty w dziedzinie polityki środowiska morskiego (dyrektywa ramowa w sprawie strategii morskiej)</w:t>
      </w:r>
      <w:r w:rsidRPr="00511E8F">
        <w:rPr>
          <w:rStyle w:val="FootnoteReference"/>
        </w:rPr>
        <w:footnoteReference w:id="9"/>
      </w:r>
      <w:r w:rsidRPr="00511E8F">
        <w:t>,</w:t>
      </w:r>
    </w:p>
    <w:p w14:paraId="49949B1F" w14:textId="77777777" w:rsidR="005A092A" w:rsidRPr="00511E8F" w:rsidRDefault="005A092A" w:rsidP="005A092A">
      <w:pPr>
        <w:pStyle w:val="NormalHanging12a"/>
      </w:pPr>
      <w:r w:rsidRPr="00511E8F">
        <w:t>–</w:t>
      </w:r>
      <w:r w:rsidRPr="00511E8F">
        <w:tab/>
        <w:t>uwzględniając dyrektywę Parlamentu Europejskiego i Rady 2009/147/WE z dnia 30 listopada 2009 r. w sprawie ochrony dzikiego ptactwa</w:t>
      </w:r>
      <w:r w:rsidRPr="00511E8F">
        <w:rPr>
          <w:rStyle w:val="FootnoteReference"/>
        </w:rPr>
        <w:footnoteReference w:id="10"/>
      </w:r>
      <w:r w:rsidRPr="00511E8F">
        <w:t xml:space="preserve"> (dyrektywa ptasia),</w:t>
      </w:r>
    </w:p>
    <w:p w14:paraId="650FE374" w14:textId="77777777" w:rsidR="005A092A" w:rsidRPr="00511E8F" w:rsidRDefault="005A092A" w:rsidP="005A092A">
      <w:pPr>
        <w:pStyle w:val="NormalHanging12a"/>
      </w:pPr>
      <w:r w:rsidRPr="00511E8F">
        <w:t>–</w:t>
      </w:r>
      <w:r w:rsidRPr="00511E8F">
        <w:tab/>
        <w:t>uwzględniając swoją rezolucję z dnia 9 czerwca 2021 r. w sprawie unijnej strategii na rzecz bioróżnorodności 2030 – przywracanie przyrody do naszego życia</w:t>
      </w:r>
      <w:r w:rsidRPr="00511E8F">
        <w:rPr>
          <w:rStyle w:val="FootnoteReference"/>
        </w:rPr>
        <w:footnoteReference w:id="11"/>
      </w:r>
      <w:r w:rsidRPr="00511E8F">
        <w:t>,</w:t>
      </w:r>
    </w:p>
    <w:p w14:paraId="2D95C843" w14:textId="77777777" w:rsidR="005A092A" w:rsidRPr="00511E8F" w:rsidRDefault="005A092A" w:rsidP="005A092A">
      <w:pPr>
        <w:pStyle w:val="NormalHanging12a"/>
      </w:pPr>
      <w:r w:rsidRPr="00511E8F">
        <w:t>–</w:t>
      </w:r>
      <w:r w:rsidRPr="00511E8F">
        <w:tab/>
        <w:t>uwzględniając swoją rezolucję z dnia 11 maja 2023 r. pt. „W kierunku silnego i zrównoważonego unijnego sektora alg”</w:t>
      </w:r>
      <w:r w:rsidRPr="00511E8F">
        <w:rPr>
          <w:rStyle w:val="FootnoteReference"/>
        </w:rPr>
        <w:footnoteReference w:id="12"/>
      </w:r>
      <w:r w:rsidRPr="00511E8F">
        <w:t>,</w:t>
      </w:r>
    </w:p>
    <w:p w14:paraId="66307420" w14:textId="77777777" w:rsidR="005A092A" w:rsidRPr="00511E8F" w:rsidRDefault="005A092A" w:rsidP="005A092A">
      <w:pPr>
        <w:pStyle w:val="NormalHanging12a"/>
      </w:pPr>
      <w:r w:rsidRPr="00511E8F">
        <w:t>–</w:t>
      </w:r>
      <w:r w:rsidRPr="00511E8F">
        <w:tab/>
        <w:t>uwzględniając swoją rezolucję z dnia 18 stycznia 2024 r. w sprawie aktualnej sytuacji w zakresie wdrażania wspólnej polityki rybołówstwa i przyszłych perspektyw</w:t>
      </w:r>
      <w:r w:rsidRPr="00511E8F">
        <w:rPr>
          <w:rStyle w:val="FootnoteReference"/>
          <w:bCs/>
          <w:iCs/>
        </w:rPr>
        <w:footnoteReference w:id="13"/>
      </w:r>
      <w:r w:rsidRPr="00511E8F">
        <w:t>,</w:t>
      </w:r>
    </w:p>
    <w:p w14:paraId="6BE3DBE5" w14:textId="77777777" w:rsidR="005A092A" w:rsidRPr="00511E8F" w:rsidRDefault="005A092A" w:rsidP="005A092A">
      <w:pPr>
        <w:pStyle w:val="NormalHanging12a"/>
      </w:pPr>
      <w:r w:rsidRPr="00511E8F">
        <w:lastRenderedPageBreak/>
        <w:t>–</w:t>
      </w:r>
      <w:r w:rsidRPr="00511E8F">
        <w:tab/>
        <w:t>uwzględniając cele ONZ w zakresie zrównoważonego rozwoju (SDG), w szczególności cel 14 „Życie pod wodą”, cel 15 „Życie na lądzie”, cel 1 „Koniec z ubóstwem”, cel 2 „Zero głodu” oraz cel 11 „Zrównoważone miasta i społeczności”,</w:t>
      </w:r>
    </w:p>
    <w:p w14:paraId="1F77CC17" w14:textId="77777777" w:rsidR="005A092A" w:rsidRPr="00511E8F" w:rsidRDefault="005A092A" w:rsidP="005A092A">
      <w:pPr>
        <w:pStyle w:val="NormalHanging12a"/>
        <w:rPr>
          <w:bCs/>
          <w:iCs/>
        </w:rPr>
      </w:pPr>
      <w:r w:rsidRPr="00511E8F">
        <w:t>–</w:t>
      </w:r>
      <w:r w:rsidRPr="00511E8F">
        <w:tab/>
        <w:t>uwzględniając globalne ramy różnorodności biologicznej z Kunmingu/Montrealu,</w:t>
      </w:r>
    </w:p>
    <w:p w14:paraId="51DD5769" w14:textId="77777777" w:rsidR="005A092A" w:rsidRPr="00511E8F" w:rsidRDefault="005A092A" w:rsidP="005A092A">
      <w:pPr>
        <w:pStyle w:val="NormalHanging12a"/>
      </w:pPr>
      <w:r w:rsidRPr="00511E8F">
        <w:t>–</w:t>
      </w:r>
      <w:r w:rsidRPr="00511E8F">
        <w:tab/>
        <w:t>uwzględniając Międzynarodową konwencję o kontroli i postępowaniu ze statkowymi wodami balastowymi i osadami,</w:t>
      </w:r>
    </w:p>
    <w:p w14:paraId="336F34CE" w14:textId="77777777" w:rsidR="005A092A" w:rsidRPr="00511E8F" w:rsidRDefault="005A092A" w:rsidP="005A092A">
      <w:pPr>
        <w:pStyle w:val="NormalHanging12a"/>
      </w:pPr>
      <w:r w:rsidRPr="00511E8F">
        <w:t>–</w:t>
      </w:r>
      <w:r w:rsidRPr="00511E8F">
        <w:tab/>
        <w:t>uwzględniając art. 55 Regulaminu,</w:t>
      </w:r>
    </w:p>
    <w:p w14:paraId="4C499E9F" w14:textId="77777777" w:rsidR="005A092A" w:rsidRPr="00511E8F" w:rsidRDefault="005A092A" w:rsidP="005A092A">
      <w:pPr>
        <w:pStyle w:val="NormalHanging12a"/>
      </w:pPr>
      <w:r w:rsidRPr="00511E8F">
        <w:t>–</w:t>
      </w:r>
      <w:r w:rsidRPr="00511E8F">
        <w:tab/>
        <w:t>uwzględniając sprawozdanie Komisji Rybołówstwa (A10-0018/2026),</w:t>
      </w:r>
    </w:p>
    <w:p w14:paraId="3F572728" w14:textId="77777777" w:rsidR="005A092A" w:rsidRPr="00511E8F" w:rsidRDefault="005A092A" w:rsidP="005A092A">
      <w:pPr>
        <w:pStyle w:val="NormalHanging12a"/>
      </w:pPr>
      <w:r w:rsidRPr="00511E8F">
        <w:t>A.</w:t>
      </w:r>
      <w:r w:rsidRPr="00511E8F">
        <w:tab/>
        <w:t>mając na uwadze, że UE od dawna uznaje znaczenie podejścia opartego na zrównoważonym rybołówstwie i ekosystemowego podejścia do zarządzania rybołówstwem w dążeniu do zachowania morskiej różnorodności biologicznej, w tym ochrony wrażliwych gatunków, wspierania lokalnych gospodarek i zapewniania bezpieczeństwa żywnościowego oraz zrównoważonych systemów żywnościowych;</w:t>
      </w:r>
    </w:p>
    <w:p w14:paraId="0D860ADE" w14:textId="77777777" w:rsidR="005A092A" w:rsidRPr="00511E8F" w:rsidRDefault="005A092A" w:rsidP="005A092A">
      <w:pPr>
        <w:pStyle w:val="NormalHanging12a"/>
      </w:pPr>
      <w:r w:rsidRPr="00511E8F">
        <w:t>B.</w:t>
      </w:r>
      <w:r w:rsidRPr="00511E8F">
        <w:tab/>
        <w:t>mając na uwadze, że UE wdrożyła szereg ram regulacyjnych w celu odbudowy i ochrony wrażliwych gatunków morskich;</w:t>
      </w:r>
    </w:p>
    <w:p w14:paraId="6A5B9840" w14:textId="77777777" w:rsidR="005A092A" w:rsidRPr="00511E8F" w:rsidRDefault="005A092A" w:rsidP="005A092A">
      <w:pPr>
        <w:pStyle w:val="NormalHanging12a"/>
      </w:pPr>
      <w:r w:rsidRPr="00511E8F">
        <w:t>C.</w:t>
      </w:r>
      <w:r w:rsidRPr="00511E8F">
        <w:tab/>
        <w:t>mając na uwadze, że UE włącza ochronę i odbudowę gatunków wrażliwych do innych ram prawnych, takich jak niedawno zmienione rozporządzenie w sprawie kontroli rybołówstwa, zapewniając kompleksowe podejście do gromadzenia danych, które mają być wykorzystywane do ochrony gatunków wrażliwych;</w:t>
      </w:r>
    </w:p>
    <w:p w14:paraId="56ECB287" w14:textId="77777777" w:rsidR="005A092A" w:rsidRPr="00511E8F" w:rsidRDefault="005A092A" w:rsidP="005A092A">
      <w:pPr>
        <w:pStyle w:val="NormalHanging12a"/>
      </w:pPr>
      <w:r w:rsidRPr="00511E8F">
        <w:t>D.</w:t>
      </w:r>
      <w:r w:rsidRPr="00511E8F">
        <w:tab/>
        <w:t>mając na uwadze, że Międzynarodowa Unia Ochrony Przyrody (IUCN) publikuje czerwoną księgę, która stanowi kompleksowy wykaz stanu ochrony gatunków i zawiera kluczowe informacje na temat niepewnej sytuacji wrażliwych gatunków morskich oraz wskazuje niezbędne działania ochronne;</w:t>
      </w:r>
    </w:p>
    <w:p w14:paraId="5189D8BB" w14:textId="77777777" w:rsidR="005A092A" w:rsidRPr="00511E8F" w:rsidRDefault="005A092A" w:rsidP="005A092A">
      <w:pPr>
        <w:pStyle w:val="NormalHanging12a"/>
      </w:pPr>
      <w:r w:rsidRPr="00511E8F">
        <w:t>E.</w:t>
      </w:r>
      <w:r w:rsidRPr="00511E8F">
        <w:tab/>
        <w:t>mając na uwadze, że przyłów wrażliwych gatunków stanowi poważne zagrożenie dla morskiej różnorodności biologicznej, co uznano w konwencjach międzynarodowych i regionalnych oraz prawodawstwie UE;</w:t>
      </w:r>
    </w:p>
    <w:p w14:paraId="304C6928" w14:textId="77777777" w:rsidR="005A092A" w:rsidRPr="00511E8F" w:rsidRDefault="005A092A" w:rsidP="005A092A">
      <w:pPr>
        <w:pStyle w:val="NormalHanging12a"/>
      </w:pPr>
      <w:r w:rsidRPr="00511E8F">
        <w:t>F.</w:t>
      </w:r>
      <w:r w:rsidRPr="00511E8F">
        <w:tab/>
        <w:t>mając na uwadze, że ptaki morskie są jednym ze wskaźników zdrowia ekosystemów morskich, z uwagi na ich rolę jako największych drapieżników w morskim łańcuchu żywnościowym;</w:t>
      </w:r>
    </w:p>
    <w:p w14:paraId="7E6AFA98" w14:textId="77777777" w:rsidR="005A092A" w:rsidRPr="00511E8F" w:rsidRDefault="005A092A" w:rsidP="005A092A">
      <w:pPr>
        <w:pStyle w:val="NormalHanging12a"/>
      </w:pPr>
      <w:r w:rsidRPr="00511E8F">
        <w:t>G.</w:t>
      </w:r>
      <w:r w:rsidRPr="00511E8F">
        <w:tab/>
        <w:t>mając na uwadze, że zainteresowane strony współpracują w ramach kilku projektów, aby wypróbować nowe metody zarządzania i narzędzia w celu zmniejszenia poziomu przyłowów i przypadkowych połowów wrażliwych gatunków podczas operacji połowowych;</w:t>
      </w:r>
    </w:p>
    <w:p w14:paraId="691C9BF7" w14:textId="77777777" w:rsidR="005A092A" w:rsidRPr="00511E8F" w:rsidRDefault="005A092A" w:rsidP="005A092A">
      <w:pPr>
        <w:pStyle w:val="NormalHanging12a"/>
      </w:pPr>
      <w:r w:rsidRPr="00511E8F">
        <w:lastRenderedPageBreak/>
        <w:t>H.</w:t>
      </w:r>
      <w:r w:rsidRPr="00511E8F">
        <w:tab/>
        <w:t>mając na uwadze, że dane opublikowane przez Europejską Agencję Środowiska w 2025 r.</w:t>
      </w:r>
      <w:r w:rsidRPr="00511E8F">
        <w:rPr>
          <w:rStyle w:val="FootnoteReference"/>
          <w:bCs/>
          <w:iCs/>
        </w:rPr>
        <w:footnoteReference w:id="14"/>
      </w:r>
      <w:r w:rsidRPr="00511E8F">
        <w:rPr>
          <w:rStyle w:val="FootnoteReference"/>
          <w:bCs/>
          <w:iCs/>
        </w:rPr>
        <w:t xml:space="preserve"> </w:t>
      </w:r>
      <w:r w:rsidRPr="00511E8F">
        <w:rPr>
          <w:rStyle w:val="FootnoteReference"/>
        </w:rPr>
        <w:t xml:space="preserve"> </w:t>
      </w:r>
      <w:r w:rsidRPr="00511E8F">
        <w:t>wykazały, że chronione obszary morskie obejmują 13,7 % wód UE;</w:t>
      </w:r>
    </w:p>
    <w:p w14:paraId="09985196" w14:textId="77777777" w:rsidR="005A092A" w:rsidRPr="00511E8F" w:rsidRDefault="005A092A" w:rsidP="005A092A">
      <w:pPr>
        <w:pStyle w:val="NormalHanging12a"/>
      </w:pPr>
      <w:r w:rsidRPr="00511E8F">
        <w:t>I.</w:t>
      </w:r>
      <w:r w:rsidRPr="00511E8F">
        <w:tab/>
        <w:t>mając na uwadze, że portal Misji ds. Oceanów i Wód w Komisji Europejskiej</w:t>
      </w:r>
      <w:r w:rsidRPr="00511E8F">
        <w:rPr>
          <w:rStyle w:val="FootnoteReference"/>
          <w:bCs/>
          <w:iCs/>
        </w:rPr>
        <w:footnoteReference w:id="15"/>
      </w:r>
      <w:r w:rsidRPr="00511E8F">
        <w:rPr>
          <w:rStyle w:val="FootnoteReference"/>
          <w:bCs/>
          <w:iCs/>
        </w:rPr>
        <w:t xml:space="preserve"> </w:t>
      </w:r>
      <w:r w:rsidRPr="00511E8F">
        <w:rPr>
          <w:rStyle w:val="FootnoteReference"/>
        </w:rPr>
        <w:t xml:space="preserve"> </w:t>
      </w:r>
      <w:r w:rsidRPr="00511E8F">
        <w:t>informuje o badaniu, z którego wynika, że w 2023 r. połowy były dozwolone na ponad 40 % chronionych obszarów morskich, ograniczone na mniej niż 25 % i wyraźnie zakazane jedynie na 0,4 %;</w:t>
      </w:r>
    </w:p>
    <w:p w14:paraId="337EAED3" w14:textId="77777777" w:rsidR="005A092A" w:rsidRPr="00511E8F" w:rsidRDefault="005A092A" w:rsidP="005A092A">
      <w:pPr>
        <w:pStyle w:val="NormalHanging12a"/>
        <w:spacing w:after="120"/>
      </w:pPr>
      <w:r w:rsidRPr="00511E8F">
        <w:t>J.</w:t>
      </w:r>
      <w:r w:rsidRPr="00511E8F">
        <w:tab/>
        <w:t>mając na uwadze, że inwazyjne gatunki obce są jedną z przyczyn utraty różnorodności biologicznej, mają negatywny wpływ na rybołówstwo i akwakulturę oraz funkcje ekosystemu oraz mogą być szkodliwe dla zdrowia ludzkiego, infrastruktury i ochrony biologicznej;</w:t>
      </w:r>
    </w:p>
    <w:p w14:paraId="1E05AB7F" w14:textId="77777777" w:rsidR="005A092A" w:rsidRPr="00511E8F" w:rsidRDefault="005A092A" w:rsidP="005A092A">
      <w:pPr>
        <w:pStyle w:val="NormalHanging12a"/>
      </w:pPr>
      <w:r w:rsidRPr="00511E8F">
        <w:t>K.</w:t>
      </w:r>
      <w:r w:rsidRPr="00511E8F">
        <w:tab/>
        <w:t>mając na uwadze, że akwakultura gatunków nierodzimych przy ograniczonych środkach kontroli stanowi zagrożenie, ponieważ gatunki te mogą potencjalnie wymknąć się spod kontroli i stać się inwazyjne, co stanowi zagrożenie dla rodzimych gatunków dzikich i środowiska;</w:t>
      </w:r>
    </w:p>
    <w:p w14:paraId="5A90EE9E" w14:textId="77777777" w:rsidR="005A092A" w:rsidRPr="00511E8F" w:rsidRDefault="005A092A" w:rsidP="005A092A">
      <w:pPr>
        <w:pStyle w:val="NormalHanging12a"/>
        <w:spacing w:after="120"/>
      </w:pPr>
      <w:r w:rsidRPr="00511E8F">
        <w:t>L.</w:t>
      </w:r>
      <w:r w:rsidRPr="00511E8F">
        <w:tab/>
        <w:t>mając na uwadze, że UE przyjęła szereg środków w celu zapobiegania wprowadzaniu inwazyjnych gatunków obcych oraz wykrywania i mapowania ich rozmieszczenia i przeciwdziałania ich rozprzestrzenianiu się, w tym w szczególności rozporządzenie w sprawie inwazyjnych gatunków obcych, które ustanawia wykaz inwazyjnych gatunków obcych stwarzających zagrożenie dla Unii i wprowadza w życie środki kontroli;</w:t>
      </w:r>
    </w:p>
    <w:p w14:paraId="051F082E" w14:textId="77777777" w:rsidR="005A092A" w:rsidRPr="00511E8F" w:rsidRDefault="005A092A" w:rsidP="005A092A">
      <w:pPr>
        <w:pStyle w:val="NormalHanging12a"/>
        <w:spacing w:after="120"/>
      </w:pPr>
      <w:r w:rsidRPr="00511E8F">
        <w:t>M.</w:t>
      </w:r>
      <w:r w:rsidRPr="00511E8F">
        <w:tab/>
        <w:t>mając na uwadze, że zgodnie z rozporządzeniem w sprawie inwazyjnych gatunków obcych inwazyjne gatunki obce to gatunki, których negatywne skutki są na tyle znaczące, że wymagają skoordynowanej i jednolitej interwencji na szczeblu UE, w związku z czym zakazane jest ich wprowadzanie, posiadanie, hodowla i uprawa, transport lub handel nimi, a także ich swobodne przemieszczanie lub uwalnianie do środowiska naturalnego;</w:t>
      </w:r>
    </w:p>
    <w:p w14:paraId="12898BF4" w14:textId="77777777" w:rsidR="005A092A" w:rsidRPr="00511E8F" w:rsidRDefault="005A092A" w:rsidP="005A092A">
      <w:pPr>
        <w:pStyle w:val="NormalHanging12a"/>
        <w:spacing w:after="120"/>
        <w:rPr>
          <w:b/>
          <w:i/>
        </w:rPr>
      </w:pPr>
      <w:r w:rsidRPr="00511E8F">
        <w:t>N.</w:t>
      </w:r>
      <w:r w:rsidRPr="00511E8F">
        <w:tab/>
        <w:t>mając na uwadze, że jednym ze wskaźników jakościowych służących określeniu dobrego stanu środowiska, wymienionych w dyrektywie ramowej w sprawie strategii morskiej, jest utrzymywanie gatunków nierodzimych wprowadzonych w wyniku działalności człowieka na poziomie, który nie zmienia niekorzystnie ekosystemów;</w:t>
      </w:r>
    </w:p>
    <w:p w14:paraId="41CACECE" w14:textId="77777777" w:rsidR="005A092A" w:rsidRPr="00511E8F" w:rsidRDefault="005A092A" w:rsidP="005A092A">
      <w:pPr>
        <w:pStyle w:val="NormalHanging12a"/>
      </w:pPr>
      <w:r w:rsidRPr="00511E8F">
        <w:t>O.</w:t>
      </w:r>
      <w:r w:rsidRPr="00511E8F">
        <w:tab/>
        <w:t>mając na uwadze, że właściwe i terminowe gromadzenie danych ma ogromne znaczenie dla zapewnienia wykrywania inwazyjnych gatunków obcych i mapowania ich rozmieszczenia, a także dla ustanowienia i wdrożenia środków, których celem jest przeciwdziałanie rozprzestrzenianiu się tych gatunków w jak najbardziej ukierunkowany i skuteczny sposób;</w:t>
      </w:r>
    </w:p>
    <w:p w14:paraId="1C6C9366" w14:textId="77777777" w:rsidR="005A092A" w:rsidRPr="00511E8F" w:rsidRDefault="005A092A" w:rsidP="005A092A">
      <w:pPr>
        <w:pStyle w:val="NormalHanging12a"/>
      </w:pPr>
      <w:r w:rsidRPr="00511E8F">
        <w:t>P.</w:t>
      </w:r>
      <w:r w:rsidRPr="00511E8F">
        <w:tab/>
        <w:t xml:space="preserve">mając na uwadze, że różne rodzaje działalności, takie jak transport morski lub turystyka, uznaje się za ważne czynniki rozprzestrzeniania się inwazyjnych gatunków </w:t>
      </w:r>
      <w:r w:rsidRPr="00511E8F">
        <w:lastRenderedPageBreak/>
        <w:t>obcych, w szczególności w zależności od poziomu zastosowanych środków ograniczających ryzyko i czujności;</w:t>
      </w:r>
    </w:p>
    <w:p w14:paraId="0C5F6C60" w14:textId="77777777" w:rsidR="005A092A" w:rsidRPr="00511E8F" w:rsidRDefault="005A092A" w:rsidP="005A092A">
      <w:pPr>
        <w:pStyle w:val="NormalHanging12a"/>
      </w:pPr>
      <w:r w:rsidRPr="00511E8F">
        <w:t>Q.</w:t>
      </w:r>
      <w:r w:rsidRPr="00511E8F">
        <w:tab/>
        <w:t>mając na uwadze, że unijna strategia na rzecz bioróżnorodności zawiera zobowiązanie do zarządzania zadomowionymi inwazyjnymi gatunkami obcymi oraz zmniejszenia liczby gatunków z czerwonej księgi, dla których stanowią one zagrożenie, o 50 % do 2030 r.;</w:t>
      </w:r>
    </w:p>
    <w:p w14:paraId="43CD5AD1" w14:textId="77777777" w:rsidR="005A092A" w:rsidRPr="00511E8F" w:rsidRDefault="005A092A" w:rsidP="005A092A">
      <w:pPr>
        <w:pStyle w:val="NormalHanging12a"/>
      </w:pPr>
      <w:r w:rsidRPr="00511E8F">
        <w:t>R.</w:t>
      </w:r>
      <w:r w:rsidRPr="00511E8F">
        <w:tab/>
        <w:t>mając na uwadze, że europejska sieć informacji o gatunkach obcych (EASIN) monitoruje obecnie 12 423 gatunki obce w różnych środowiskach, z czego 1440 (11,6 %) to gatunki morskie; mając na uwadze, że od 2019 r. 53 % morskich linii brzegowych Europy znajduje się pod presją inwazyjnych gatunków obcych, przy czym występują znaczne różnice regionalne – 33 % występuje wzdłuż linii brzegowych Morza Bałtyckiego, 100 % – Morza Czarnego, 98 % – Morza Śródziemnego i 25 % – w północno-wschodnim Oceanie Atlantyckim;</w:t>
      </w:r>
    </w:p>
    <w:p w14:paraId="3821E9C1" w14:textId="77777777" w:rsidR="005A092A" w:rsidRPr="00511E8F" w:rsidRDefault="005A092A" w:rsidP="005A092A">
      <w:pPr>
        <w:pStyle w:val="NormalHanging12a"/>
      </w:pPr>
      <w:r w:rsidRPr="00511E8F">
        <w:t>S.</w:t>
      </w:r>
      <w:r w:rsidRPr="00511E8F">
        <w:tab/>
        <w:t>mając na uwadze, że zmiana klimatu, zwłaszcza ocieplenie oceanów, oraz zwiększony przepływ towarów i ludzi są kluczowymi czynnikami wprowadzania inwazyjnych gatunków obcych i mogą zwiększyć ich wpływ na wrażliwe gatunki, ekosystemy, a w konsekwencji na działalność połowową;</w:t>
      </w:r>
    </w:p>
    <w:p w14:paraId="08116530" w14:textId="77777777" w:rsidR="005A092A" w:rsidRPr="00511E8F" w:rsidRDefault="005A092A" w:rsidP="005A092A">
      <w:pPr>
        <w:pStyle w:val="NormalHanging12a"/>
      </w:pPr>
      <w:r w:rsidRPr="00511E8F">
        <w:t>T.</w:t>
      </w:r>
      <w:r w:rsidRPr="00511E8F">
        <w:tab/>
        <w:t xml:space="preserve">mając na uwadze, że gwałtowne rozprzestrzenianie się inwazyjnych gatunków obcych powoduje znaczne szkody w rybołówstwie i akwakulturze, zarówno w perspektywie krótko-, jak i długoterminowej, w tym uszkodzenia narzędzi połowowych i infrastruktury wykorzystywanej w akwakulturze, zmniejszone połowy, ograniczenie naturalnego odnawiania gatunków i wydajności hodowli oraz zakłócenia w funkcjonowaniu ekosystemów, co zagraża równowadze ekologicznej i efektywności ekonomicznej społeczności rybackich; </w:t>
      </w:r>
    </w:p>
    <w:p w14:paraId="1E638E46" w14:textId="77777777" w:rsidR="005A092A" w:rsidRPr="00511E8F" w:rsidRDefault="005A092A" w:rsidP="005A092A">
      <w:pPr>
        <w:pStyle w:val="NormalHanging12a"/>
        <w:rPr>
          <w:bCs/>
          <w:iCs/>
        </w:rPr>
      </w:pPr>
      <w:r w:rsidRPr="00511E8F">
        <w:t>U.</w:t>
      </w:r>
      <w:r w:rsidRPr="00511E8F">
        <w:tab/>
        <w:t>mając na uwadze, że inwazyjne gatunki obce, w tym populacje obcych gatunków drapieżników, zagrażają nie tylko równowadze ekologicznej, ale także społecznej i ekonomicznej rentowności społeczności zajmujących się rybołówstwem przybrzeżnym, w szczególności rybakom oraz małym i średnim przedsiębiorstwom sektora akwakultury;</w:t>
      </w:r>
    </w:p>
    <w:p w14:paraId="6C55D0DE" w14:textId="77777777" w:rsidR="005A092A" w:rsidRPr="00511E8F" w:rsidRDefault="005A092A" w:rsidP="005A092A">
      <w:pPr>
        <w:pStyle w:val="NormalHanging12a"/>
        <w:rPr>
          <w:bCs/>
          <w:iCs/>
        </w:rPr>
      </w:pPr>
      <w:r w:rsidRPr="00511E8F">
        <w:t>V.</w:t>
      </w:r>
      <w:r w:rsidRPr="00511E8F">
        <w:tab/>
        <w:t>mając na uwadze, że przyjęcie podejścia ekosystemowego do zarządzania rybołówstwem oraz do planowania i zarządzania przestrzennego w akwakulturze może poprawić odporność obu sektorów i ich zdolność adaptacyjną, zwłaszcza na szczeblu lokalnym;</w:t>
      </w:r>
    </w:p>
    <w:p w14:paraId="333AD2C1" w14:textId="77777777" w:rsidR="005A092A" w:rsidRPr="00511E8F" w:rsidRDefault="005A092A" w:rsidP="005A092A">
      <w:pPr>
        <w:pStyle w:val="NormalHanging12a"/>
        <w:rPr>
          <w:bCs/>
          <w:iCs/>
        </w:rPr>
      </w:pPr>
      <w:r w:rsidRPr="00511E8F">
        <w:t>W.</w:t>
      </w:r>
      <w:r w:rsidRPr="00511E8F">
        <w:tab/>
        <w:t>mając na uwadze, że unijne regiony najbardziej oddalone, określone w art. 349 TFUE, stoją przed szczególnymi wyzwaniami i możliwościami w kontekście zarządzania rybołówstwem, ochrony wrażliwych gatunków i zapobiegania gatunkom inwazyjnym; mając na uwadze, że wskaźniki wykorzystywane do pomiaru równowagi między zdolnością połowową a uprawnieniami do połowów muszą być dostosowane do warunków lokalnych, z uwzględnieniem ich oddalenia geograficznego, bogactwa i wyjątkowego charakteru ich różnorodności biologicznej, ich specyfiki społecznej i gospodarczej oraz kluczowej roli lokalnego sektora rybołówstwa w zapewnianiu bezpieczeństwa żywnościowego i wspieraniu gospodarki tych regionów;</w:t>
      </w:r>
    </w:p>
    <w:p w14:paraId="72B4048F" w14:textId="77777777" w:rsidR="005A092A" w:rsidRPr="00511E8F" w:rsidRDefault="005A092A" w:rsidP="005A092A">
      <w:pPr>
        <w:pStyle w:val="NormalHanging12a"/>
      </w:pPr>
      <w:r w:rsidRPr="00511E8F">
        <w:lastRenderedPageBreak/>
        <w:t>X.</w:t>
      </w:r>
      <w:r w:rsidRPr="00511E8F">
        <w:tab/>
        <w:t>mając na uwadze, że zwalczanie inwazyjnych gatunków obcych wymaga również zdecydowanych działań międzynarodowych; mając na uwadze, że w Konwencji o różnorodności biologicznej uznano inwazyjne gatunki obce za problem przekrojowy, a globalne ramy różnorodności biologicznej z Kunmingu/Montrealu mają na celu ograniczenie wprowadzania i zadomowienia się inwazyjnych gatunków obcych o co najmniej 50 % do 2030 r.;</w:t>
      </w:r>
    </w:p>
    <w:p w14:paraId="7F1FE8F7" w14:textId="77777777" w:rsidR="005A092A" w:rsidRPr="00511E8F" w:rsidRDefault="005A092A" w:rsidP="005A092A">
      <w:pPr>
        <w:pStyle w:val="NormalHanging12a"/>
      </w:pPr>
      <w:r w:rsidRPr="00511E8F">
        <w:t>Y.</w:t>
      </w:r>
      <w:r w:rsidRPr="00511E8F">
        <w:tab/>
        <w:t>mając na uwadze, że działaniom na rzecz ochrony środowiska muszą towarzyszyć środki zwiększające konkurencyjność europejskiej floty rybackiej, gwarantujące rentowność sektora i zapewniające wymianę pokoleń w społecznościach nadbrzeżnych;</w:t>
      </w:r>
    </w:p>
    <w:p w14:paraId="0639583A" w14:textId="77777777" w:rsidR="005A092A" w:rsidRPr="00511E8F" w:rsidRDefault="005A092A" w:rsidP="005A092A">
      <w:pPr>
        <w:pStyle w:val="NormalHanging12a"/>
      </w:pPr>
      <w:r w:rsidRPr="00511E8F">
        <w:t>Z.</w:t>
      </w:r>
      <w:r w:rsidRPr="00511E8F">
        <w:tab/>
        <w:t>mając na uwadze, że rozprzestrzenianie się gatunków inwazyjnych i wzrost populacji drapieżników w niektórych regionach mają wpływ na ekosystem oraz na sektory rybołówstwa i akwakultury, przy czym działalność przybrzeżna na małą skalę jest szczególnie narażona;</w:t>
      </w:r>
    </w:p>
    <w:p w14:paraId="6973C9B9" w14:textId="42837E42" w:rsidR="007246C5" w:rsidRPr="00511E8F" w:rsidRDefault="007246C5" w:rsidP="005A092A">
      <w:pPr>
        <w:pStyle w:val="NormalHanging12a"/>
        <w:rPr>
          <w:bCs/>
          <w:iCs/>
        </w:rPr>
      </w:pPr>
      <w:r w:rsidRPr="00511E8F">
        <w:rPr>
          <w:bCs/>
          <w:iCs/>
        </w:rPr>
        <w:t>AA.</w:t>
      </w:r>
      <w:r w:rsidRPr="00511E8F">
        <w:rPr>
          <w:bCs/>
          <w:iCs/>
        </w:rPr>
        <w:tab/>
        <w:t>mając na uwadze, że podczas konsultacji publicznych zorganizowanych przez Komisję 94 % wszystkich respondentów wyraziło sprzeciw lub zdecydowany sprzeciw wobec wprowadzania do obrotu produktów z fok, odrzucając możliwość zastosowania tego rozwiązania jako środka zarządzania zasobami rybnymi; mając na uwadze, że 89 % respondentów stwierdziło, że polowania na foki budzą poważne zastrzeżenia natury moralnej</w:t>
      </w:r>
      <w:r w:rsidRPr="00511E8F">
        <w:rPr>
          <w:rStyle w:val="FootnoteReference"/>
          <w:bCs/>
          <w:iCs/>
        </w:rPr>
        <w:footnoteReference w:id="16"/>
      </w:r>
      <w:r w:rsidRPr="00511E8F">
        <w:rPr>
          <w:bCs/>
          <w:iCs/>
        </w:rPr>
        <w:t>;</w:t>
      </w:r>
    </w:p>
    <w:p w14:paraId="60FA4C5C" w14:textId="7610AFA7" w:rsidR="005A092A" w:rsidRPr="00511E8F" w:rsidRDefault="007246C5" w:rsidP="005A092A">
      <w:pPr>
        <w:pStyle w:val="NormalHanging12a"/>
      </w:pPr>
      <w:r w:rsidRPr="00511E8F">
        <w:t>AB</w:t>
      </w:r>
      <w:r w:rsidR="005A092A" w:rsidRPr="00511E8F">
        <w:t>.</w:t>
      </w:r>
      <w:r w:rsidR="005A092A" w:rsidRPr="00511E8F">
        <w:tab/>
        <w:t>mając na uwadze, że Eurostat prowadzi kompleksową bazę długoterminowych danych na temat połowów ryb, dostarczającą cennych informacji, które mogą pomóc w opracowaniu skutecznych strategii zarządzania rybołówstwem i ocenie wrażliwych gatunków oraz przyczynić się do stworzenia systemów wczesnego ostrzegania o gatunkach obcych;</w:t>
      </w:r>
    </w:p>
    <w:p w14:paraId="7D505476" w14:textId="792FA375" w:rsidR="005A092A" w:rsidRPr="00511E8F" w:rsidRDefault="007246C5" w:rsidP="005A092A">
      <w:pPr>
        <w:pStyle w:val="NormalHanging12a"/>
      </w:pPr>
      <w:r w:rsidRPr="00511E8F">
        <w:t>AC</w:t>
      </w:r>
      <w:r w:rsidR="005A092A" w:rsidRPr="00511E8F">
        <w:t>.</w:t>
      </w:r>
      <w:r w:rsidR="005A092A" w:rsidRPr="00511E8F">
        <w:tab/>
        <w:t>mając na uwadze, że instrumenty takie jak inne skuteczne obszarowe środki ochrony (OECM) mogą również przyczynić się do działań na rzecz ochrony i zarządzania;</w:t>
      </w:r>
    </w:p>
    <w:p w14:paraId="0DC53A6A" w14:textId="339EC135" w:rsidR="005A092A" w:rsidRPr="00511E8F" w:rsidRDefault="007246C5" w:rsidP="005A092A">
      <w:pPr>
        <w:pStyle w:val="NormalHanging12a"/>
        <w:rPr>
          <w:snapToGrid/>
        </w:rPr>
      </w:pPr>
      <w:r w:rsidRPr="00511E8F">
        <w:t>AD</w:t>
      </w:r>
      <w:r w:rsidR="005A092A" w:rsidRPr="00511E8F">
        <w:t>.</w:t>
      </w:r>
      <w:r w:rsidR="005A092A" w:rsidRPr="00511E8F">
        <w:tab/>
        <w:t xml:space="preserve">mając na uwadze, że nie istnieją bezpośrednie normy UE dotyczące wód balastowych; mając na uwadze, że w przepisach dotyczących zapobiegania </w:t>
      </w:r>
      <w:r w:rsidR="005A092A" w:rsidRPr="00511E8F">
        <w:rPr>
          <w:snapToGrid/>
        </w:rPr>
        <w:t>wprowadzaniu i rozprzestrzenianiu się inwazyjnych gatunków obcych i zarządzania nimi uznano Międzynarodową konwencję o kontroli i postępowaniu ze statkowymi wodami balastowymi i osadami za jeden z możliwych środków zarządzania gatunkami inwazyjnymi potencjalnie niebezpiecznymi;</w:t>
      </w:r>
    </w:p>
    <w:p w14:paraId="625EBE9C" w14:textId="77777777" w:rsidR="005A092A" w:rsidRPr="00511E8F" w:rsidRDefault="005A092A" w:rsidP="005A092A">
      <w:pPr>
        <w:pStyle w:val="Normal12a24b"/>
        <w:spacing w:after="360"/>
      </w:pPr>
      <w:r w:rsidRPr="00511E8F">
        <w:rPr>
          <w:rStyle w:val="BoldItalic"/>
        </w:rPr>
        <w:t>Wrażliwe gatunki: wskaźniki odporności oceanów</w:t>
      </w:r>
    </w:p>
    <w:p w14:paraId="67C35929" w14:textId="77777777" w:rsidR="005A092A" w:rsidRPr="00511E8F" w:rsidRDefault="005A092A" w:rsidP="005A092A">
      <w:pPr>
        <w:pStyle w:val="NormalHanging12a"/>
      </w:pPr>
      <w:r w:rsidRPr="00511E8F">
        <w:t>1.</w:t>
      </w:r>
      <w:r w:rsidRPr="00511E8F">
        <w:tab/>
        <w:t>podkreśla znaczenie zapewnienia zdrowych morskich ekosystemów, siedlisk i gatunków w UE;</w:t>
      </w:r>
    </w:p>
    <w:p w14:paraId="4C4068B7" w14:textId="77777777" w:rsidR="005A092A" w:rsidRPr="00511E8F" w:rsidRDefault="005A092A" w:rsidP="005A092A">
      <w:pPr>
        <w:pStyle w:val="NormalHanging12a"/>
      </w:pPr>
      <w:r w:rsidRPr="00511E8F">
        <w:t>2.</w:t>
      </w:r>
      <w:r w:rsidRPr="00511E8F">
        <w:tab/>
        <w:t xml:space="preserve">podkreśla wyjątkową rolę, jaką odgrywają wrażliwe gatunki w ekosystemach </w:t>
      </w:r>
      <w:proofErr w:type="gramStart"/>
      <w:r w:rsidRPr="00511E8F">
        <w:t>morskich,</w:t>
      </w:r>
      <w:proofErr w:type="gramEnd"/>
      <w:r w:rsidRPr="00511E8F">
        <w:t xml:space="preserve"> oraz korzyści środowiskowe, gospodarcze i społeczne wynikające z zarządzania nimi, ich zachowania i ochrony;</w:t>
      </w:r>
    </w:p>
    <w:p w14:paraId="5DFE00C2" w14:textId="77777777" w:rsidR="005A092A" w:rsidRPr="00511E8F" w:rsidRDefault="005A092A" w:rsidP="005A092A">
      <w:pPr>
        <w:pStyle w:val="NormalHanging12a"/>
        <w:rPr>
          <w:bCs/>
          <w:iCs/>
        </w:rPr>
      </w:pPr>
      <w:r w:rsidRPr="00511E8F">
        <w:lastRenderedPageBreak/>
        <w:t>3.</w:t>
      </w:r>
      <w:r w:rsidRPr="00511E8F">
        <w:tab/>
        <w:t>podkreśla, że wiele wrażliwych gatunków to cenne wskaźniki zdrowia ekosystemów morskich, zapewniające wczesne ostrzeganie o zakłóceniach równowagi ekologicznej i przyczyniające się do odporności ekosystemów, co ma bezpośredni wpływ na wydajność rybołówstwa i akwakultury;</w:t>
      </w:r>
    </w:p>
    <w:p w14:paraId="746FE8DE" w14:textId="77777777" w:rsidR="005A092A" w:rsidRPr="00511E8F" w:rsidRDefault="005A092A" w:rsidP="005A092A">
      <w:pPr>
        <w:pStyle w:val="NormalHanging12a"/>
      </w:pPr>
      <w:r w:rsidRPr="00511E8F">
        <w:t>4.</w:t>
      </w:r>
      <w:r w:rsidRPr="00511E8F">
        <w:tab/>
        <w:t>wzywa Komisję i państwa członkowskie do wdrożenia podejścia ekosystemowego do zarządzania rybołówstwem wraz z podejściami koncentrującymi się na ochronie wrażliwych gatunków, przy jednoczesnym wspieraniu dobrobytu gospodarczego i społecznego rybaków, a także zapewnieniu realizacji celów i międzynarodowych zobowiązań UE w zakresie chronionych obszarów morskich i obszarów o dużym znaczeniu dla różnorodności biologicznej;</w:t>
      </w:r>
    </w:p>
    <w:p w14:paraId="0445770D" w14:textId="77777777" w:rsidR="005A092A" w:rsidRPr="00511E8F" w:rsidRDefault="005A092A" w:rsidP="005A092A">
      <w:pPr>
        <w:pStyle w:val="NormalHanging12a"/>
      </w:pPr>
      <w:r w:rsidRPr="00511E8F">
        <w:t>5.</w:t>
      </w:r>
      <w:r w:rsidRPr="00511E8F">
        <w:tab/>
        <w:t>wzywa Komisję i państwa członkowskie do dopilnowania, aby przemiany w ekosystemach spowodowane zmianą klimatu systematycznie odzwierciedlano w ocenach oddziaływania na środowisko i zarządzaniu rybołówstwem;</w:t>
      </w:r>
    </w:p>
    <w:p w14:paraId="77F4DE7F" w14:textId="77777777" w:rsidR="005A092A" w:rsidRPr="00511E8F" w:rsidRDefault="005A092A" w:rsidP="005A092A">
      <w:pPr>
        <w:pStyle w:val="NormalHanging12a"/>
      </w:pPr>
      <w:r w:rsidRPr="00511E8F">
        <w:t>6.</w:t>
      </w:r>
      <w:r w:rsidRPr="00511E8F">
        <w:tab/>
        <w:t>wzywa Komisję i państwa członkowskie do ograniczenia i, w miarę możliwości, wyeliminowania przypadkowych połowów wrażliwych gatunków morskich, zgodnie z art. 3 rozporządzenia (UE) 2019/1241, tak by takie połowy nie stanowiły zagrożenia dla stanu ochrony tych gatunków;</w:t>
      </w:r>
    </w:p>
    <w:p w14:paraId="0808B7DC" w14:textId="77777777" w:rsidR="005A092A" w:rsidRPr="00511E8F" w:rsidRDefault="005A092A" w:rsidP="005A092A">
      <w:pPr>
        <w:pStyle w:val="NormalHanging12a"/>
      </w:pPr>
      <w:r w:rsidRPr="00511E8F">
        <w:t>7.</w:t>
      </w:r>
      <w:r w:rsidRPr="00511E8F">
        <w:tab/>
        <w:t>podkreśla, że w ostatnich dziesięcioleciach siedliska uległy zmianie, co doprowadziło do wyginięcia niektórych gatunków, a jednocześnie umożliwiło pojawienie się nowych; podkreśla w związku z tym potrzebę zwiększenia świadomości obywateli, a w szczególności rybaków i wędkarzy, na temat znaczenia gromadzenia danych i potrzeby zarządzania adaptacyjnego;</w:t>
      </w:r>
    </w:p>
    <w:p w14:paraId="51822101" w14:textId="77777777" w:rsidR="005A092A" w:rsidRPr="00511E8F" w:rsidRDefault="005A092A" w:rsidP="005A092A">
      <w:pPr>
        <w:pStyle w:val="NormalHanging12a"/>
      </w:pPr>
      <w:r w:rsidRPr="00511E8F">
        <w:t>8.</w:t>
      </w:r>
      <w:r w:rsidRPr="00511E8F">
        <w:tab/>
        <w:t>podkreśla znaczenie opartych na podstawach naukowych planów zarządzania chronionymi obszarami morskimi, w tym ich wymiaru środowiskowego, społecznego i gospodarczego oraz wyników, dla dopilnowania, aby środki ochrony były ukierunkowane, skuteczne i dostosowane do potrzeb ekosystemu oraz aby ich wdrażanie było skuteczne; podkreśla cel UE, jakim jest ochrona 30 % mórz UE do 2030 r.;</w:t>
      </w:r>
    </w:p>
    <w:p w14:paraId="0838F20B" w14:textId="77777777" w:rsidR="005A092A" w:rsidRPr="00511E8F" w:rsidRDefault="005A092A" w:rsidP="005A092A">
      <w:pPr>
        <w:pStyle w:val="NormalHanging12a"/>
        <w:rPr>
          <w:bCs/>
          <w:iCs/>
        </w:rPr>
      </w:pPr>
      <w:r w:rsidRPr="00511E8F">
        <w:t>9.</w:t>
      </w:r>
      <w:r w:rsidRPr="00511E8F">
        <w:tab/>
        <w:t>przypomina, że rybacy muszą stanowić integralną część rozwiązania i być reprezentowani we wszystkich organach doradczych, w związku z czym podkreśla znaczenie zapewnienia reprezentacji wszystkich rybaków, zwłaszcza rybaków zajmujących się rybołówstwem łodziowym i tradycyjnym rybołówstwem przybrzeżnym; wyraża zaniepokojenie, że ich reprezentacja nie zawsze jest odpowiednio zagwarantowana;</w:t>
      </w:r>
    </w:p>
    <w:p w14:paraId="0BAA38D6" w14:textId="77777777" w:rsidR="005A092A" w:rsidRPr="00511E8F" w:rsidRDefault="005A092A" w:rsidP="005A092A">
      <w:pPr>
        <w:pStyle w:val="NormalHanging12a"/>
        <w:rPr>
          <w:bCs/>
          <w:iCs/>
        </w:rPr>
      </w:pPr>
      <w:r w:rsidRPr="00511E8F">
        <w:t>10.</w:t>
      </w:r>
      <w:r w:rsidRPr="00511E8F">
        <w:tab/>
        <w:t>wzywa Komisję i państwa członkowskie do pełnego wykorzystania narzędzi wspólnej polityki rybołówstwa (</w:t>
      </w:r>
      <w:proofErr w:type="spellStart"/>
      <w:r w:rsidRPr="00511E8F">
        <w:t>WPRyb</w:t>
      </w:r>
      <w:proofErr w:type="spellEnd"/>
      <w:r w:rsidRPr="00511E8F">
        <w:t>), w szczególności środków technicznych, w celu rozwiązania problemu interakcji między połowami i zwiększenia ochrony wrażliwych gatunków, przy jednoczesnym zapewnieniu sprawiedliwej i skutecznej rekompensaty dla rybaków, którzy doświadczyli skutków utraty dostępu do tradycyjnych łowisk, zgodnie z postanowieniami dotyczącymi Europejskiego Funduszu Morskiego, Rybackiego i Akwakultury; apeluje do Komisji o dopilnowanie, aby obowiązujące prawodawstwo zostało wdrożone i było egzekwowane;</w:t>
      </w:r>
    </w:p>
    <w:p w14:paraId="1C531CFF" w14:textId="77777777" w:rsidR="005A092A" w:rsidRPr="00511E8F" w:rsidRDefault="005A092A" w:rsidP="005A092A">
      <w:pPr>
        <w:pStyle w:val="NormalHanging12a"/>
        <w:rPr>
          <w:bCs/>
          <w:iCs/>
        </w:rPr>
      </w:pPr>
      <w:r w:rsidRPr="00511E8F">
        <w:lastRenderedPageBreak/>
        <w:t>11.</w:t>
      </w:r>
      <w:r w:rsidRPr="00511E8F">
        <w:tab/>
        <w:t xml:space="preserve">wzywa państwa członkowskie do pełnego wykorzystania przepisów zapisanych w art. 17 rozporządzenia w sprawie </w:t>
      </w:r>
      <w:proofErr w:type="spellStart"/>
      <w:r w:rsidRPr="00511E8F">
        <w:t>WPRyb</w:t>
      </w:r>
      <w:proofErr w:type="spellEnd"/>
      <w:r w:rsidRPr="00511E8F">
        <w:t xml:space="preserve"> przy przydzielaniu uprawnień do połowów, do zachęcania rybaków, by przyjmowali środki mające na celu zminimalizowanie lub wyeliminowanie przyłowów gatunków wrażliwych, oraz do zapewnienia zachęt dla statków rybackich wyposażonych w selektywne narzędzia połowowe lub stosujących techniki połowowe o ograniczonym wpływie na środowisko, ze szczególnym uwzględnieniem flot łodziowego rybołówstwa przybrzeżnego;</w:t>
      </w:r>
    </w:p>
    <w:p w14:paraId="3B8C1F67" w14:textId="77777777" w:rsidR="005A092A" w:rsidRPr="00511E8F" w:rsidRDefault="005A092A" w:rsidP="005A092A">
      <w:pPr>
        <w:pStyle w:val="NormalHanging12a"/>
        <w:rPr>
          <w:bCs/>
          <w:iCs/>
        </w:rPr>
      </w:pPr>
      <w:r w:rsidRPr="00511E8F">
        <w:t>12.</w:t>
      </w:r>
      <w:r w:rsidRPr="00511E8F">
        <w:tab/>
        <w:t xml:space="preserve">przypomina o znaczeniu danych gromadzonych w ramach </w:t>
      </w:r>
      <w:proofErr w:type="spellStart"/>
      <w:r w:rsidRPr="00511E8F">
        <w:t>WPRyb</w:t>
      </w:r>
      <w:proofErr w:type="spellEnd"/>
      <w:r w:rsidRPr="00511E8F">
        <w:t xml:space="preserve"> dla właściwego określenia wpływu rybołówstwa na gatunki wrażliwe oraz o znaczeniu ulepszonych systemów monitorowania, zgodnie z opiniami naukowymi i prawodawstwem UE; podkreśla znaczenie kompleksowych danych dotyczących przyłowów poszczególnych gatunków, aby umożliwić ukierunkowane środki ograniczające, dostarczyć informacji na potrzeby strategii zarządzania adaptacyjnego i ułatwić przyjmowanie zrównoważonych i opartych na dowodach naukowych środków, które uwzględniają również czynniki społeczno-gospodarcze i zapewniają bezpieczeństwo żywnościowe UE;</w:t>
      </w:r>
    </w:p>
    <w:p w14:paraId="099D982D" w14:textId="77777777" w:rsidR="005A092A" w:rsidRPr="00511E8F" w:rsidRDefault="005A092A" w:rsidP="005A092A">
      <w:pPr>
        <w:pStyle w:val="NormalHanging12a"/>
      </w:pPr>
      <w:r w:rsidRPr="00511E8F">
        <w:t>13.</w:t>
      </w:r>
      <w:r w:rsidRPr="00511E8F">
        <w:tab/>
        <w:t xml:space="preserve">podkreśla znaczenie całościowego podejścia we wszystkich obszarach polityki, które może przyczynić się do wzmocnienia monitorowania, ochrony, odbudowy i odtwarzania wrażliwych gatunków i siedlisk; podkreśla w związku z tym, że ważne jest wdrożenie obowiązujących przepisów we wszystkich odpowiednich obszarach polityki wykraczających poza te bezpośrednio związane z </w:t>
      </w:r>
      <w:proofErr w:type="spellStart"/>
      <w:r w:rsidRPr="00511E8F">
        <w:t>WPRyb</w:t>
      </w:r>
      <w:proofErr w:type="spellEnd"/>
      <w:r w:rsidRPr="00511E8F">
        <w:t>;</w:t>
      </w:r>
    </w:p>
    <w:p w14:paraId="7DE39D15" w14:textId="77777777" w:rsidR="005A092A" w:rsidRPr="00511E8F" w:rsidRDefault="005A092A" w:rsidP="005A092A">
      <w:pPr>
        <w:pStyle w:val="NormalHanging12a"/>
      </w:pPr>
      <w:r w:rsidRPr="00511E8F">
        <w:t>14.</w:t>
      </w:r>
      <w:r w:rsidRPr="00511E8F">
        <w:tab/>
        <w:t>wzywa Komisję i państwa członkowskie do wzmocnienia podejścia ekosystemowego do zarządzania środowiskiem morskim, z uwzględnieniem, w miarę możliwości, interakcji między gatunkami oraz wszelkiej presji na ekosystemy morskie, w tym zmiany klimatu i zanieczyszczenia, zarówno na lądzie, jak i z innych źródeł;</w:t>
      </w:r>
    </w:p>
    <w:p w14:paraId="200E2B50" w14:textId="77777777" w:rsidR="005A092A" w:rsidRPr="00511E8F" w:rsidRDefault="005A092A" w:rsidP="005A092A">
      <w:pPr>
        <w:pStyle w:val="NormalHanging12a"/>
      </w:pPr>
      <w:r w:rsidRPr="00511E8F">
        <w:t>15.</w:t>
      </w:r>
      <w:r w:rsidRPr="00511E8F">
        <w:tab/>
        <w:t>podkreśla, że chronione obszary morskie, które są skutecznie chronione i zarządzane w oparciu o najlepszą dostępną wiedzę naukową, przyczyniają się, w zależności od celów ochrony, do zminimalizowania przypadkowych połowów gatunków wrażliwych, ochrony tarlisk i obszarów dojrzewania narybku oraz młodych osobników, a także do zmniejszenia wpływu na wrażliwe siedliska;</w:t>
      </w:r>
    </w:p>
    <w:p w14:paraId="5AA05921" w14:textId="77777777" w:rsidR="005A092A" w:rsidRPr="00511E8F" w:rsidRDefault="005A092A" w:rsidP="005A092A">
      <w:pPr>
        <w:pStyle w:val="NormalHanging12a"/>
      </w:pPr>
      <w:r w:rsidRPr="00511E8F">
        <w:t>16.</w:t>
      </w:r>
      <w:r w:rsidRPr="00511E8F">
        <w:tab/>
        <w:t>wzywa Komisję i państwa członkowskie do oceny wielkości populacji regionalnej i lokalnej, stanu i tendencji w odniesieniu do gatunków oraz potencjalnego wpływu, jaki nierównowaga populacji może mieć na działalność połowową, aby zapewnić ekosystemowe zarządzanie rybołówstwem, w tym środki ochrony gatunków wrażliwych;</w:t>
      </w:r>
    </w:p>
    <w:p w14:paraId="54882240" w14:textId="77777777" w:rsidR="005A092A" w:rsidRPr="00511E8F" w:rsidRDefault="005A092A" w:rsidP="005A092A">
      <w:pPr>
        <w:pStyle w:val="NormalHanging12a"/>
        <w:rPr>
          <w:bCs/>
          <w:iCs/>
        </w:rPr>
      </w:pPr>
      <w:r w:rsidRPr="00511E8F">
        <w:t>17.</w:t>
      </w:r>
      <w:r w:rsidRPr="00511E8F">
        <w:tab/>
        <w:t xml:space="preserve">wzywa Komisję i państwa członkowskie do większego wsparcia programów naukowych dotyczących wrażliwych gatunków i podejść do zarządzania, jak określono w odpowiednich przepisach; podkreśla, że w niektórych regionach gatunki wrażliwe, takie jak rosnące populacje kormoranów i fok, mają wpływ na stada ryb oraz działalność w zakresie rybołówstwa i akwakultury, a także na inne populacje gatunków wrażliwych; jest zdania, że ramy regulacyjne przewidują niezbędne narzędzia umożliwiające poprawę, biorąc pod uwagę lokalny status gatunków wrażliwych; zwraca się zatem do Komisji i państw członkowskich o rozważenie, wśród działań, które należy podjąć, wszystkich możliwości przewidzianych w dyrektywie ptasiej i dyrektywie </w:t>
      </w:r>
      <w:r w:rsidRPr="00511E8F">
        <w:lastRenderedPageBreak/>
        <w:t>siedliskowej w celu ułatwienia w większej mierze aktywnego i skutecznego zarządzania populacją oraz wspierania zarządzania opartego na ekosystemie;</w:t>
      </w:r>
    </w:p>
    <w:p w14:paraId="0596D43C" w14:textId="77777777" w:rsidR="005A092A" w:rsidRPr="00511E8F" w:rsidRDefault="005A092A" w:rsidP="005A092A">
      <w:pPr>
        <w:pStyle w:val="Normal12a24b"/>
        <w:ind w:left="567" w:hanging="567"/>
        <w:rPr>
          <w:bCs/>
          <w:iCs/>
        </w:rPr>
      </w:pPr>
      <w:r w:rsidRPr="00511E8F">
        <w:t>18.</w:t>
      </w:r>
      <w:r w:rsidRPr="00511E8F">
        <w:tab/>
        <w:t xml:space="preserve">wzywa Komisję do dopilnowania, aby unijne podejścia do zarządzania rybołówstwem były dostosowane do </w:t>
      </w:r>
      <w:proofErr w:type="spellStart"/>
      <w:r w:rsidRPr="00511E8F">
        <w:t>WPRyb</w:t>
      </w:r>
      <w:proofErr w:type="spellEnd"/>
      <w:r w:rsidRPr="00511E8F">
        <w:t>, unijnej strategii na rzecz bioróżnorodności 2030 oraz międzynarodowych zobowiązań UE, takich jak globalne ramy różnorodności biologicznej z Kunmingu/Montrealu; podkreśla w związku z tym, że należy podjąć działania mające na celu powstrzymanie spadku liczebności wrażliwych gatunków w ekosystemach morskich UE, w tym poprzez wdrożenie odpowiednich środków ochrony i ochronę siedlisk;</w:t>
      </w:r>
    </w:p>
    <w:p w14:paraId="0658B341" w14:textId="77777777" w:rsidR="005A092A" w:rsidRPr="00511E8F" w:rsidRDefault="005A092A" w:rsidP="005A092A">
      <w:pPr>
        <w:pStyle w:val="Normal12a24b"/>
        <w:ind w:left="567" w:hanging="567"/>
        <w:rPr>
          <w:bCs/>
          <w:iCs/>
        </w:rPr>
      </w:pPr>
      <w:r w:rsidRPr="00511E8F">
        <w:t>19.</w:t>
      </w:r>
      <w:r w:rsidRPr="00511E8F">
        <w:tab/>
        <w:t xml:space="preserve">wzywa Komisję do podjęcia działań w ramach regionalnych organizacji ds. zarządzania rybołówstwem (RFMO) w celu ograniczenia </w:t>
      </w:r>
      <w:proofErr w:type="gramStart"/>
      <w:r w:rsidRPr="00511E8F">
        <w:t>i,</w:t>
      </w:r>
      <w:proofErr w:type="gramEnd"/>
      <w:r w:rsidRPr="00511E8F">
        <w:t xml:space="preserve"> w miarę możliwości, wyeliminowania przyłowów gatunków wrażliwych oraz ograniczenia handlu produktami rybołówstwa i ich przywozu, a także wzmocnienia środków przeciwko nielegalnym, nieraportowanym i nieuregulowanym połowom, w tym poprzez lepszą kontrolę celną i współpracę z partnerami RFMO;</w:t>
      </w:r>
    </w:p>
    <w:p w14:paraId="13E17399" w14:textId="77777777" w:rsidR="005A092A" w:rsidRPr="00511E8F" w:rsidRDefault="005A092A" w:rsidP="005A092A">
      <w:pPr>
        <w:pStyle w:val="Normal12a24b"/>
        <w:spacing w:after="360"/>
      </w:pPr>
      <w:r w:rsidRPr="00511E8F">
        <w:rPr>
          <w:rStyle w:val="BoldItalic"/>
        </w:rPr>
        <w:t>Gatunki inwazyjne: zagrożenia dla naszych oceanów i gospodarki</w:t>
      </w:r>
    </w:p>
    <w:p w14:paraId="4B1C63C9" w14:textId="77777777" w:rsidR="005A092A" w:rsidRPr="00511E8F" w:rsidRDefault="005A092A" w:rsidP="005A092A">
      <w:pPr>
        <w:pStyle w:val="NormalHanging12a"/>
      </w:pPr>
      <w:r w:rsidRPr="00511E8F">
        <w:t>20.</w:t>
      </w:r>
      <w:r w:rsidRPr="00511E8F">
        <w:tab/>
        <w:t>podkreśla, że inwazyjne gatunki obce stanowią zagrożenie dla rybołówstwa i akwakultury, rodzimej różnorodności biologicznej mórz i ekosystemów morskich, a tym samym wpływają na środki utrzymania i dochody rybaków oraz społeczności nadbrzeżnych;</w:t>
      </w:r>
    </w:p>
    <w:p w14:paraId="1B2D007F" w14:textId="77777777" w:rsidR="005A092A" w:rsidRPr="00511E8F" w:rsidRDefault="005A092A" w:rsidP="005A092A">
      <w:pPr>
        <w:pStyle w:val="NormalHanging12a"/>
      </w:pPr>
      <w:r w:rsidRPr="00511E8F">
        <w:t>21.</w:t>
      </w:r>
      <w:r w:rsidRPr="00511E8F">
        <w:tab/>
        <w:t>podkreśla istotny wkład łodziowego rybołówstwa przybrzeżnego w lokalną gospodarkę i bezpieczeństwo żywnościowe UE, zwracając uwagę, że stoi ono w obliczu rosnących zagrożeń ze strony środowiskowych czynników stresogennych, takich jak gatunki inwazyjne i zmiana klimatu, w tym masowego przemieszczania się niektórych gatunków, w szczególności ze względu na ocieplenie wód, zjawisko powodujące poważne straty, zwłaszcza dla hodowców skorupiaków, którzy są podwójnie karani spadkiem produkcji i wzrostem kosztów związanych z drapieżnikami;</w:t>
      </w:r>
    </w:p>
    <w:p w14:paraId="2878BFE3" w14:textId="77777777" w:rsidR="005A092A" w:rsidRPr="00511E8F" w:rsidRDefault="005A092A" w:rsidP="005A092A">
      <w:pPr>
        <w:pStyle w:val="NormalHanging12a"/>
      </w:pPr>
      <w:r w:rsidRPr="00511E8F">
        <w:t>22.</w:t>
      </w:r>
      <w:r w:rsidRPr="00511E8F">
        <w:tab/>
        <w:t>przypomina, że w UE ścisłym regulacjom podlega 88 inwazyjnych gatunków obcych, w tym 47 gatunków zwierząt i 41 gatunków roślin stwarzających zagrożenie dla Unii;</w:t>
      </w:r>
    </w:p>
    <w:p w14:paraId="3B662056" w14:textId="77777777" w:rsidR="005A092A" w:rsidRPr="00511E8F" w:rsidRDefault="005A092A" w:rsidP="005A092A">
      <w:pPr>
        <w:pStyle w:val="NormalHanging12a"/>
      </w:pPr>
      <w:r w:rsidRPr="00511E8F">
        <w:t>23.</w:t>
      </w:r>
      <w:r w:rsidRPr="00511E8F">
        <w:tab/>
        <w:t>ubolewa, że obecny wykaz gatunków stwarzających zagrożenie dla Unii nie uwzględnia w pełni zagrożenia ze strony inwazyjnych gatunków obcych dla rybołówstwa, akwakultury i środowiska morskiego UE, gdyż obecnie do wykazu włączono tylko dwa gatunki morskie (</w:t>
      </w:r>
      <w:proofErr w:type="spellStart"/>
      <w:r w:rsidRPr="00511E8F">
        <w:rPr>
          <w:i/>
          <w:iCs/>
        </w:rPr>
        <w:t>Plotosus</w:t>
      </w:r>
      <w:proofErr w:type="spellEnd"/>
      <w:r w:rsidRPr="00511E8F">
        <w:rPr>
          <w:i/>
          <w:iCs/>
        </w:rPr>
        <w:t xml:space="preserve"> </w:t>
      </w:r>
      <w:proofErr w:type="spellStart"/>
      <w:r w:rsidRPr="00511E8F">
        <w:rPr>
          <w:i/>
          <w:iCs/>
        </w:rPr>
        <w:t>lineatus</w:t>
      </w:r>
      <w:proofErr w:type="spellEnd"/>
      <w:r w:rsidRPr="00511E8F">
        <w:t xml:space="preserve"> i </w:t>
      </w:r>
      <w:proofErr w:type="spellStart"/>
      <w:r w:rsidRPr="00511E8F">
        <w:rPr>
          <w:i/>
          <w:iCs/>
        </w:rPr>
        <w:t>Rugulopteryx</w:t>
      </w:r>
      <w:proofErr w:type="spellEnd"/>
      <w:r w:rsidRPr="00511E8F">
        <w:rPr>
          <w:i/>
          <w:iCs/>
        </w:rPr>
        <w:t xml:space="preserve"> </w:t>
      </w:r>
      <w:proofErr w:type="spellStart"/>
      <w:r w:rsidRPr="00511E8F">
        <w:rPr>
          <w:i/>
          <w:iCs/>
        </w:rPr>
        <w:t>okamurae</w:t>
      </w:r>
      <w:proofErr w:type="spellEnd"/>
      <w:r w:rsidRPr="00511E8F">
        <w:t>) oraz niektóre gatunki występujące w wodach słonawych; wzywa do poprawienia wykazu w oparciu o aktualne opinie naukowe i oceny ryzyka;</w:t>
      </w:r>
    </w:p>
    <w:p w14:paraId="57F357E9" w14:textId="77777777" w:rsidR="005A092A" w:rsidRPr="00511E8F" w:rsidRDefault="005A092A" w:rsidP="005A092A">
      <w:pPr>
        <w:pStyle w:val="NormalHanging12a"/>
      </w:pPr>
      <w:r w:rsidRPr="00511E8F">
        <w:t>24.</w:t>
      </w:r>
      <w:r w:rsidRPr="00511E8F">
        <w:tab/>
        <w:t xml:space="preserve">zwraca uwagę na potrzebę odpowiedniego zarządzania gatunkami i z zaniepokojeniem odnotowuje zwiększoną obecność w niektórych regionach gatunków takich jak: </w:t>
      </w:r>
    </w:p>
    <w:p w14:paraId="2D80693A" w14:textId="77777777" w:rsidR="005A092A" w:rsidRPr="00511E8F" w:rsidRDefault="005A092A" w:rsidP="005A092A">
      <w:pPr>
        <w:pStyle w:val="NormalHanging12a"/>
        <w:ind w:firstLine="0"/>
      </w:pPr>
      <w:r w:rsidRPr="00511E8F">
        <w:t>a) gatunki ostryg pacyficznych i obce gatunki raków w południowej części Morza Północnego, w szczególności wzdłuż wybrzeża Niderlandów;</w:t>
      </w:r>
    </w:p>
    <w:p w14:paraId="325198E8" w14:textId="77777777" w:rsidR="005A092A" w:rsidRPr="00511E8F" w:rsidRDefault="005A092A" w:rsidP="005A092A">
      <w:pPr>
        <w:pStyle w:val="NormalHanging12a"/>
        <w:ind w:firstLine="0"/>
      </w:pPr>
      <w:r w:rsidRPr="00511E8F">
        <w:lastRenderedPageBreak/>
        <w:t>b) babka bycza, które wpływa na ekosystem, a w szczególności zagraża krewetkom, płastugom i rodzimym babkom, zwłaszcza na wodach Morza Północnego;</w:t>
      </w:r>
    </w:p>
    <w:p w14:paraId="7F63D704" w14:textId="77777777" w:rsidR="005A092A" w:rsidRPr="00511E8F" w:rsidRDefault="005A092A" w:rsidP="005A092A">
      <w:pPr>
        <w:pStyle w:val="NormalHanging12a"/>
        <w:ind w:firstLine="0"/>
      </w:pPr>
      <w:r w:rsidRPr="00511E8F">
        <w:t>c) krab błękitny, krab przybrzeżny szypułkowany, amerykański grzebieniowiec atlantycki i meduza przyczepna w północno-wschodnim Atlantyku;</w:t>
      </w:r>
    </w:p>
    <w:p w14:paraId="343CB362" w14:textId="77777777" w:rsidR="005A092A" w:rsidRPr="00511E8F" w:rsidRDefault="005A092A" w:rsidP="005A092A">
      <w:pPr>
        <w:pStyle w:val="NormalHanging12a"/>
        <w:ind w:firstLine="0"/>
      </w:pPr>
      <w:r w:rsidRPr="00511E8F">
        <w:t xml:space="preserve">d) skrzydlica </w:t>
      </w:r>
      <w:proofErr w:type="spellStart"/>
      <w:r w:rsidRPr="00511E8F">
        <w:t>wachlarzopłetwa</w:t>
      </w:r>
      <w:proofErr w:type="spellEnd"/>
      <w:r w:rsidRPr="00511E8F">
        <w:t xml:space="preserve"> (</w:t>
      </w:r>
      <w:proofErr w:type="spellStart"/>
      <w:r w:rsidRPr="00511E8F">
        <w:rPr>
          <w:i/>
          <w:iCs/>
        </w:rPr>
        <w:t>Pterois</w:t>
      </w:r>
      <w:proofErr w:type="spellEnd"/>
      <w:r w:rsidRPr="00511E8F">
        <w:rPr>
          <w:i/>
          <w:iCs/>
        </w:rPr>
        <w:t xml:space="preserve"> </w:t>
      </w:r>
      <w:proofErr w:type="spellStart"/>
      <w:r w:rsidRPr="00511E8F">
        <w:rPr>
          <w:i/>
          <w:iCs/>
        </w:rPr>
        <w:t>miles</w:t>
      </w:r>
      <w:proofErr w:type="spellEnd"/>
      <w:r w:rsidRPr="00511E8F">
        <w:t xml:space="preserve">), </w:t>
      </w:r>
      <w:proofErr w:type="spellStart"/>
      <w:r w:rsidRPr="00511E8F">
        <w:t>fistulka</w:t>
      </w:r>
      <w:proofErr w:type="spellEnd"/>
      <w:r w:rsidRPr="00511E8F">
        <w:t xml:space="preserve"> </w:t>
      </w:r>
      <w:proofErr w:type="spellStart"/>
      <w:r w:rsidRPr="00511E8F">
        <w:t>błękitnoplamista</w:t>
      </w:r>
      <w:proofErr w:type="spellEnd"/>
      <w:r w:rsidRPr="00511E8F">
        <w:t xml:space="preserve"> (</w:t>
      </w:r>
      <w:proofErr w:type="spellStart"/>
      <w:r w:rsidRPr="00511E8F">
        <w:rPr>
          <w:i/>
          <w:iCs/>
        </w:rPr>
        <w:t>Fistularia</w:t>
      </w:r>
      <w:proofErr w:type="spellEnd"/>
      <w:r w:rsidRPr="00511E8F">
        <w:rPr>
          <w:i/>
          <w:iCs/>
        </w:rPr>
        <w:t xml:space="preserve"> </w:t>
      </w:r>
      <w:proofErr w:type="spellStart"/>
      <w:r w:rsidRPr="00511E8F">
        <w:rPr>
          <w:i/>
          <w:iCs/>
        </w:rPr>
        <w:t>commersonii</w:t>
      </w:r>
      <w:proofErr w:type="spellEnd"/>
      <w:r w:rsidRPr="00511E8F">
        <w:t>) i ropucha srebrzysta (</w:t>
      </w:r>
      <w:proofErr w:type="spellStart"/>
      <w:r w:rsidRPr="00511E8F">
        <w:rPr>
          <w:i/>
          <w:iCs/>
        </w:rPr>
        <w:t>Lagocephalus</w:t>
      </w:r>
      <w:proofErr w:type="spellEnd"/>
      <w:r w:rsidRPr="00511E8F">
        <w:rPr>
          <w:i/>
          <w:iCs/>
        </w:rPr>
        <w:t xml:space="preserve"> </w:t>
      </w:r>
      <w:proofErr w:type="spellStart"/>
      <w:r w:rsidRPr="00511E8F">
        <w:rPr>
          <w:i/>
          <w:iCs/>
        </w:rPr>
        <w:t>sceleratus</w:t>
      </w:r>
      <w:proofErr w:type="spellEnd"/>
      <w:r w:rsidRPr="00511E8F">
        <w:t>) wokół Grecji i Cypru;</w:t>
      </w:r>
    </w:p>
    <w:p w14:paraId="17BA850E" w14:textId="77777777" w:rsidR="005A092A" w:rsidRPr="00511E8F" w:rsidRDefault="005A092A" w:rsidP="005A092A">
      <w:pPr>
        <w:pStyle w:val="NormalHanging12a"/>
        <w:ind w:firstLine="0"/>
      </w:pPr>
      <w:r w:rsidRPr="00511E8F">
        <w:t>e) racicznica zmienna (</w:t>
      </w:r>
      <w:proofErr w:type="spellStart"/>
      <w:r w:rsidRPr="00511E8F">
        <w:rPr>
          <w:i/>
          <w:iCs/>
        </w:rPr>
        <w:t>Dreissena</w:t>
      </w:r>
      <w:proofErr w:type="spellEnd"/>
      <w:r w:rsidRPr="00511E8F">
        <w:rPr>
          <w:i/>
          <w:iCs/>
        </w:rPr>
        <w:t xml:space="preserve"> </w:t>
      </w:r>
      <w:proofErr w:type="spellStart"/>
      <w:r w:rsidRPr="00511E8F">
        <w:rPr>
          <w:i/>
          <w:iCs/>
        </w:rPr>
        <w:t>polymorpha</w:t>
      </w:r>
      <w:proofErr w:type="spellEnd"/>
      <w:r w:rsidRPr="00511E8F">
        <w:t>) wprowadzona do Ebro oraz zębacz smugowy (</w:t>
      </w:r>
      <w:proofErr w:type="spellStart"/>
      <w:r w:rsidRPr="00511E8F">
        <w:rPr>
          <w:i/>
          <w:iCs/>
        </w:rPr>
        <w:t>Silurus</w:t>
      </w:r>
      <w:proofErr w:type="spellEnd"/>
      <w:r w:rsidRPr="00511E8F">
        <w:rPr>
          <w:i/>
          <w:iCs/>
        </w:rPr>
        <w:t xml:space="preserve"> </w:t>
      </w:r>
      <w:proofErr w:type="spellStart"/>
      <w:r w:rsidRPr="00511E8F">
        <w:rPr>
          <w:i/>
          <w:iCs/>
        </w:rPr>
        <w:t>glanis</w:t>
      </w:r>
      <w:proofErr w:type="spellEnd"/>
      <w:r w:rsidRPr="00511E8F">
        <w:t>) w Hiszpanii;</w:t>
      </w:r>
    </w:p>
    <w:p w14:paraId="698F2461" w14:textId="77777777" w:rsidR="005A092A" w:rsidRPr="00511E8F" w:rsidRDefault="005A092A" w:rsidP="005A092A">
      <w:pPr>
        <w:pStyle w:val="NormalHanging12a"/>
        <w:ind w:firstLine="0"/>
      </w:pPr>
      <w:r w:rsidRPr="00511E8F">
        <w:t xml:space="preserve">f) azjatycka brunatnica </w:t>
      </w:r>
      <w:proofErr w:type="spellStart"/>
      <w:r w:rsidRPr="00511E8F">
        <w:rPr>
          <w:i/>
          <w:iCs/>
        </w:rPr>
        <w:t>Rugulopteryx</w:t>
      </w:r>
      <w:proofErr w:type="spellEnd"/>
      <w:r w:rsidRPr="00511E8F">
        <w:rPr>
          <w:i/>
          <w:iCs/>
        </w:rPr>
        <w:t xml:space="preserve"> </w:t>
      </w:r>
      <w:proofErr w:type="spellStart"/>
      <w:r w:rsidRPr="00511E8F">
        <w:rPr>
          <w:i/>
          <w:iCs/>
        </w:rPr>
        <w:t>okamurae</w:t>
      </w:r>
      <w:proofErr w:type="spellEnd"/>
      <w:r w:rsidRPr="00511E8F">
        <w:t>, w szczególności w zachodniej części Morza Śródziemnego;</w:t>
      </w:r>
    </w:p>
    <w:p w14:paraId="33738337" w14:textId="77777777" w:rsidR="005A092A" w:rsidRPr="00511E8F" w:rsidRDefault="005A092A" w:rsidP="005A092A">
      <w:pPr>
        <w:pStyle w:val="NormalHanging12a"/>
      </w:pPr>
      <w:r w:rsidRPr="00511E8F">
        <w:t>25.</w:t>
      </w:r>
      <w:r w:rsidRPr="00511E8F">
        <w:tab/>
        <w:t>wzywa Komisję i państwa członkowskie do ustanowienia regionalnych, ukierunkowanych gatunkowo systemów monitorowania, w tym skoordynowanych strategii wczesnego ostrzegania o gatunkach obcych wpływających na siedliska istotne pod względem gospodarczym oraz reagowania na takie gatunki;</w:t>
      </w:r>
    </w:p>
    <w:p w14:paraId="717DB6FC" w14:textId="77777777" w:rsidR="005A092A" w:rsidRPr="00511E8F" w:rsidRDefault="005A092A" w:rsidP="005A092A">
      <w:pPr>
        <w:pStyle w:val="NormalHanging12a"/>
      </w:pPr>
      <w:r w:rsidRPr="00511E8F">
        <w:t>26.</w:t>
      </w:r>
      <w:r w:rsidRPr="00511E8F">
        <w:tab/>
        <w:t>ubolewa nad brakiem specjalnych programów monitorowania morskich inwazyjnych gatunków obcych i wzywa do poprawy metod monitorowania i do harmonizacji wskaźników w całej UE oraz do większego wsparcia technicznego i finansowego, w szczególności dla regionów najbardziej oddalonych, które ze względu na swoją wyjątkową różnorodność biologiczną i oddalenie wymagają dodatkowego finansowania;</w:t>
      </w:r>
    </w:p>
    <w:p w14:paraId="7EE1D1DC" w14:textId="77777777" w:rsidR="005A092A" w:rsidRPr="00511E8F" w:rsidRDefault="005A092A" w:rsidP="005A092A">
      <w:pPr>
        <w:pStyle w:val="Normal6a"/>
        <w:ind w:left="567" w:hanging="567"/>
      </w:pPr>
      <w:r w:rsidRPr="00511E8F">
        <w:t>27.</w:t>
      </w:r>
      <w:r w:rsidRPr="00511E8F">
        <w:tab/>
        <w:t>zaleca przyjęcie metodyki i wartości progowych dla wszystkich europejskich regionów i podregionów morskich, z uwzględnieniem wpływu na rybołówstwo i akwakulturę, możliwości zarządzania szlakami, potrzeby bardziej rygorystycznych kontroli flot UE i krajów spoza UE, ukierunkowanych połowów gatunków inwazyjnych oraz egzekwowania Międzynarodowej konwencji o kontroli i postępowaniu ze statkowymi wodami balastowymi i osadami, a także stosowania wytycznych dotyczących zanieczyszczenia kadłuba;</w:t>
      </w:r>
    </w:p>
    <w:p w14:paraId="383CEFEA" w14:textId="77777777" w:rsidR="005A092A" w:rsidRPr="00511E8F" w:rsidRDefault="005A092A" w:rsidP="005A092A">
      <w:pPr>
        <w:pStyle w:val="NormalHanging12a"/>
      </w:pPr>
      <w:r w:rsidRPr="00511E8F">
        <w:t>28.</w:t>
      </w:r>
      <w:r w:rsidRPr="00511E8F">
        <w:tab/>
        <w:t>podkreśla potencjalne powiązania między inwazyjnymi gatunkami obcymi wprowadzanymi do ekosystemów lądowych i słodkowodnych a tymi wprowadzanymi do ekosystemów oceanicznych i morskich oraz ich wpływ na rybołówstwo i akwakulturę; wzywa Komisję do opracowania kompleksowej strategii w celu rozwiązania tego problemu;</w:t>
      </w:r>
    </w:p>
    <w:p w14:paraId="14CCBBC0" w14:textId="77777777" w:rsidR="005A092A" w:rsidRPr="00511E8F" w:rsidRDefault="005A092A" w:rsidP="005A092A">
      <w:pPr>
        <w:pStyle w:val="NormalHanging12a"/>
      </w:pPr>
      <w:r w:rsidRPr="00511E8F">
        <w:t>29.</w:t>
      </w:r>
      <w:r w:rsidRPr="00511E8F">
        <w:tab/>
        <w:t xml:space="preserve">podkreśla, że całościowe, zapobiegawcze i wielowektorowe podejście do zarządzania oparte na szlakach jest absolutnym priorytetem w skutecznym zapobieganiu wprowadzaniu morskich inwazyjnych gatunków obcych oraz w przeciwdziałaniu ich rozprzestrzenianiu się, a także w zajęciu się podstawowymi przyczynami ich rozprzestrzeniania; zachęca państwa członkowskie do częstszego wykorzystywania analizy sytuacji i nowatorskich technik, takich jak </w:t>
      </w:r>
      <w:proofErr w:type="spellStart"/>
      <w:r w:rsidRPr="00511E8F">
        <w:t>eDNA</w:t>
      </w:r>
      <w:proofErr w:type="spellEnd"/>
      <w:r w:rsidRPr="00511E8F">
        <w:t xml:space="preserve">, sztuczna inteligencja i zautomatyzowane monitorowanie, oraz wiedzy uzyskanej od rybaków, wędkarzy, społeczności nabrzeżnych i obywateli jako narzędzi do identyfikowania i priorytetowego traktowania nowych i pojawiających się inwazyjnych gatunków obcych wysokiego ryzyka w rybołówstwie i akwakulturze; wzywa Komisję do stosowania tego zintegrowanego podejścia przy wdrażaniu Europejskiego paktu na rzecz wszechoceanu, </w:t>
      </w:r>
      <w:r w:rsidRPr="00511E8F">
        <w:lastRenderedPageBreak/>
        <w:t>aby zapewnić skoordynowane działania we wszystkich sektorach i państwach członkowskich;</w:t>
      </w:r>
    </w:p>
    <w:p w14:paraId="0D4B8321" w14:textId="77777777" w:rsidR="005A092A" w:rsidRPr="00511E8F" w:rsidRDefault="005A092A" w:rsidP="005A092A">
      <w:pPr>
        <w:pStyle w:val="NormalHanging12a"/>
      </w:pPr>
      <w:r w:rsidRPr="00511E8F">
        <w:t>30.</w:t>
      </w:r>
      <w:r w:rsidRPr="00511E8F">
        <w:tab/>
        <w:t>wzywa państwa członkowskie do wzmocnienia komunikacji, koordynacji i współpracy, zwłaszcza na obszarach transgranicznych, przy jednoczesnym wykorzystaniu ochrony biologicznej do szybkiego wdrożenia środków na rzecz wczesnego wykrywania i szybkiej eliminacji morskich inwazyjnych gatunków obcych oraz do zarządzania gatunkami, które już rozprzestrzeniły się na szeroką skalę; ponadto zwraca się do Komisji, aby współpracowała z państwami członkowskimi w celu rozszerzenia tych działań poprzez współpracę z państwami spoza UE dzielącymi ten sam basen morski;</w:t>
      </w:r>
    </w:p>
    <w:p w14:paraId="24F23C51" w14:textId="77777777" w:rsidR="005A092A" w:rsidRPr="00511E8F" w:rsidRDefault="005A092A" w:rsidP="005A092A">
      <w:pPr>
        <w:pStyle w:val="NormalHanging12a"/>
      </w:pPr>
      <w:r w:rsidRPr="00511E8F">
        <w:t>31.</w:t>
      </w:r>
      <w:r w:rsidRPr="00511E8F">
        <w:tab/>
        <w:t>zaleca zacieśnienie współpracy między instytucjami naukowymi a agencjami UE w celu lepszego transferu wiedzy i badań stosowanych w dziedzinie rozprzestrzeniania się, wpływu i kontroli inwazyjnych gatunków morskich;</w:t>
      </w:r>
    </w:p>
    <w:p w14:paraId="7C00B328" w14:textId="77777777" w:rsidR="005A092A" w:rsidRPr="00511E8F" w:rsidRDefault="005A092A" w:rsidP="005A092A">
      <w:pPr>
        <w:pStyle w:val="NormalHanging12a"/>
      </w:pPr>
      <w:r w:rsidRPr="00511E8F">
        <w:t>32.</w:t>
      </w:r>
      <w:r w:rsidRPr="00511E8F">
        <w:tab/>
        <w:t>podkreśla, że Morze Śródziemne, które według Organizacji Narodów Zjednoczonych ds. Wyżywienia i Rolnictwa ociepla się o 20 % szybciej niż reszta świata, jest obszarem znajdującym się pod szczególną presją, w którym znajduje się więcej inwazyjnych gatunków obcych niż w jakimkolwiek innym morzu na świecie, co ma znaczący negatywny wpływ na ekosystemy morskie oraz na sektory rybołówstwa i akwakultury, a zatem wymaga szczególnej uwagi; wzywa zatem Komisję i państwa członkowskie do przeznaczenia dodatkowych zasobów i ustanowienia pilnych środków, by powstrzymać rozprzestrzenianie się tych gatunków w tym basenie morskim;</w:t>
      </w:r>
    </w:p>
    <w:p w14:paraId="41E60D87" w14:textId="77777777" w:rsidR="005A092A" w:rsidRPr="00511E8F" w:rsidRDefault="005A092A" w:rsidP="005A092A">
      <w:pPr>
        <w:pStyle w:val="NormalHanging12a"/>
      </w:pPr>
      <w:r w:rsidRPr="00511E8F">
        <w:t>33.</w:t>
      </w:r>
      <w:r w:rsidRPr="00511E8F">
        <w:tab/>
        <w:t>wzywa Komisję, aby wsparła Generalną Komisję Rybołówstwa Morza Śródziemnego (GFCM) w jej inicjatywach dotyczących monitorowania naukowego i projektów pilotażowych mających na celu sprostanie wyzwaniom związanym z inwazyjnymi gatunkami morskimi;</w:t>
      </w:r>
    </w:p>
    <w:p w14:paraId="31A1C198" w14:textId="77777777" w:rsidR="005A092A" w:rsidRPr="00511E8F" w:rsidRDefault="005A092A" w:rsidP="005A092A">
      <w:pPr>
        <w:pStyle w:val="NormalHanging12a"/>
      </w:pPr>
      <w:r w:rsidRPr="00511E8F">
        <w:t xml:space="preserve">34. </w:t>
      </w:r>
      <w:r w:rsidRPr="00511E8F">
        <w:tab/>
        <w:t>wzywa Komisję do udostępnienia specjalnych środków finansowych, w ramach Europejskiego Funduszu Morskiego, Rybackiego i Akwakultury oraz innych programów budżetowych, w celu wspierania badań nad gatunkami inwazyjnymi, zapobiegania im i ich eliminacji lub, jeżeli eliminacja nie jest możliwa, zarządzania ich rozprzestrzenianiem się i usuwania jego skutków, we współpracy z rybakami, władzami lokalnymi i organizacjami naukowymi; ponownie wyraża przekonanie, że takie finansowanie powinno zostać udostępnione w kolejnych wieloletnich ramach finansowych;</w:t>
      </w:r>
    </w:p>
    <w:p w14:paraId="258CBDFC" w14:textId="77777777" w:rsidR="005A092A" w:rsidRPr="00511E8F" w:rsidRDefault="005A092A" w:rsidP="005A092A">
      <w:pPr>
        <w:pStyle w:val="NormalHanging12a"/>
      </w:pPr>
      <w:r w:rsidRPr="00511E8F">
        <w:t>35.</w:t>
      </w:r>
      <w:r w:rsidRPr="00511E8F">
        <w:tab/>
        <w:t>podkreśla znaczenie systemu powiadamiania EASIN, w szczególności dla terminowego i pełnego zgłaszania nowych przypadków wykrycia tych gatunków, środków ich zwalczania i kontroli urzędowych służących ich wykrywaniu; wzywa państwa członkowskie do usprawnienia systemu przez dostarczanie dodatkowych informacji, w szczególności danych dotyczących dystrybucji, zwłaszcza dzięki informacjom od rybaków, producentów sektora akwakultury i wszystkich innych zainteresowanych stron;</w:t>
      </w:r>
    </w:p>
    <w:p w14:paraId="23613741" w14:textId="77777777" w:rsidR="005A092A" w:rsidRPr="00511E8F" w:rsidRDefault="005A092A" w:rsidP="005A092A">
      <w:pPr>
        <w:pStyle w:val="NormalHanging12a"/>
        <w:spacing w:after="120"/>
      </w:pPr>
      <w:r w:rsidRPr="00511E8F">
        <w:t>36.</w:t>
      </w:r>
      <w:r w:rsidRPr="00511E8F">
        <w:tab/>
        <w:t xml:space="preserve">przypomina o międzynarodowym wymiarze problemu inwazyjnych gatunków obcych i sugeruje, aby UE zintensyfikowała swoje działania w tym zakresie, wykorzystując wszystkie dostępne fora międzynarodowe, a w szczególności regionalne organizacje ds. zarządzania rybołówstwem, Konwencję o różnorodności biologicznej oraz globalne ramy różnorodności biologicznej z Kunmingu/Montrealu; wzywa UE do zacieśnienia </w:t>
      </w:r>
      <w:r w:rsidRPr="00511E8F">
        <w:lastRenderedPageBreak/>
        <w:t>współpracy na rzecz wymiany wiedzy i wzajemnego uczenia się z innymi organizacjami międzynarodowymi i państwami spoza UE;</w:t>
      </w:r>
    </w:p>
    <w:p w14:paraId="63916FC2" w14:textId="77777777" w:rsidR="005A092A" w:rsidRPr="00511E8F" w:rsidRDefault="005A092A" w:rsidP="005A092A">
      <w:pPr>
        <w:pStyle w:val="Normal12a24b"/>
        <w:ind w:left="567" w:hanging="567"/>
      </w:pPr>
      <w:r w:rsidRPr="00511E8F">
        <w:t>37.</w:t>
      </w:r>
      <w:r w:rsidRPr="00511E8F">
        <w:tab/>
        <w:t>podkreśla potencjał współpracy z państwami spoza UE dzielącymi ten sam basen morski, w tym w ramach RFMO, w celu wymiany najlepszych praktyk, skutecznego wykorzystania inwestycji i ustanowienia wspólnych celów dotyczących przeciwdziałania wpływowi inwazyjnych gatunków obcych;</w:t>
      </w:r>
    </w:p>
    <w:p w14:paraId="5D7959B0" w14:textId="77777777" w:rsidR="005A092A" w:rsidRPr="00511E8F" w:rsidRDefault="005A092A" w:rsidP="005A092A">
      <w:pPr>
        <w:pStyle w:val="Normal12a24b"/>
        <w:spacing w:after="360"/>
      </w:pPr>
      <w:r w:rsidRPr="00511E8F">
        <w:rPr>
          <w:rStyle w:val="BoldItalic"/>
        </w:rPr>
        <w:t>Szanse i wyzwania dla społeczności nadbrzeżnych</w:t>
      </w:r>
    </w:p>
    <w:p w14:paraId="1372AA94" w14:textId="77777777" w:rsidR="005A092A" w:rsidRPr="00511E8F" w:rsidRDefault="005A092A" w:rsidP="005A092A">
      <w:pPr>
        <w:pStyle w:val="NormalHanging12a"/>
      </w:pPr>
      <w:r w:rsidRPr="00511E8F">
        <w:t>38.</w:t>
      </w:r>
      <w:r w:rsidRPr="00511E8F">
        <w:tab/>
        <w:t>podkreśla, że inwazyjne gatunki obce mają znaczący negatywny wpływ na różnorodność biologiczną mórz i ekosystemy morskie, na działalność w ramach niebieskiej gospodarki, w tym rybołówstwo i akwakulturę, oraz na inną działalność gospodarczą niezwiązaną z morzem, a także na społeczności nadbrzeżne i całe społeczeństwo; uważa, że kluczowe jest uwzględnienie szerszych skutków społecznych, gospodarczych i kulturowych występowania inwazyjnych gatunków obcych, wykraczających poza utratę różnorodności biologicznej i wpływ na ekosystemy, aby skutecznie zapobiegać nowym inwazjom i wdrożyć skuteczne środki łagodzące;</w:t>
      </w:r>
    </w:p>
    <w:p w14:paraId="3106A9FC" w14:textId="77777777" w:rsidR="005A092A" w:rsidRPr="00511E8F" w:rsidRDefault="005A092A" w:rsidP="005A092A">
      <w:pPr>
        <w:pStyle w:val="NormalHanging12a"/>
      </w:pPr>
      <w:r w:rsidRPr="00511E8F">
        <w:t>39.</w:t>
      </w:r>
      <w:r w:rsidRPr="00511E8F">
        <w:tab/>
        <w:t>wzywa Komisję do opracowania specjalnego wskaźnika dotyczącego gatunków wrażliwych i inwazyjnych w morzach UE, z uwzględnieniem wykazów takich jak czerwona księga IUCN, które mają zostać włączone do publikacji Eurostatu związanych z celami zrównoważonego rozwoju, aby lepiej monitorować rozprzestrzenianie się oraz działania na rzecz ochrony i inne działania w zakresie zarządzania;</w:t>
      </w:r>
    </w:p>
    <w:p w14:paraId="67B4078E" w14:textId="77777777" w:rsidR="005A092A" w:rsidRPr="00511E8F" w:rsidRDefault="005A092A" w:rsidP="005A092A">
      <w:pPr>
        <w:pStyle w:val="NormalHanging12a"/>
      </w:pPr>
      <w:r w:rsidRPr="00511E8F">
        <w:t>40.</w:t>
      </w:r>
      <w:r w:rsidRPr="00511E8F">
        <w:tab/>
        <w:t>wzywa Komisję do włączenia do przyszłych projektów europejskich programów badań i innowacji finansowania badań nad inwazyjnymi gatunkami obcymi i przyjaznymi dla środowiska rozwiązaniami w zakresie zrównoważonego zarządzania nimi i ich kontroli;</w:t>
      </w:r>
    </w:p>
    <w:p w14:paraId="0092B8B8" w14:textId="77777777" w:rsidR="005A092A" w:rsidRPr="00511E8F" w:rsidRDefault="005A092A" w:rsidP="005A092A">
      <w:pPr>
        <w:pStyle w:val="NormalHanging12a"/>
      </w:pPr>
      <w:r w:rsidRPr="00511E8F">
        <w:t>41.</w:t>
      </w:r>
      <w:r w:rsidRPr="00511E8F">
        <w:tab/>
        <w:t>podkreśla, że za pomocą systemów rekompensat i funduszy dostosowawczych, zgodnie z obowiązującymi przepisami finansowymi, należy wspierać podmioty z sektora rybołówstwa i akwakultury odczuwające skutki tego zjawiska, zwłaszcza na obszarach, które ponoszą bezpośrednie straty gospodarcze z powodu gatunków inwazyjnych; zwraca uwagę, że należy zapewnić ukierunkowane zachęty finansowe i regulacyjne, aby stymulować dostosowane działania związane z połowem i usuwaniem gatunków inwazyjnych podejmowane przez lokalnych rybaków na wodach przybrzeżnych i śródlądowych drogach wodnych, jako sposób na zmniejszenie ekologicznego oddziaływania przy jednoczesnym wspieraniu lokalnych źródeł utrzymania; podkreśla możliwą rolę, jaką systemy ubezpieczeń mogą odegrać w rozwiązaniu tego problemu, w szczególności konsekwencji dla hodowców skorupiaków, producentów sektora akwakultury i rybaków;</w:t>
      </w:r>
    </w:p>
    <w:p w14:paraId="17C50E10" w14:textId="77777777" w:rsidR="005A092A" w:rsidRPr="00511E8F" w:rsidRDefault="005A092A" w:rsidP="005A092A">
      <w:pPr>
        <w:pStyle w:val="NormalHanging12a"/>
      </w:pPr>
      <w:r w:rsidRPr="00511E8F">
        <w:t>42.</w:t>
      </w:r>
      <w:r w:rsidRPr="00511E8F">
        <w:tab/>
        <w:t>wzywa państwa członkowskie i Komisję do opracowania kampanii uświadamiających w celu informowania rybaków, hodowców ryb i skorupiaków, zainteresowanych stron z sektora rybołówstwa, w tym wędkarzy, oraz ogółu społeczeństwa o wprowadzaniu, wykrywaniu i wpływie inwazyjnych gatunków obcych, ich skutkach środowiskowych i gospodarczych oraz sposobach minimalizowania zagrożeń związanych z wprowadzaniem i rozprzestrzenianiem się tych gatunków, a także w celu angażowania wspomnianych podmiotów w te kwestie;</w:t>
      </w:r>
    </w:p>
    <w:p w14:paraId="7DB93D86" w14:textId="77777777" w:rsidR="005A092A" w:rsidRPr="00511E8F" w:rsidRDefault="005A092A" w:rsidP="005A092A">
      <w:pPr>
        <w:pStyle w:val="NormalHanging12a"/>
      </w:pPr>
      <w:r w:rsidRPr="00511E8F">
        <w:lastRenderedPageBreak/>
        <w:t>43.</w:t>
      </w:r>
      <w:r w:rsidRPr="00511E8F">
        <w:tab/>
        <w:t>zaleca, w miarę możliwości, opracowanie programów ukierunkowanych na gatunki inwazyjne w celu zwiększenia kontroli populacji i zapewnienia rybakom możliwości uzyskania rekompensaty;</w:t>
      </w:r>
    </w:p>
    <w:p w14:paraId="467A2E7C" w14:textId="77777777" w:rsidR="005A092A" w:rsidRPr="00511E8F" w:rsidRDefault="005A092A" w:rsidP="005A092A">
      <w:pPr>
        <w:pStyle w:val="NormalHanging12a"/>
      </w:pPr>
      <w:r w:rsidRPr="00511E8F">
        <w:t>44.</w:t>
      </w:r>
      <w:r w:rsidRPr="00511E8F">
        <w:tab/>
        <w:t xml:space="preserve">uważa, że zarządzanie inwazyjnymi gatunkami obcymi może zapewnić możliwości dodatkowego tymczasowego dochodu poprzez innowacje stosowane w celu wytworzenia produktów o wartości dodanej, takich jak nawozy biologiczne i podłoża pod uprawę, co sprzyja kontroli tych gatunków </w:t>
      </w:r>
      <w:proofErr w:type="gramStart"/>
      <w:r w:rsidRPr="00511E8F">
        <w:t>oraz,</w:t>
      </w:r>
      <w:proofErr w:type="gramEnd"/>
      <w:r w:rsidRPr="00511E8F">
        <w:t xml:space="preserve"> w miarę możliwości, ich zwalczaniu; wzywa Komisję do finansowania programów współpracy naukowej i transferu technologii w tej dziedzinie;</w:t>
      </w:r>
    </w:p>
    <w:p w14:paraId="58562363" w14:textId="77777777" w:rsidR="005A092A" w:rsidRPr="00511E8F" w:rsidRDefault="005A092A" w:rsidP="005A092A">
      <w:pPr>
        <w:pStyle w:val="NormalHanging12a"/>
      </w:pPr>
      <w:r w:rsidRPr="00511E8F">
        <w:t>45.</w:t>
      </w:r>
      <w:r w:rsidRPr="00511E8F">
        <w:tab/>
        <w:t xml:space="preserve">podkreśla, że w </w:t>
      </w:r>
      <w:proofErr w:type="gramStart"/>
      <w:r w:rsidRPr="00511E8F">
        <w:t>przypadku</w:t>
      </w:r>
      <w:proofErr w:type="gramEnd"/>
      <w:r w:rsidRPr="00511E8F">
        <w:t xml:space="preserve"> gdy eliminacja gatunków inwazyjnych nie jest możliwa, ich wykorzystanie do spożycia przez ludzi może zapewnić rybakom dodatkowy tymczasowy dochód i przyczynić się do pozyskania zasobów przynoszących korzyści lokalnym gospodarkom w UE;</w:t>
      </w:r>
    </w:p>
    <w:p w14:paraId="7B986CB8" w14:textId="77777777" w:rsidR="005A092A" w:rsidRPr="00511E8F" w:rsidRDefault="005A092A" w:rsidP="005A092A">
      <w:pPr>
        <w:pStyle w:val="NormalHanging12a"/>
      </w:pPr>
      <w:r w:rsidRPr="00511E8F">
        <w:t>46.</w:t>
      </w:r>
      <w:r w:rsidRPr="00511E8F">
        <w:tab/>
        <w:t>z zadowoleniem przyjmuje tymczasowe gospodarcze wykorzystanie niektórych inwazyjnych gatunków obcych, takich jak algi, do celów spożywczych i niespożywczych; zwraca uwagę, że takie cele, oprócz żywności przeznaczonej do spożycia przez ludzi, mogłyby obejmować pasze dla zwierząt i ryb, produkty farmaceutyczne, opakowania, kosmetyki lub biopaliwa;</w:t>
      </w:r>
    </w:p>
    <w:p w14:paraId="218FD44B" w14:textId="77777777" w:rsidR="005A092A" w:rsidRPr="00511E8F" w:rsidRDefault="005A092A" w:rsidP="005A092A">
      <w:pPr>
        <w:pStyle w:val="NormalHanging12a"/>
      </w:pPr>
      <w:r w:rsidRPr="00511E8F">
        <w:t>47.</w:t>
      </w:r>
      <w:r w:rsidRPr="00511E8F">
        <w:tab/>
        <w:t xml:space="preserve">przypomina, że ostatecznym celem jest zawsze wyeliminowanie inwazyjnych gatunków obcych; podkreśla w związku z tym, że zależność ekonomiczna od wykorzystywania inwazyjnych gatunków obcych powinna zawsze mieć charakter tymczasowy lub wtórny i nie może zachęcać do rozpowszechniania lub wprowadzania do obrotu tych gatunków; </w:t>
      </w:r>
    </w:p>
    <w:p w14:paraId="25D0080E" w14:textId="77777777" w:rsidR="005A092A" w:rsidRPr="00511E8F" w:rsidRDefault="005A092A" w:rsidP="005A092A">
      <w:pPr>
        <w:pStyle w:val="NormalHanging12a"/>
      </w:pPr>
      <w:r w:rsidRPr="00511E8F">
        <w:t>48.</w:t>
      </w:r>
      <w:r w:rsidRPr="00511E8F">
        <w:tab/>
        <w:t>apeluje o zwiększone i ukierunkowane wsparcie finansowe w celu poprawy skutecznego zarządzania przybrzeżnymi źródłami utrzymania i ekosystemami morskimi oraz ich ochrony, a także ochrony wrażliwych gatunków, jak również o systemy informowania, monitorowania i wczesnego ostrzegania w odniesieniu do inwazyjnych gatunków obcych na szczeblu regionalnym, krajowym i unijnym, z uwagi na pozytywny wpływ takiego wsparcia na rybołówstwo, różnorodność biologiczną i ekosystemy;</w:t>
      </w:r>
    </w:p>
    <w:p w14:paraId="38D1CD83" w14:textId="77777777" w:rsidR="005A092A" w:rsidRPr="00511E8F" w:rsidRDefault="005A092A" w:rsidP="005A092A">
      <w:pPr>
        <w:pStyle w:val="NormalHanging12a"/>
      </w:pPr>
      <w:r w:rsidRPr="00511E8F">
        <w:t>49.</w:t>
      </w:r>
      <w:r w:rsidRPr="00511E8F">
        <w:tab/>
        <w:t>domaga się, aby w przyszłych wieloletnich ramach finansowych przewidzieć finansowanie przeznaczone na zwiększenie konkurencyjności floty rybackiej w obliczu wyzwań takich jak rosnące koszty, utrata łowisk i wpływ gatunków inwazyjnych; uważa, że priorytetem jest poprawa dostępu rybaków do zasobów finansowych, co umożliwi im modernizację statków, cyfryzację działalności i dywersyfikację źródeł dochodów;</w:t>
      </w:r>
    </w:p>
    <w:p w14:paraId="63C5FEEB" w14:textId="77777777" w:rsidR="005A092A" w:rsidRPr="00511E8F" w:rsidRDefault="005A092A" w:rsidP="005A092A">
      <w:pPr>
        <w:pStyle w:val="NormalHanging12a"/>
      </w:pPr>
      <w:r w:rsidRPr="00511E8F">
        <w:t>50.</w:t>
      </w:r>
      <w:r w:rsidRPr="00511E8F">
        <w:tab/>
        <w:t xml:space="preserve">przypomina Komisji, że regiony najbardziej oddalone, wyspy i obszary przybrzeżne stanowią ważne bezpieczne przystanie dla wrażliwych gatunków morskich, a jednocześnie są wysoce narażone na inwazyjne gatunki obce; apeluje o uznanie znaczenia ochrony tych wrażliwych gatunków i zwalczania inwazyjnych gatunków obcych w tych regionach, zwłaszcza poprzez stworzenie programu opcji dla lokalnego rybołówstwa, które byłyby specyficzne dla obszarów oddalonych i wyspiarskich; podkreśla potencjał zrównoważonej ekoturystyki jako środka zapewniającego możliwości dywersyfikacji, przy jednoczesnym zachowaniu wyjątkowej różnorodności </w:t>
      </w:r>
      <w:r w:rsidRPr="00511E8F">
        <w:lastRenderedPageBreak/>
        <w:t>biologicznej tych regionów i zapewnieniu bezpośrednich korzyści sektorom rybołówstwa i akwakultury;</w:t>
      </w:r>
    </w:p>
    <w:p w14:paraId="3DD15F87" w14:textId="77777777" w:rsidR="005A092A" w:rsidRPr="00511E8F" w:rsidRDefault="005A092A" w:rsidP="005A092A">
      <w:pPr>
        <w:pStyle w:val="NormalCenter12a"/>
      </w:pPr>
      <w:r w:rsidRPr="00511E8F">
        <w:t>°</w:t>
      </w:r>
    </w:p>
    <w:p w14:paraId="244A95F0" w14:textId="77777777" w:rsidR="005A092A" w:rsidRPr="00511E8F" w:rsidRDefault="005A092A" w:rsidP="005A092A">
      <w:pPr>
        <w:pStyle w:val="NormalCenter12a"/>
      </w:pPr>
      <w:r w:rsidRPr="00511E8F">
        <w:t>°</w:t>
      </w:r>
      <w:r w:rsidRPr="00511E8F">
        <w:tab/>
        <w:t>°</w:t>
      </w:r>
    </w:p>
    <w:p w14:paraId="5C66CE22" w14:textId="4AEA4487" w:rsidR="00267A62" w:rsidRPr="00511E8F" w:rsidRDefault="005A092A" w:rsidP="00267A62">
      <w:pPr>
        <w:pStyle w:val="NormalHanging12a"/>
      </w:pPr>
      <w:r w:rsidRPr="00511E8F">
        <w:t>51.</w:t>
      </w:r>
      <w:r w:rsidRPr="00511E8F">
        <w:tab/>
        <w:t>zobowiązuje swoją przewodniczącą do przekazania niniejszej rezolucji Radzie i Komisji.</w:t>
      </w:r>
    </w:p>
    <w:p w14:paraId="09B48FC1" w14:textId="3DCE3F76" w:rsidR="00E365E1" w:rsidRPr="00511E8F" w:rsidRDefault="00E365E1" w:rsidP="008C45E0"/>
    <w:sectPr w:rsidR="00E365E1" w:rsidRPr="00511E8F" w:rsidSect="00267A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62226" w14:textId="77777777" w:rsidR="008C45E0" w:rsidRPr="00267A62" w:rsidRDefault="008C45E0">
      <w:r w:rsidRPr="00267A62">
        <w:separator/>
      </w:r>
    </w:p>
  </w:endnote>
  <w:endnote w:type="continuationSeparator" w:id="0">
    <w:p w14:paraId="1998B228" w14:textId="77777777" w:rsidR="008C45E0" w:rsidRPr="00267A62" w:rsidRDefault="008C45E0">
      <w:r w:rsidRPr="00267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F48C6" w14:textId="77777777" w:rsidR="00064002" w:rsidRPr="00267A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2C180" w14:textId="77777777" w:rsidR="00064002" w:rsidRPr="00267A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5F3E2" w14:textId="77777777" w:rsidR="00064002" w:rsidRPr="00267A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55E8A" w14:textId="77777777" w:rsidR="008C45E0" w:rsidRPr="00267A62" w:rsidRDefault="008C45E0">
      <w:r w:rsidRPr="00267A62">
        <w:separator/>
      </w:r>
    </w:p>
  </w:footnote>
  <w:footnote w:type="continuationSeparator" w:id="0">
    <w:p w14:paraId="4EDC6A00" w14:textId="77777777" w:rsidR="008C45E0" w:rsidRPr="00267A62" w:rsidRDefault="008C45E0">
      <w:r w:rsidRPr="00267A62">
        <w:continuationSeparator/>
      </w:r>
    </w:p>
  </w:footnote>
  <w:footnote w:id="1">
    <w:p w14:paraId="43D09DBE" w14:textId="63E2791D" w:rsidR="005A092A" w:rsidRPr="00267A62" w:rsidRDefault="005A092A" w:rsidP="00267A62">
      <w:pPr>
        <w:pStyle w:val="FootnoteText"/>
        <w:ind w:left="567" w:hanging="567"/>
        <w:rPr>
          <w:sz w:val="24"/>
          <w:lang w:val="pl-PL"/>
        </w:rPr>
      </w:pPr>
      <w:r w:rsidRPr="00267A62">
        <w:rPr>
          <w:rStyle w:val="FootnoteReference"/>
          <w:sz w:val="24"/>
          <w:lang w:val="pl-PL"/>
        </w:rPr>
        <w:footnoteRef/>
      </w:r>
      <w:r w:rsidR="00267A62" w:rsidRPr="00267A62">
        <w:rPr>
          <w:sz w:val="24"/>
          <w:lang w:val="pl-PL"/>
        </w:rPr>
        <w:t xml:space="preserve"> </w:t>
      </w:r>
      <w:r w:rsidR="00267A62" w:rsidRPr="00267A62">
        <w:rPr>
          <w:sz w:val="24"/>
          <w:lang w:val="pl-PL"/>
        </w:rPr>
        <w:tab/>
      </w:r>
      <w:r w:rsidRPr="00267A62">
        <w:rPr>
          <w:sz w:val="24"/>
          <w:lang w:val="pl-PL"/>
        </w:rPr>
        <w:t xml:space="preserve">Dz.U. L 354 z 28.12.2013, s. 22, ELI: </w:t>
      </w:r>
      <w:hyperlink r:id="rId1" w:history="1">
        <w:r w:rsidRPr="00267A62">
          <w:rPr>
            <w:rStyle w:val="Hyperlink"/>
            <w:sz w:val="24"/>
            <w:lang w:val="pl-PL"/>
          </w:rPr>
          <w:t>http://data.europa.eu/eli/reg/2013/1380/oj</w:t>
        </w:r>
      </w:hyperlink>
      <w:r w:rsidRPr="00267A62">
        <w:rPr>
          <w:sz w:val="24"/>
          <w:lang w:val="pl-PL"/>
        </w:rPr>
        <w:t>.</w:t>
      </w:r>
    </w:p>
  </w:footnote>
  <w:footnote w:id="2">
    <w:p w14:paraId="35405CC3" w14:textId="67A12061" w:rsidR="005A092A" w:rsidRPr="00267A62" w:rsidRDefault="005A092A" w:rsidP="00267A62">
      <w:pPr>
        <w:pStyle w:val="FootnoteText"/>
        <w:ind w:left="567" w:hanging="567"/>
        <w:rPr>
          <w:sz w:val="24"/>
          <w:lang w:val="pl-PL"/>
        </w:rPr>
      </w:pPr>
      <w:r w:rsidRPr="00267A62">
        <w:rPr>
          <w:rStyle w:val="FootnoteReference"/>
          <w:sz w:val="24"/>
          <w:lang w:val="pl-PL"/>
        </w:rPr>
        <w:footnoteRef/>
      </w:r>
      <w:r w:rsidR="00267A62" w:rsidRPr="00267A62">
        <w:rPr>
          <w:sz w:val="24"/>
          <w:lang w:val="pl-PL"/>
        </w:rPr>
        <w:t xml:space="preserve"> </w:t>
      </w:r>
      <w:r w:rsidR="00267A62" w:rsidRPr="00267A62">
        <w:rPr>
          <w:sz w:val="24"/>
          <w:lang w:val="pl-PL"/>
        </w:rPr>
        <w:tab/>
      </w:r>
      <w:r w:rsidRPr="00267A62">
        <w:rPr>
          <w:sz w:val="24"/>
          <w:lang w:val="pl-PL"/>
        </w:rPr>
        <w:t xml:space="preserve">Dz.U. L 317 z 4.11.2014, s. 35, ELI: </w:t>
      </w:r>
      <w:hyperlink r:id="rId2" w:history="1">
        <w:r w:rsidRPr="00267A62">
          <w:rPr>
            <w:rStyle w:val="Hyperlink"/>
            <w:sz w:val="24"/>
            <w:lang w:val="pl-PL"/>
          </w:rPr>
          <w:t>http://data.europa.eu/eli/reg/2014/1143/oj</w:t>
        </w:r>
      </w:hyperlink>
      <w:r w:rsidRPr="00267A62">
        <w:rPr>
          <w:sz w:val="24"/>
          <w:lang w:val="pl-PL"/>
        </w:rPr>
        <w:t>.</w:t>
      </w:r>
    </w:p>
  </w:footnote>
  <w:footnote w:id="3">
    <w:p w14:paraId="01337D69" w14:textId="37699858" w:rsidR="005A092A" w:rsidRPr="00267A62" w:rsidRDefault="005A092A" w:rsidP="00267A62">
      <w:pPr>
        <w:pStyle w:val="FootnoteText"/>
        <w:ind w:left="567" w:hanging="567"/>
        <w:rPr>
          <w:sz w:val="24"/>
          <w:lang w:val="pl-PL"/>
        </w:rPr>
      </w:pPr>
      <w:bookmarkStart w:id="7" w:name="_Hlk220422172"/>
      <w:r w:rsidRPr="00267A62">
        <w:rPr>
          <w:rStyle w:val="FootnoteReference"/>
          <w:sz w:val="24"/>
          <w:lang w:val="pl-PL"/>
        </w:rPr>
        <w:footnoteRef/>
      </w:r>
      <w:r w:rsidR="00267A62" w:rsidRPr="00267A62">
        <w:rPr>
          <w:sz w:val="24"/>
          <w:lang w:val="pl-PL"/>
        </w:rPr>
        <w:t xml:space="preserve"> </w:t>
      </w:r>
      <w:r w:rsidR="00267A62" w:rsidRPr="00267A62">
        <w:rPr>
          <w:sz w:val="24"/>
          <w:lang w:val="pl-PL"/>
        </w:rPr>
        <w:tab/>
      </w:r>
      <w:r w:rsidRPr="00267A62">
        <w:rPr>
          <w:sz w:val="24"/>
          <w:lang w:val="pl-PL"/>
        </w:rPr>
        <w:t xml:space="preserve">Dz.U. L 286 z 31.10.2009, s. 36, ELI: </w:t>
      </w:r>
      <w:hyperlink r:id="rId3" w:tooltip="Dostęp do dokumentu poprzez identyfikator URI w systemie ELI." w:history="1">
        <w:r w:rsidRPr="00267A62">
          <w:rPr>
            <w:rStyle w:val="Hyperlink"/>
            <w:sz w:val="24"/>
            <w:lang w:val="pl-PL"/>
          </w:rPr>
          <w:t>http://data.europa.eu/eli/reg/2009/1007/oj</w:t>
        </w:r>
      </w:hyperlink>
      <w:bookmarkEnd w:id="7"/>
      <w:r w:rsidRPr="00267A62">
        <w:rPr>
          <w:sz w:val="24"/>
          <w:lang w:val="pl-PL"/>
        </w:rPr>
        <w:t>.</w:t>
      </w:r>
    </w:p>
  </w:footnote>
  <w:footnote w:id="4">
    <w:p w14:paraId="2F5ECD15" w14:textId="31A9E1C4" w:rsidR="005A092A" w:rsidRPr="00267A62" w:rsidRDefault="005A092A" w:rsidP="00267A62">
      <w:pPr>
        <w:pStyle w:val="FootnoteText"/>
        <w:ind w:left="567" w:hanging="567"/>
        <w:rPr>
          <w:sz w:val="24"/>
          <w:lang w:val="pl-PL"/>
        </w:rPr>
      </w:pPr>
      <w:r w:rsidRPr="00267A62">
        <w:rPr>
          <w:rStyle w:val="FootnoteReference"/>
          <w:sz w:val="24"/>
          <w:lang w:val="pl-PL"/>
        </w:rPr>
        <w:footnoteRef/>
      </w:r>
      <w:r w:rsidR="00267A62" w:rsidRPr="00267A62">
        <w:rPr>
          <w:sz w:val="24"/>
          <w:lang w:val="pl-PL"/>
        </w:rPr>
        <w:t xml:space="preserve"> </w:t>
      </w:r>
      <w:r w:rsidR="00267A62" w:rsidRPr="00267A62">
        <w:rPr>
          <w:sz w:val="24"/>
          <w:lang w:val="pl-PL"/>
        </w:rPr>
        <w:tab/>
      </w:r>
      <w:r w:rsidRPr="00267A62">
        <w:rPr>
          <w:sz w:val="24"/>
          <w:lang w:val="pl-PL"/>
        </w:rPr>
        <w:t xml:space="preserve">Dz.U. L 343 z 22.12.2009, s. 1, ELI: </w:t>
      </w:r>
      <w:hyperlink r:id="rId4" w:history="1">
        <w:r w:rsidRPr="00267A62">
          <w:rPr>
            <w:rStyle w:val="Hyperlink"/>
            <w:sz w:val="24"/>
            <w:lang w:val="pl-PL"/>
          </w:rPr>
          <w:t>http://data.europa.eu/eli/reg/2009/1224/oj</w:t>
        </w:r>
      </w:hyperlink>
      <w:r w:rsidRPr="00267A62">
        <w:rPr>
          <w:sz w:val="24"/>
          <w:lang w:val="pl-PL"/>
        </w:rPr>
        <w:t>.</w:t>
      </w:r>
    </w:p>
  </w:footnote>
  <w:footnote w:id="5">
    <w:p w14:paraId="62EE7159" w14:textId="060F1909" w:rsidR="005A092A" w:rsidRPr="00267A62" w:rsidRDefault="005A092A" w:rsidP="00267A62">
      <w:pPr>
        <w:pStyle w:val="FootnoteText"/>
        <w:ind w:left="567" w:hanging="567"/>
        <w:rPr>
          <w:sz w:val="24"/>
          <w:lang w:val="pl-PL"/>
        </w:rPr>
      </w:pPr>
      <w:r w:rsidRPr="00267A62">
        <w:rPr>
          <w:rStyle w:val="FootnoteReference"/>
          <w:sz w:val="24"/>
          <w:lang w:val="pl-PL"/>
        </w:rPr>
        <w:footnoteRef/>
      </w:r>
      <w:r w:rsidR="00267A62" w:rsidRPr="00267A62">
        <w:rPr>
          <w:sz w:val="24"/>
          <w:lang w:val="pl-PL"/>
        </w:rPr>
        <w:t xml:space="preserve"> </w:t>
      </w:r>
      <w:r w:rsidR="00267A62" w:rsidRPr="00267A62">
        <w:rPr>
          <w:sz w:val="24"/>
          <w:lang w:val="pl-PL"/>
        </w:rPr>
        <w:tab/>
      </w:r>
      <w:r w:rsidRPr="00267A62">
        <w:rPr>
          <w:sz w:val="24"/>
          <w:lang w:val="pl-PL"/>
        </w:rPr>
        <w:t>Dz.U. L 198 z 25.7.2019, s. 105, ELI: </w:t>
      </w:r>
      <w:hyperlink r:id="rId5" w:tooltip="Dostęp do dokumentu poprzez identyfikator URI w systemie ELI." w:history="1">
        <w:r w:rsidRPr="00267A62">
          <w:rPr>
            <w:rStyle w:val="Hyperlink"/>
            <w:sz w:val="24"/>
            <w:lang w:val="pl-PL"/>
          </w:rPr>
          <w:t>http://data.europa.eu/eli/reg/2019/1241/oj</w:t>
        </w:r>
      </w:hyperlink>
      <w:r w:rsidRPr="00267A62">
        <w:rPr>
          <w:sz w:val="24"/>
          <w:lang w:val="pl-PL"/>
        </w:rPr>
        <w:t>.</w:t>
      </w:r>
    </w:p>
  </w:footnote>
  <w:footnote w:id="6">
    <w:p w14:paraId="707F5D0D" w14:textId="12197C8C" w:rsidR="005A092A" w:rsidRPr="007246C5" w:rsidRDefault="005A092A" w:rsidP="00267A62">
      <w:pPr>
        <w:pStyle w:val="FootnoteText"/>
        <w:ind w:left="567" w:hanging="567"/>
        <w:rPr>
          <w:sz w:val="24"/>
          <w:lang w:val="fi-FI"/>
        </w:rPr>
      </w:pPr>
      <w:r w:rsidRPr="00267A62">
        <w:rPr>
          <w:rStyle w:val="FootnoteReference"/>
          <w:sz w:val="24"/>
          <w:lang w:val="pl-PL"/>
        </w:rPr>
        <w:footnoteRef/>
      </w:r>
      <w:r w:rsidR="00267A62" w:rsidRPr="007246C5">
        <w:rPr>
          <w:sz w:val="24"/>
          <w:lang w:val="fi-FI"/>
        </w:rPr>
        <w:t xml:space="preserve"> </w:t>
      </w:r>
      <w:r w:rsidR="00267A62" w:rsidRPr="007246C5">
        <w:rPr>
          <w:sz w:val="24"/>
          <w:lang w:val="fi-FI"/>
        </w:rPr>
        <w:tab/>
      </w:r>
      <w:proofErr w:type="spellStart"/>
      <w:r w:rsidRPr="007246C5">
        <w:rPr>
          <w:sz w:val="24"/>
          <w:lang w:val="fi-FI"/>
        </w:rPr>
        <w:t>Dz.U</w:t>
      </w:r>
      <w:proofErr w:type="spellEnd"/>
      <w:r w:rsidRPr="007246C5">
        <w:rPr>
          <w:sz w:val="24"/>
          <w:lang w:val="fi-FI"/>
        </w:rPr>
        <w:t xml:space="preserve">. L, 2023/2842, 20.12.2023, ELI: </w:t>
      </w:r>
      <w:hyperlink r:id="rId6" w:history="1">
        <w:r w:rsidRPr="007246C5">
          <w:rPr>
            <w:rStyle w:val="Hyperlink"/>
            <w:sz w:val="24"/>
            <w:lang w:val="fi-FI"/>
          </w:rPr>
          <w:t>http://data.europa.eu/eli/reg/2023/2842/oj</w:t>
        </w:r>
      </w:hyperlink>
      <w:r w:rsidRPr="007246C5">
        <w:rPr>
          <w:sz w:val="24"/>
          <w:lang w:val="fi-FI"/>
        </w:rPr>
        <w:t>.</w:t>
      </w:r>
      <w:r w:rsidRPr="007246C5">
        <w:rPr>
          <w:rStyle w:val="Hyperlink"/>
          <w:sz w:val="24"/>
          <w:lang w:val="fi-FI"/>
        </w:rPr>
        <w:t xml:space="preserve"> </w:t>
      </w:r>
    </w:p>
  </w:footnote>
  <w:footnote w:id="7">
    <w:p w14:paraId="6121ABAA" w14:textId="00D505A0" w:rsidR="005A092A" w:rsidRPr="00267A62" w:rsidRDefault="005A092A" w:rsidP="00267A62">
      <w:pPr>
        <w:pStyle w:val="FootnoteText"/>
        <w:ind w:left="567" w:hanging="567"/>
        <w:rPr>
          <w:sz w:val="24"/>
          <w:lang w:val="pl-PL"/>
        </w:rPr>
      </w:pPr>
      <w:r w:rsidRPr="00267A62">
        <w:rPr>
          <w:rStyle w:val="FootnoteReference"/>
          <w:sz w:val="24"/>
          <w:lang w:val="pl-PL"/>
        </w:rPr>
        <w:footnoteRef/>
      </w:r>
      <w:bookmarkStart w:id="8" w:name="_Hlk220422577"/>
      <w:r w:rsidR="00267A62" w:rsidRPr="00267A62">
        <w:rPr>
          <w:sz w:val="24"/>
          <w:lang w:val="pl-PL"/>
        </w:rPr>
        <w:t xml:space="preserve"> </w:t>
      </w:r>
      <w:r w:rsidR="00267A62" w:rsidRPr="00267A62">
        <w:rPr>
          <w:sz w:val="24"/>
          <w:lang w:val="pl-PL"/>
        </w:rPr>
        <w:tab/>
      </w:r>
      <w:r w:rsidRPr="00267A62">
        <w:rPr>
          <w:sz w:val="24"/>
          <w:lang w:val="pl-PL"/>
        </w:rPr>
        <w:t>Dz.U. L, 2024/1991, 29.7.2024, ELI: </w:t>
      </w:r>
      <w:hyperlink r:id="rId7" w:tgtFrame="_blank" w:tooltip="Dostęp do dokumentu poprzez identyfikator URI w systemie ELI." w:history="1">
        <w:r w:rsidRPr="00267A62">
          <w:rPr>
            <w:rStyle w:val="Hyperlink"/>
            <w:sz w:val="24"/>
            <w:lang w:val="pl-PL"/>
          </w:rPr>
          <w:t>http://data.europa.eu/eli/reg/2024/1991/oj</w:t>
        </w:r>
      </w:hyperlink>
      <w:bookmarkEnd w:id="8"/>
      <w:r w:rsidRPr="00267A62">
        <w:rPr>
          <w:i/>
          <w:sz w:val="24"/>
          <w:lang w:val="pl-PL"/>
        </w:rPr>
        <w:t>.</w:t>
      </w:r>
    </w:p>
  </w:footnote>
  <w:footnote w:id="8">
    <w:p w14:paraId="63C380FB" w14:textId="0F983150" w:rsidR="005A092A" w:rsidRPr="00267A62" w:rsidRDefault="005A092A" w:rsidP="00267A62">
      <w:pPr>
        <w:pStyle w:val="FootnoteText"/>
        <w:ind w:left="567" w:hanging="567"/>
        <w:rPr>
          <w:sz w:val="24"/>
          <w:lang w:val="pl-PL"/>
        </w:rPr>
      </w:pPr>
      <w:r w:rsidRPr="00267A62">
        <w:rPr>
          <w:rStyle w:val="FootnoteReference"/>
          <w:sz w:val="24"/>
          <w:lang w:val="pl-PL"/>
        </w:rPr>
        <w:footnoteRef/>
      </w:r>
      <w:r w:rsidR="00267A62" w:rsidRPr="00267A62">
        <w:rPr>
          <w:sz w:val="24"/>
          <w:lang w:val="pl-PL"/>
        </w:rPr>
        <w:t xml:space="preserve"> </w:t>
      </w:r>
      <w:r w:rsidR="00267A62" w:rsidRPr="00267A62">
        <w:rPr>
          <w:sz w:val="24"/>
          <w:lang w:val="pl-PL"/>
        </w:rPr>
        <w:tab/>
      </w:r>
      <w:r w:rsidRPr="00267A62">
        <w:rPr>
          <w:sz w:val="24"/>
          <w:lang w:val="pl-PL"/>
        </w:rPr>
        <w:t xml:space="preserve">Dz.U. L 206 z 22.7.1992, s. 7, ELI: </w:t>
      </w:r>
      <w:hyperlink r:id="rId8" w:history="1">
        <w:r w:rsidRPr="00267A62">
          <w:rPr>
            <w:rStyle w:val="Hyperlink"/>
            <w:sz w:val="24"/>
            <w:lang w:val="pl-PL"/>
          </w:rPr>
          <w:t>http://data.europa.eu/eli/dir/1992/43/oj</w:t>
        </w:r>
      </w:hyperlink>
      <w:r w:rsidRPr="00267A62">
        <w:rPr>
          <w:sz w:val="24"/>
          <w:lang w:val="pl-PL"/>
        </w:rPr>
        <w:t>.</w:t>
      </w:r>
    </w:p>
  </w:footnote>
  <w:footnote w:id="9">
    <w:p w14:paraId="5E38106C" w14:textId="46FA77D6" w:rsidR="005A092A" w:rsidRPr="00267A62" w:rsidRDefault="005A092A" w:rsidP="00267A62">
      <w:pPr>
        <w:pStyle w:val="FootnoteText"/>
        <w:ind w:left="567" w:hanging="567"/>
        <w:rPr>
          <w:sz w:val="24"/>
          <w:lang w:val="pl-PL"/>
        </w:rPr>
      </w:pPr>
      <w:r w:rsidRPr="00267A62">
        <w:rPr>
          <w:rStyle w:val="FootnoteReference"/>
          <w:sz w:val="24"/>
          <w:lang w:val="pl-PL"/>
        </w:rPr>
        <w:footnoteRef/>
      </w:r>
      <w:r w:rsidR="00267A62" w:rsidRPr="00267A62">
        <w:rPr>
          <w:sz w:val="24"/>
          <w:lang w:val="pl-PL"/>
        </w:rPr>
        <w:t xml:space="preserve"> </w:t>
      </w:r>
      <w:r w:rsidR="00267A62" w:rsidRPr="00267A62">
        <w:rPr>
          <w:sz w:val="24"/>
          <w:lang w:val="pl-PL"/>
        </w:rPr>
        <w:tab/>
      </w:r>
      <w:r w:rsidRPr="00267A62">
        <w:rPr>
          <w:sz w:val="24"/>
          <w:lang w:val="pl-PL"/>
        </w:rPr>
        <w:t>Dz.U. L 164 z 25.6.2008, s. 19, ELI: </w:t>
      </w:r>
      <w:hyperlink r:id="rId9" w:tooltip="Dostęp do dokumentu poprzez identyfikator URI w systemie ELI." w:history="1">
        <w:r w:rsidRPr="00267A62">
          <w:rPr>
            <w:rStyle w:val="Hyperlink"/>
            <w:sz w:val="24"/>
            <w:lang w:val="pl-PL"/>
          </w:rPr>
          <w:t>http://data.europa.eu/eli/dir/2008/56/oj</w:t>
        </w:r>
      </w:hyperlink>
      <w:r w:rsidRPr="00267A62">
        <w:rPr>
          <w:sz w:val="24"/>
          <w:lang w:val="pl-PL"/>
        </w:rPr>
        <w:t>.</w:t>
      </w:r>
    </w:p>
  </w:footnote>
  <w:footnote w:id="10">
    <w:p w14:paraId="27DAE703" w14:textId="110468E2" w:rsidR="005A092A" w:rsidRPr="00267A62" w:rsidRDefault="005A092A" w:rsidP="00267A62">
      <w:pPr>
        <w:pStyle w:val="FootnoteText"/>
        <w:ind w:left="567" w:hanging="567"/>
        <w:rPr>
          <w:sz w:val="24"/>
          <w:lang w:val="pl-PL"/>
        </w:rPr>
      </w:pPr>
      <w:r w:rsidRPr="00267A62">
        <w:rPr>
          <w:rStyle w:val="FootnoteReference"/>
          <w:sz w:val="24"/>
          <w:lang w:val="pl-PL"/>
        </w:rPr>
        <w:footnoteRef/>
      </w:r>
      <w:r w:rsidR="00267A62" w:rsidRPr="00267A62">
        <w:rPr>
          <w:sz w:val="24"/>
          <w:lang w:val="pl-PL"/>
        </w:rPr>
        <w:t xml:space="preserve"> </w:t>
      </w:r>
      <w:r w:rsidR="00267A62" w:rsidRPr="00267A62">
        <w:rPr>
          <w:sz w:val="24"/>
          <w:lang w:val="pl-PL"/>
        </w:rPr>
        <w:tab/>
      </w:r>
      <w:r w:rsidRPr="00267A62">
        <w:rPr>
          <w:sz w:val="24"/>
          <w:lang w:val="pl-PL"/>
        </w:rPr>
        <w:t xml:space="preserve">Dz.U. L 20 z 26.1.2010, s. 7, ELI: </w:t>
      </w:r>
      <w:hyperlink r:id="rId10" w:history="1">
        <w:r w:rsidRPr="00267A62">
          <w:rPr>
            <w:rStyle w:val="Hyperlink"/>
            <w:sz w:val="24"/>
            <w:lang w:val="pl-PL"/>
          </w:rPr>
          <w:t>http://data.europa.eu/eli/dir/2009/147/oj</w:t>
        </w:r>
      </w:hyperlink>
      <w:r w:rsidRPr="00267A62">
        <w:rPr>
          <w:sz w:val="24"/>
          <w:lang w:val="pl-PL"/>
        </w:rPr>
        <w:t>.</w:t>
      </w:r>
    </w:p>
  </w:footnote>
  <w:footnote w:id="11">
    <w:p w14:paraId="13DD2786" w14:textId="1CAE5376" w:rsidR="005A092A" w:rsidRPr="00267A62" w:rsidRDefault="005A092A" w:rsidP="00267A62">
      <w:pPr>
        <w:pStyle w:val="FootnoteText"/>
        <w:ind w:left="567" w:hanging="567"/>
        <w:rPr>
          <w:sz w:val="24"/>
          <w:lang w:val="pl-PL"/>
        </w:rPr>
      </w:pPr>
      <w:r w:rsidRPr="00267A62">
        <w:rPr>
          <w:rStyle w:val="FootnoteReference"/>
          <w:sz w:val="24"/>
          <w:lang w:val="pl-PL"/>
        </w:rPr>
        <w:footnoteRef/>
      </w:r>
      <w:bookmarkStart w:id="9" w:name="_Hlk219910362"/>
      <w:r w:rsidR="00267A62" w:rsidRPr="00267A62">
        <w:rPr>
          <w:sz w:val="24"/>
          <w:lang w:val="pl-PL"/>
        </w:rPr>
        <w:t xml:space="preserve"> </w:t>
      </w:r>
      <w:r w:rsidR="00267A62" w:rsidRPr="00267A62">
        <w:rPr>
          <w:sz w:val="24"/>
          <w:lang w:val="pl-PL"/>
        </w:rPr>
        <w:tab/>
      </w:r>
      <w:r w:rsidRPr="00267A62">
        <w:rPr>
          <w:sz w:val="24"/>
          <w:lang w:val="pl-PL"/>
        </w:rPr>
        <w:t>Dz.U. C 67 z 8.2.2022, s. 25.</w:t>
      </w:r>
      <w:bookmarkEnd w:id="9"/>
    </w:p>
  </w:footnote>
  <w:footnote w:id="12">
    <w:p w14:paraId="2641F375" w14:textId="20455F12" w:rsidR="005A092A" w:rsidRPr="00267A62" w:rsidRDefault="005A092A" w:rsidP="00267A62">
      <w:pPr>
        <w:pStyle w:val="FootnoteText"/>
        <w:ind w:left="567" w:hanging="567"/>
        <w:rPr>
          <w:sz w:val="24"/>
          <w:lang w:val="pl-PL"/>
        </w:rPr>
      </w:pPr>
      <w:r w:rsidRPr="00267A62">
        <w:rPr>
          <w:rStyle w:val="FootnoteReference"/>
          <w:sz w:val="24"/>
          <w:lang w:val="pl-PL"/>
        </w:rPr>
        <w:footnoteRef/>
      </w:r>
      <w:r w:rsidR="00267A62" w:rsidRPr="00267A62">
        <w:rPr>
          <w:sz w:val="24"/>
          <w:lang w:val="pl-PL"/>
        </w:rPr>
        <w:t xml:space="preserve"> </w:t>
      </w:r>
      <w:r w:rsidR="00267A62" w:rsidRPr="00267A62">
        <w:rPr>
          <w:sz w:val="24"/>
          <w:lang w:val="pl-PL"/>
        </w:rPr>
        <w:tab/>
      </w:r>
      <w:r w:rsidRPr="00267A62">
        <w:rPr>
          <w:sz w:val="24"/>
          <w:lang w:val="pl-PL"/>
        </w:rPr>
        <w:t>Dz.U. C, C/2023/1074, 15.12.2023, ELI: </w:t>
      </w:r>
      <w:hyperlink r:id="rId11" w:tgtFrame="_blank" w:tooltip="Dostęp do dokumentu poprzez identyfikator URI w systemie ELI." w:history="1">
        <w:r w:rsidRPr="00267A62">
          <w:rPr>
            <w:rStyle w:val="Hyperlink"/>
            <w:sz w:val="24"/>
            <w:lang w:val="pl-PL"/>
          </w:rPr>
          <w:t>http://data.europa.eu/eli/C/2023/1074/oj</w:t>
        </w:r>
      </w:hyperlink>
      <w:r w:rsidRPr="00267A62">
        <w:rPr>
          <w:sz w:val="24"/>
          <w:lang w:val="pl-PL"/>
        </w:rPr>
        <w:t>.</w:t>
      </w:r>
    </w:p>
  </w:footnote>
  <w:footnote w:id="13">
    <w:p w14:paraId="4B2596AF" w14:textId="2810885E" w:rsidR="005A092A" w:rsidRPr="00267A62" w:rsidRDefault="005A092A" w:rsidP="00267A62">
      <w:pPr>
        <w:pStyle w:val="FootnoteText"/>
        <w:ind w:left="567" w:hanging="567"/>
        <w:rPr>
          <w:sz w:val="24"/>
          <w:lang w:val="pl-PL"/>
        </w:rPr>
      </w:pPr>
      <w:r w:rsidRPr="00267A62">
        <w:rPr>
          <w:rStyle w:val="FootnoteReference"/>
          <w:sz w:val="24"/>
          <w:lang w:val="pl-PL"/>
        </w:rPr>
        <w:footnoteRef/>
      </w:r>
      <w:r w:rsidR="00267A62" w:rsidRPr="00267A62">
        <w:rPr>
          <w:sz w:val="24"/>
          <w:lang w:val="pl-PL"/>
        </w:rPr>
        <w:t xml:space="preserve"> </w:t>
      </w:r>
      <w:r w:rsidR="00267A62" w:rsidRPr="00267A62">
        <w:rPr>
          <w:sz w:val="24"/>
          <w:lang w:val="pl-PL"/>
        </w:rPr>
        <w:tab/>
      </w:r>
      <w:r w:rsidRPr="00267A62">
        <w:rPr>
          <w:sz w:val="24"/>
          <w:lang w:val="pl-PL"/>
        </w:rPr>
        <w:t>Dz.U. C, C/2024/5734, 17.10.2024, ELI: </w:t>
      </w:r>
      <w:hyperlink r:id="rId12" w:tgtFrame="_blank" w:tooltip="Dostęp do dokumentu poprzez identyfikator URI w systemie ELI." w:history="1">
        <w:r w:rsidRPr="00267A62">
          <w:rPr>
            <w:rStyle w:val="Hyperlink"/>
            <w:sz w:val="24"/>
            <w:lang w:val="pl-PL"/>
          </w:rPr>
          <w:t>http://data.europa.eu/eli/C/2024/5734/oj</w:t>
        </w:r>
      </w:hyperlink>
      <w:r w:rsidRPr="00267A62">
        <w:rPr>
          <w:sz w:val="24"/>
          <w:lang w:val="pl-PL"/>
        </w:rPr>
        <w:t>.</w:t>
      </w:r>
    </w:p>
  </w:footnote>
  <w:footnote w:id="14">
    <w:p w14:paraId="7C12A6D7" w14:textId="1237B4D9" w:rsidR="005A092A" w:rsidRPr="00267A62" w:rsidRDefault="005A092A" w:rsidP="00267A62">
      <w:pPr>
        <w:pStyle w:val="FootnoteText"/>
        <w:ind w:left="567" w:hanging="567"/>
        <w:rPr>
          <w:sz w:val="24"/>
          <w:lang w:val="pl-PL"/>
        </w:rPr>
      </w:pPr>
      <w:r w:rsidRPr="00267A62">
        <w:rPr>
          <w:rStyle w:val="FootnoteReference"/>
          <w:sz w:val="24"/>
          <w:lang w:val="pl-PL"/>
        </w:rPr>
        <w:footnoteRef/>
      </w:r>
      <w:r w:rsidR="00267A62" w:rsidRPr="00267A62">
        <w:rPr>
          <w:sz w:val="24"/>
          <w:lang w:val="pl-PL"/>
        </w:rPr>
        <w:t xml:space="preserve"> </w:t>
      </w:r>
      <w:r w:rsidR="00267A62" w:rsidRPr="00267A62">
        <w:rPr>
          <w:sz w:val="24"/>
          <w:lang w:val="pl-PL"/>
        </w:rPr>
        <w:tab/>
      </w:r>
      <w:r w:rsidRPr="00267A62">
        <w:rPr>
          <w:sz w:val="24"/>
          <w:lang w:val="pl-PL"/>
        </w:rPr>
        <w:t xml:space="preserve">Europejska Agencja Środowiska, „Marine </w:t>
      </w:r>
      <w:proofErr w:type="spellStart"/>
      <w:r w:rsidRPr="00267A62">
        <w:rPr>
          <w:sz w:val="24"/>
          <w:lang w:val="pl-PL"/>
        </w:rPr>
        <w:t>protected</w:t>
      </w:r>
      <w:proofErr w:type="spellEnd"/>
      <w:r w:rsidRPr="00267A62">
        <w:rPr>
          <w:sz w:val="24"/>
          <w:lang w:val="pl-PL"/>
        </w:rPr>
        <w:t xml:space="preserve"> </w:t>
      </w:r>
      <w:proofErr w:type="spellStart"/>
      <w:r w:rsidRPr="00267A62">
        <w:rPr>
          <w:sz w:val="24"/>
          <w:lang w:val="pl-PL"/>
        </w:rPr>
        <w:t>areas</w:t>
      </w:r>
      <w:proofErr w:type="spellEnd"/>
      <w:r w:rsidRPr="00267A62">
        <w:rPr>
          <w:sz w:val="24"/>
          <w:lang w:val="pl-PL"/>
        </w:rPr>
        <w:t xml:space="preserve"> in </w:t>
      </w:r>
      <w:proofErr w:type="spellStart"/>
      <w:r w:rsidRPr="00267A62">
        <w:rPr>
          <w:sz w:val="24"/>
          <w:lang w:val="pl-PL"/>
        </w:rPr>
        <w:t>Europe’s</w:t>
      </w:r>
      <w:proofErr w:type="spellEnd"/>
      <w:r w:rsidRPr="00267A62">
        <w:rPr>
          <w:sz w:val="24"/>
          <w:lang w:val="pl-PL"/>
        </w:rPr>
        <w:t xml:space="preserve"> </w:t>
      </w:r>
      <w:proofErr w:type="spellStart"/>
      <w:r w:rsidRPr="00267A62">
        <w:rPr>
          <w:sz w:val="24"/>
          <w:lang w:val="pl-PL"/>
        </w:rPr>
        <w:t>seas</w:t>
      </w:r>
      <w:proofErr w:type="spellEnd"/>
      <w:r w:rsidRPr="00267A62">
        <w:rPr>
          <w:sz w:val="24"/>
          <w:lang w:val="pl-PL"/>
        </w:rPr>
        <w:t xml:space="preserve">” [Chronione obszary morskie na morzach Europy], strona internetowa Europejskiej Agencji Środowiska – Analysis and data – </w:t>
      </w:r>
      <w:proofErr w:type="spellStart"/>
      <w:r w:rsidRPr="00267A62">
        <w:rPr>
          <w:sz w:val="24"/>
          <w:lang w:val="pl-PL"/>
        </w:rPr>
        <w:t>Indicators</w:t>
      </w:r>
      <w:proofErr w:type="spellEnd"/>
      <w:r w:rsidRPr="00267A62">
        <w:rPr>
          <w:sz w:val="24"/>
          <w:lang w:val="pl-PL"/>
        </w:rPr>
        <w:t xml:space="preserve"> [Analizy i dane – Wskaźniki], 6 listopada 2025 r.</w:t>
      </w:r>
    </w:p>
  </w:footnote>
  <w:footnote w:id="15">
    <w:p w14:paraId="72977C31" w14:textId="6B2E4C18" w:rsidR="005A092A" w:rsidRPr="00267A62" w:rsidRDefault="005A092A" w:rsidP="00267A62">
      <w:pPr>
        <w:pStyle w:val="FootnoteText"/>
        <w:ind w:left="567" w:hanging="567"/>
        <w:rPr>
          <w:bCs/>
          <w:iCs/>
          <w:sz w:val="24"/>
          <w:lang w:val="pl-PL"/>
        </w:rPr>
      </w:pPr>
      <w:r w:rsidRPr="00267A62">
        <w:rPr>
          <w:rStyle w:val="FootnoteReference"/>
          <w:sz w:val="24"/>
          <w:lang w:val="pl-PL"/>
        </w:rPr>
        <w:footnoteRef/>
      </w:r>
      <w:r w:rsidR="00267A62" w:rsidRPr="00267A62">
        <w:rPr>
          <w:sz w:val="24"/>
          <w:lang w:val="pl-PL"/>
        </w:rPr>
        <w:t xml:space="preserve"> </w:t>
      </w:r>
      <w:r w:rsidR="00267A62" w:rsidRPr="00267A62">
        <w:rPr>
          <w:sz w:val="24"/>
          <w:lang w:val="pl-PL"/>
        </w:rPr>
        <w:tab/>
      </w:r>
      <w:r w:rsidRPr="00267A62">
        <w:rPr>
          <w:rStyle w:val="FootnoteReference"/>
          <w:sz w:val="24"/>
          <w:lang w:val="pl-PL"/>
        </w:rPr>
        <w:t>Komisja Europejska, „</w:t>
      </w:r>
      <w:proofErr w:type="spellStart"/>
      <w:r w:rsidRPr="00267A62">
        <w:rPr>
          <w:rStyle w:val="FootnoteReference"/>
          <w:sz w:val="24"/>
          <w:lang w:val="pl-PL"/>
        </w:rPr>
        <w:t>Study</w:t>
      </w:r>
      <w:proofErr w:type="spellEnd"/>
      <w:r w:rsidRPr="00267A62">
        <w:rPr>
          <w:rStyle w:val="FootnoteReference"/>
          <w:sz w:val="24"/>
          <w:lang w:val="pl-PL"/>
        </w:rPr>
        <w:t xml:space="preserve"> on </w:t>
      </w:r>
      <w:proofErr w:type="spellStart"/>
      <w:r w:rsidRPr="00267A62">
        <w:rPr>
          <w:rStyle w:val="FootnoteReference"/>
          <w:sz w:val="24"/>
          <w:lang w:val="pl-PL"/>
        </w:rPr>
        <w:t>regulations</w:t>
      </w:r>
      <w:proofErr w:type="spellEnd"/>
      <w:r w:rsidRPr="00267A62">
        <w:rPr>
          <w:rStyle w:val="FootnoteReference"/>
          <w:sz w:val="24"/>
          <w:lang w:val="pl-PL"/>
        </w:rPr>
        <w:t xml:space="preserve"> in EU Marine </w:t>
      </w:r>
      <w:proofErr w:type="spellStart"/>
      <w:r w:rsidRPr="00267A62">
        <w:rPr>
          <w:rStyle w:val="FootnoteReference"/>
          <w:sz w:val="24"/>
          <w:lang w:val="pl-PL"/>
        </w:rPr>
        <w:t>Protected</w:t>
      </w:r>
      <w:proofErr w:type="spellEnd"/>
      <w:r w:rsidRPr="00267A62">
        <w:rPr>
          <w:rStyle w:val="FootnoteReference"/>
          <w:sz w:val="24"/>
          <w:lang w:val="pl-PL"/>
        </w:rPr>
        <w:t xml:space="preserve"> </w:t>
      </w:r>
      <w:proofErr w:type="spellStart"/>
      <w:r w:rsidRPr="00267A62">
        <w:rPr>
          <w:rStyle w:val="FootnoteReference"/>
          <w:sz w:val="24"/>
          <w:lang w:val="pl-PL"/>
        </w:rPr>
        <w:t>Areas</w:t>
      </w:r>
      <w:proofErr w:type="spellEnd"/>
      <w:r w:rsidRPr="00267A62">
        <w:rPr>
          <w:rStyle w:val="FootnoteReference"/>
          <w:sz w:val="24"/>
          <w:lang w:val="pl-PL"/>
        </w:rPr>
        <w:t xml:space="preserve">: </w:t>
      </w:r>
      <w:proofErr w:type="spellStart"/>
      <w:r w:rsidRPr="00267A62">
        <w:rPr>
          <w:rStyle w:val="FootnoteReference"/>
          <w:sz w:val="24"/>
          <w:lang w:val="pl-PL"/>
        </w:rPr>
        <w:t>Insights</w:t>
      </w:r>
      <w:proofErr w:type="spellEnd"/>
      <w:r w:rsidRPr="00267A62">
        <w:rPr>
          <w:rStyle w:val="FootnoteReference"/>
          <w:sz w:val="24"/>
          <w:lang w:val="pl-PL"/>
        </w:rPr>
        <w:t xml:space="preserve"> and </w:t>
      </w:r>
      <w:proofErr w:type="spellStart"/>
      <w:r w:rsidRPr="00267A62">
        <w:rPr>
          <w:rStyle w:val="FootnoteReference"/>
          <w:sz w:val="24"/>
          <w:lang w:val="pl-PL"/>
        </w:rPr>
        <w:t>implications</w:t>
      </w:r>
      <w:proofErr w:type="spellEnd"/>
      <w:r w:rsidRPr="00267A62">
        <w:rPr>
          <w:rStyle w:val="FootnoteReference"/>
          <w:sz w:val="24"/>
          <w:lang w:val="pl-PL"/>
        </w:rPr>
        <w:t>” [Badanie dotyczące przepisów w chronionych obszarach morskich UE: spostrzeżenia i konsekwencje], strona internetowa portalu Misji ds. Oceanów i Wód.</w:t>
      </w:r>
      <w:r w:rsidRPr="00267A62">
        <w:rPr>
          <w:sz w:val="24"/>
          <w:lang w:val="pl-PL"/>
        </w:rPr>
        <w:t xml:space="preserve"> </w:t>
      </w:r>
    </w:p>
  </w:footnote>
  <w:footnote w:id="16">
    <w:p w14:paraId="1F762BCB" w14:textId="3D846A1C" w:rsidR="007246C5" w:rsidRPr="00511E8F" w:rsidRDefault="007246C5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511E8F">
        <w:rPr>
          <w:lang w:val="pl-PL"/>
        </w:rPr>
        <w:t xml:space="preserve"> </w:t>
      </w:r>
      <w:r w:rsidRPr="00511E8F">
        <w:rPr>
          <w:lang w:val="pl-PL"/>
        </w:rPr>
        <w:tab/>
      </w:r>
      <w:r w:rsidRPr="007246C5">
        <w:rPr>
          <w:lang w:val="pl-PL"/>
        </w:rPr>
        <w:t>Komisja Europejska, „Handel produktami z fok – ocena adekwatności przepisów UE”, strona internetowa Komisji Europejskiej.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7EBE0" w14:textId="77777777" w:rsidR="00064002" w:rsidRPr="00267A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3877D" w14:textId="77777777" w:rsidR="00064002" w:rsidRPr="00267A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45BBE" w14:textId="77777777" w:rsidR="00064002" w:rsidRPr="00267A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311299">
    <w:abstractNumId w:val="9"/>
  </w:num>
  <w:num w:numId="2" w16cid:durableId="446855093">
    <w:abstractNumId w:val="9"/>
  </w:num>
  <w:num w:numId="3" w16cid:durableId="1350333898">
    <w:abstractNumId w:val="7"/>
  </w:num>
  <w:num w:numId="4" w16cid:durableId="433475054">
    <w:abstractNumId w:val="7"/>
  </w:num>
  <w:num w:numId="5" w16cid:durableId="1286471834">
    <w:abstractNumId w:val="6"/>
  </w:num>
  <w:num w:numId="6" w16cid:durableId="1622033843">
    <w:abstractNumId w:val="6"/>
  </w:num>
  <w:num w:numId="7" w16cid:durableId="121968984">
    <w:abstractNumId w:val="5"/>
  </w:num>
  <w:num w:numId="8" w16cid:durableId="1028724461">
    <w:abstractNumId w:val="5"/>
  </w:num>
  <w:num w:numId="9" w16cid:durableId="1439836268">
    <w:abstractNumId w:val="4"/>
  </w:num>
  <w:num w:numId="10" w16cid:durableId="874005709">
    <w:abstractNumId w:val="4"/>
  </w:num>
  <w:num w:numId="11" w16cid:durableId="1632398288">
    <w:abstractNumId w:val="8"/>
  </w:num>
  <w:num w:numId="12" w16cid:durableId="541749139">
    <w:abstractNumId w:val="8"/>
  </w:num>
  <w:num w:numId="13" w16cid:durableId="886381039">
    <w:abstractNumId w:val="3"/>
  </w:num>
  <w:num w:numId="14" w16cid:durableId="1053501804">
    <w:abstractNumId w:val="3"/>
  </w:num>
  <w:num w:numId="15" w16cid:durableId="632709388">
    <w:abstractNumId w:val="2"/>
  </w:num>
  <w:num w:numId="16" w16cid:durableId="2070807565">
    <w:abstractNumId w:val="2"/>
  </w:num>
  <w:num w:numId="17" w16cid:durableId="62873199">
    <w:abstractNumId w:val="1"/>
  </w:num>
  <w:num w:numId="18" w16cid:durableId="544681590">
    <w:abstractNumId w:val="1"/>
  </w:num>
  <w:num w:numId="19" w16cid:durableId="291374960">
    <w:abstractNumId w:val="0"/>
  </w:num>
  <w:num w:numId="20" w16cid:durableId="637958852">
    <w:abstractNumId w:val="0"/>
  </w:num>
  <w:num w:numId="21" w16cid:durableId="2109882872">
    <w:abstractNumId w:val="9"/>
  </w:num>
  <w:num w:numId="22" w16cid:durableId="2031252826">
    <w:abstractNumId w:val="7"/>
  </w:num>
  <w:num w:numId="23" w16cid:durableId="106168825">
    <w:abstractNumId w:val="6"/>
  </w:num>
  <w:num w:numId="24" w16cid:durableId="222909853">
    <w:abstractNumId w:val="5"/>
  </w:num>
  <w:num w:numId="25" w16cid:durableId="2064330432">
    <w:abstractNumId w:val="4"/>
  </w:num>
  <w:num w:numId="26" w16cid:durableId="887378668">
    <w:abstractNumId w:val="8"/>
  </w:num>
  <w:num w:numId="27" w16cid:durableId="925571496">
    <w:abstractNumId w:val="3"/>
  </w:num>
  <w:num w:numId="28" w16cid:durableId="153226852">
    <w:abstractNumId w:val="2"/>
  </w:num>
  <w:num w:numId="29" w16cid:durableId="2097747613">
    <w:abstractNumId w:val="1"/>
  </w:num>
  <w:num w:numId="30" w16cid:durableId="113446786">
    <w:abstractNumId w:val="0"/>
  </w:num>
  <w:num w:numId="31" w16cid:durableId="1184053349">
    <w:abstractNumId w:val="9"/>
  </w:num>
  <w:num w:numId="32" w16cid:durableId="1684936196">
    <w:abstractNumId w:val="7"/>
  </w:num>
  <w:num w:numId="33" w16cid:durableId="1582256197">
    <w:abstractNumId w:val="6"/>
  </w:num>
  <w:num w:numId="34" w16cid:durableId="808985035">
    <w:abstractNumId w:val="5"/>
  </w:num>
  <w:num w:numId="35" w16cid:durableId="1988781394">
    <w:abstractNumId w:val="4"/>
  </w:num>
  <w:num w:numId="36" w16cid:durableId="1182013588">
    <w:abstractNumId w:val="8"/>
  </w:num>
  <w:num w:numId="37" w16cid:durableId="1582369989">
    <w:abstractNumId w:val="3"/>
  </w:num>
  <w:num w:numId="38" w16cid:durableId="119615607">
    <w:abstractNumId w:val="2"/>
  </w:num>
  <w:num w:numId="39" w16cid:durableId="1346249882">
    <w:abstractNumId w:val="1"/>
  </w:num>
  <w:num w:numId="40" w16cid:durableId="1188788114">
    <w:abstractNumId w:val="0"/>
  </w:num>
  <w:num w:numId="41" w16cid:durableId="434635362">
    <w:abstractNumId w:val="10"/>
  </w:num>
  <w:num w:numId="42" w16cid:durableId="819276225">
    <w:abstractNumId w:val="10"/>
  </w:num>
  <w:num w:numId="43" w16cid:durableId="136382565">
    <w:abstractNumId w:val="10"/>
  </w:num>
  <w:num w:numId="44" w16cid:durableId="12355520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6"/>
    <w:docVar w:name="dvlangue" w:val="PL"/>
    <w:docVar w:name="dvnumam" w:val="0"/>
    <w:docVar w:name="dvpe" w:val="769.962"/>
    <w:docVar w:name="dvrapporteur" w:val="Sprawozdawca: "/>
    <w:docVar w:name="dvtitre" w:val="Rezolucja Parlamentu Europejskiego z dnia  2026 r. w sprawie podejść do zarządzania rybołówstwem sprzyjających ochronie wrażliwych gatunków, zwalczaniu gatunków inwazyjnych i korzyściom dla lokalnych gospodarek(2025/2011(INI))"/>
  </w:docVars>
  <w:rsids>
    <w:rsidRoot w:val="008C45E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6633"/>
    <w:rsid w:val="001F32AE"/>
    <w:rsid w:val="001F55BA"/>
    <w:rsid w:val="00267A6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E8F"/>
    <w:rsid w:val="00514517"/>
    <w:rsid w:val="00545827"/>
    <w:rsid w:val="00560270"/>
    <w:rsid w:val="005A092A"/>
    <w:rsid w:val="005C2568"/>
    <w:rsid w:val="005F1B17"/>
    <w:rsid w:val="006037C0"/>
    <w:rsid w:val="00647DA3"/>
    <w:rsid w:val="006631B6"/>
    <w:rsid w:val="00680577"/>
    <w:rsid w:val="006F74FA"/>
    <w:rsid w:val="007246C5"/>
    <w:rsid w:val="00731ADD"/>
    <w:rsid w:val="00734777"/>
    <w:rsid w:val="00747932"/>
    <w:rsid w:val="00751A4A"/>
    <w:rsid w:val="00756632"/>
    <w:rsid w:val="00762C74"/>
    <w:rsid w:val="00786EC0"/>
    <w:rsid w:val="007D1690"/>
    <w:rsid w:val="007D6525"/>
    <w:rsid w:val="007E22AD"/>
    <w:rsid w:val="00817416"/>
    <w:rsid w:val="00842779"/>
    <w:rsid w:val="00865F67"/>
    <w:rsid w:val="00881A7B"/>
    <w:rsid w:val="008840E5"/>
    <w:rsid w:val="00887B3E"/>
    <w:rsid w:val="008C2AC6"/>
    <w:rsid w:val="008C45E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10F814"/>
  <w15:chartTrackingRefBased/>
  <w15:docId w15:val="{D3ECECDB-6E9B-4681-BA4C-C09E8BF29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A092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5A092A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5A092A"/>
    <w:pPr>
      <w:spacing w:after="240"/>
      <w:jc w:val="center"/>
    </w:pPr>
  </w:style>
  <w:style w:type="paragraph" w:customStyle="1" w:styleId="Normal6a">
    <w:name w:val="Normal6a"/>
    <w:basedOn w:val="Normal"/>
    <w:rsid w:val="005A092A"/>
    <w:pPr>
      <w:spacing w:after="120"/>
    </w:pPr>
  </w:style>
  <w:style w:type="character" w:customStyle="1" w:styleId="BoldItalic">
    <w:name w:val="BoldItalic"/>
    <w:uiPriority w:val="1"/>
    <w:rsid w:val="005A092A"/>
    <w:rPr>
      <w:b/>
      <w:i/>
      <w:u w:val="none"/>
    </w:rPr>
  </w:style>
  <w:style w:type="character" w:customStyle="1" w:styleId="Italic">
    <w:name w:val="Italic"/>
    <w:uiPriority w:val="1"/>
    <w:rsid w:val="005A092A"/>
    <w:rPr>
      <w:i/>
    </w:rPr>
  </w:style>
  <w:style w:type="paragraph" w:customStyle="1" w:styleId="Normal12a24b">
    <w:name w:val="Normal12a24b"/>
    <w:basedOn w:val="Normal"/>
    <w:rsid w:val="005A092A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5A092A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A092A"/>
    <w:rPr>
      <w:snapToGrid w:val="0"/>
      <w:sz w:val="24"/>
      <w:lang w:val="pl-PL" w:eastAsia="en-US"/>
    </w:rPr>
  </w:style>
  <w:style w:type="paragraph" w:styleId="Revision">
    <w:name w:val="Revision"/>
    <w:hidden/>
    <w:uiPriority w:val="99"/>
    <w:semiHidden/>
    <w:rsid w:val="007246C5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1992/43/oj" TargetMode="External"/><Relationship Id="rId3" Type="http://schemas.openxmlformats.org/officeDocument/2006/relationships/hyperlink" Target="http://data.europa.eu/eli/reg/2009/1007/oj" TargetMode="External"/><Relationship Id="rId7" Type="http://schemas.openxmlformats.org/officeDocument/2006/relationships/hyperlink" Target="http://data.europa.eu/eli/reg/2024/1991/oj" TargetMode="External"/><Relationship Id="rId12" Type="http://schemas.openxmlformats.org/officeDocument/2006/relationships/hyperlink" Target="http://data.europa.eu/eli/C/2024/5734/oj" TargetMode="External"/><Relationship Id="rId2" Type="http://schemas.openxmlformats.org/officeDocument/2006/relationships/hyperlink" Target="http://data.europa.eu/eli/reg/2014/1143/oj" TargetMode="External"/><Relationship Id="rId1" Type="http://schemas.openxmlformats.org/officeDocument/2006/relationships/hyperlink" Target="http://data.europa.eu/eli/reg/2013/1380/oj" TargetMode="External"/><Relationship Id="rId6" Type="http://schemas.openxmlformats.org/officeDocument/2006/relationships/hyperlink" Target="http://data.europa.eu/eli/reg/2023/2842/oj" TargetMode="External"/><Relationship Id="rId11" Type="http://schemas.openxmlformats.org/officeDocument/2006/relationships/hyperlink" Target="http://data.europa.eu/eli/C/2023/1074/oj" TargetMode="External"/><Relationship Id="rId5" Type="http://schemas.openxmlformats.org/officeDocument/2006/relationships/hyperlink" Target="http://data.europa.eu/eli/reg/2019/1241/oj" TargetMode="External"/><Relationship Id="rId10" Type="http://schemas.openxmlformats.org/officeDocument/2006/relationships/hyperlink" Target="http://data.europa.eu/eli/dir/2009/147/oj" TargetMode="External"/><Relationship Id="rId4" Type="http://schemas.openxmlformats.org/officeDocument/2006/relationships/hyperlink" Target="http://data.europa.eu/eli/reg/2009/1224/oj" TargetMode="External"/><Relationship Id="rId9" Type="http://schemas.openxmlformats.org/officeDocument/2006/relationships/hyperlink" Target="http://data.europa.eu/eli/dir/2008/5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4614</Words>
  <Characters>31382</Characters>
  <Application>Microsoft Office Word</Application>
  <DocSecurity>0</DocSecurity>
  <Lines>261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2026-03-10T14:37:00Z</dcterms:created>
  <dcterms:modified xsi:type="dcterms:W3CDTF">2026-03-10T14:37:00Z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A10-0018/2026</vt:lpwstr>
  </property>
  <property fmtid="{D5CDD505-2E9C-101B-9397-08002B2CF9AE}" pid="4" name="&lt;Type&gt;">
    <vt:lpwstr>RR</vt:lpwstr>
  </property>
</Properties>
</file>