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3FEF" w14:paraId="4F612D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8D1F0D" w14:textId="1881D8B0" w:rsidR="00751A4A" w:rsidRPr="00A23FEF" w:rsidRDefault="00A004E3" w:rsidP="0010095E">
            <w:pPr>
              <w:pStyle w:val="EPName"/>
            </w:pPr>
            <w:r w:rsidRPr="00A23FEF">
              <w:t>Európsky parlament</w:t>
            </w:r>
          </w:p>
          <w:p w14:paraId="04ECE1EF" w14:textId="77777777" w:rsidR="00751A4A" w:rsidRPr="00A23F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3FEF">
              <w:t>2024</w:t>
            </w:r>
            <w:r w:rsidR="00817416" w:rsidRPr="00A23FEF">
              <w:t>-202</w:t>
            </w:r>
            <w:r w:rsidRPr="00A23FEF">
              <w:t>9</w:t>
            </w:r>
          </w:p>
        </w:tc>
        <w:tc>
          <w:tcPr>
            <w:tcW w:w="2268" w:type="dxa"/>
            <w:shd w:val="clear" w:color="auto" w:fill="auto"/>
          </w:tcPr>
          <w:p w14:paraId="0EA447BF" w14:textId="77777777" w:rsidR="00751A4A" w:rsidRPr="00A23FEF" w:rsidRDefault="00187494" w:rsidP="0010095E">
            <w:pPr>
              <w:pStyle w:val="EPLogo"/>
            </w:pPr>
            <w:r w:rsidRPr="00A23FEF">
              <w:rPr>
                <w:noProof/>
                <w:lang w:eastAsia="ja-JP"/>
              </w:rPr>
              <w:drawing>
                <wp:inline distT="0" distB="0" distL="0" distR="0" wp14:anchorId="29C03627" wp14:editId="4DEA38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1C3DED" w14:textId="77777777" w:rsidR="00D058B8" w:rsidRPr="00A23FEF" w:rsidRDefault="00D058B8" w:rsidP="004C5D52">
      <w:pPr>
        <w:pStyle w:val="LineTop"/>
      </w:pPr>
    </w:p>
    <w:p w14:paraId="7C809B8A" w14:textId="08F562E3" w:rsidR="00680577" w:rsidRPr="00A23FEF" w:rsidRDefault="00A004E3" w:rsidP="00680577">
      <w:pPr>
        <w:pStyle w:val="EPBodyTA1"/>
      </w:pPr>
      <w:r w:rsidRPr="00A23FEF">
        <w:t>PRIJATÉ TEXTY</w:t>
      </w:r>
    </w:p>
    <w:p w14:paraId="6CDBF34B" w14:textId="77777777" w:rsidR="00D058B8" w:rsidRPr="00A23FEF" w:rsidRDefault="00D058B8" w:rsidP="00D058B8">
      <w:pPr>
        <w:pStyle w:val="LineBottom"/>
      </w:pPr>
    </w:p>
    <w:p w14:paraId="0685AA14" w14:textId="69A5EB1F" w:rsidR="00A004E3" w:rsidRPr="00A23FEF" w:rsidRDefault="00A004E3" w:rsidP="00A004E3">
      <w:pPr>
        <w:pStyle w:val="ATHeading1"/>
      </w:pPr>
      <w:bookmarkStart w:id="0" w:name="TANumber"/>
      <w:r w:rsidRPr="00A23FEF">
        <w:t>P10_TA(2026)00</w:t>
      </w:r>
      <w:r w:rsidR="00BB27D9" w:rsidRPr="00A23FEF">
        <w:t>67</w:t>
      </w:r>
      <w:bookmarkEnd w:id="0"/>
    </w:p>
    <w:p w14:paraId="71297D3F" w14:textId="3CEAFD40" w:rsidR="00A004E3" w:rsidRPr="00A23FEF" w:rsidRDefault="00A004E3" w:rsidP="00A004E3">
      <w:pPr>
        <w:pStyle w:val="ATHeading2"/>
      </w:pPr>
      <w:bookmarkStart w:id="1" w:name="title"/>
      <w:r w:rsidRPr="00A23FEF">
        <w:t>Prístupy k riadeniu rybárstva zamerané na ochranu citlivých druhov, boj proti inváznym druhom a prínos pre</w:t>
      </w:r>
      <w:r w:rsidR="00737B75" w:rsidRPr="00A23FEF">
        <w:t xml:space="preserve"> </w:t>
      </w:r>
      <w:r w:rsidRPr="00A23FEF">
        <w:t>miestne hospodárstva</w:t>
      </w:r>
      <w:bookmarkEnd w:id="1"/>
    </w:p>
    <w:p w14:paraId="0E676937" w14:textId="77777777" w:rsidR="00A004E3" w:rsidRPr="00A23FEF" w:rsidRDefault="00A004E3" w:rsidP="00A004E3">
      <w:pPr>
        <w:rPr>
          <w:i/>
          <w:vanish/>
        </w:rPr>
      </w:pPr>
      <w:r w:rsidRPr="00A23FEF">
        <w:rPr>
          <w:i/>
        </w:rPr>
        <w:fldChar w:fldCharType="begin"/>
      </w:r>
      <w:r w:rsidRPr="00A23FEF">
        <w:rPr>
          <w:i/>
        </w:rPr>
        <w:instrText xml:space="preserve"> TC"(</w:instrText>
      </w:r>
      <w:bookmarkStart w:id="2" w:name="DocNumber"/>
      <w:r w:rsidRPr="00A23FEF">
        <w:rPr>
          <w:i/>
        </w:rPr>
        <w:instrText>A10-0018/2026</w:instrText>
      </w:r>
      <w:bookmarkEnd w:id="2"/>
      <w:r w:rsidRPr="00A23FEF">
        <w:rPr>
          <w:i/>
        </w:rPr>
        <w:instrText xml:space="preserve"> - Spravodajca: </w:instrText>
      </w:r>
      <w:proofErr w:type="spellStart"/>
      <w:r w:rsidRPr="00A23FEF">
        <w:rPr>
          <w:i/>
        </w:rPr>
        <w:instrText>André</w:instrText>
      </w:r>
      <w:proofErr w:type="spellEnd"/>
      <w:r w:rsidRPr="00A23FEF">
        <w:rPr>
          <w:i/>
        </w:rPr>
        <w:instrText xml:space="preserve"> Rodrigues)"\l3 \n&gt; \* MERGEFORMAT </w:instrText>
      </w:r>
      <w:r w:rsidRPr="00A23FEF">
        <w:rPr>
          <w:i/>
        </w:rPr>
        <w:fldChar w:fldCharType="end"/>
      </w:r>
    </w:p>
    <w:p w14:paraId="7A83F33D" w14:textId="77777777" w:rsidR="00A004E3" w:rsidRPr="00A23FEF" w:rsidRDefault="00A004E3" w:rsidP="00A004E3">
      <w:pPr>
        <w:rPr>
          <w:vanish/>
        </w:rPr>
      </w:pPr>
      <w:bookmarkStart w:id="3" w:name="Commission"/>
      <w:r w:rsidRPr="00A23FEF">
        <w:rPr>
          <w:vanish/>
        </w:rPr>
        <w:t>Výbor pre rybárstvo</w:t>
      </w:r>
      <w:bookmarkEnd w:id="3"/>
    </w:p>
    <w:p w14:paraId="4A406E32" w14:textId="77777777" w:rsidR="00A004E3" w:rsidRPr="00A23FEF" w:rsidRDefault="00A004E3" w:rsidP="00A004E3">
      <w:pPr>
        <w:rPr>
          <w:vanish/>
        </w:rPr>
      </w:pPr>
      <w:bookmarkStart w:id="4" w:name="PE"/>
      <w:r w:rsidRPr="00A23FEF">
        <w:rPr>
          <w:vanish/>
        </w:rPr>
        <w:t>PE769.962</w:t>
      </w:r>
      <w:bookmarkEnd w:id="4"/>
    </w:p>
    <w:p w14:paraId="43418031" w14:textId="77777777" w:rsidR="00A004E3" w:rsidRPr="00A23FEF" w:rsidRDefault="00A004E3" w:rsidP="00A004E3">
      <w:pPr>
        <w:pStyle w:val="ATHeading3"/>
      </w:pPr>
      <w:bookmarkStart w:id="5" w:name="Sujet"/>
      <w:r w:rsidRPr="00A23FEF">
        <w:t>Uznesenie Európskeho parlamentu z 10. marca 2026 o prístupoch k riadeniu rybárstva zameraných na ochranu citlivých druhov, boj proti inváznym druhom a prínos pre miestne hospodárstva</w:t>
      </w:r>
      <w:bookmarkEnd w:id="5"/>
      <w:r w:rsidRPr="00A23FEF">
        <w:t xml:space="preserve"> </w:t>
      </w:r>
      <w:bookmarkStart w:id="6" w:name="References"/>
      <w:r w:rsidRPr="00A23FEF">
        <w:t>(2025/2011(INI))</w:t>
      </w:r>
      <w:bookmarkEnd w:id="6"/>
    </w:p>
    <w:p w14:paraId="4BE858E7" w14:textId="77777777" w:rsidR="00E9052A" w:rsidRPr="00A23FEF" w:rsidRDefault="00E9052A" w:rsidP="00E9052A">
      <w:pPr>
        <w:pStyle w:val="EPComma"/>
      </w:pPr>
      <w:r w:rsidRPr="00A23FEF">
        <w:rPr>
          <w:rStyle w:val="Italic"/>
        </w:rPr>
        <w:t>Európsky parlament</w:t>
      </w:r>
      <w:r w:rsidRPr="00A23FEF">
        <w:t>,</w:t>
      </w:r>
    </w:p>
    <w:p w14:paraId="2BA77561" w14:textId="23FA6A5F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Zmluvu o fungovaní Európskej únie</w:t>
      </w:r>
      <w:r w:rsidR="00DC2A49" w:rsidRPr="00A23FEF">
        <w:t xml:space="preserve"> (ďalej len „ZFEÚ“)</w:t>
      </w:r>
      <w:r w:rsidRPr="00A23FEF">
        <w:t>, a najmä na jej článok 43,</w:t>
      </w:r>
    </w:p>
    <w:p w14:paraId="524ECD73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nariadenie Európskeho parlamentu a Rady (EÚ) č. 1380/2013 z 11. decembra 2013 o spoločnej rybárskej politike, ktorým sa menia nariadenia Rady (ES) č. 1954/2003 a (ES) č. 1224/2009 a zrušujú nariadenia Rady (ES) č. 2371/2002 a (ES) č. 639/2004 a rozhodnutie Rady 2004/585/ES</w:t>
      </w:r>
      <w:r w:rsidRPr="00A23FEF">
        <w:rPr>
          <w:rStyle w:val="FootnoteReference"/>
        </w:rPr>
        <w:footnoteReference w:id="1"/>
      </w:r>
      <w:r w:rsidRPr="00A23FEF">
        <w:t xml:space="preserve"> (nariadenia o SRP),</w:t>
      </w:r>
    </w:p>
    <w:p w14:paraId="342C8BFF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nariadenie Európskeho parlamentu a Rady (EÚ) č. 1143/2014 z 22. októbra 2014 o prevencii a manažmente introdukcie a šírenia inváznych nepôvodných druhov (nariadenie o inváznych druhoch)</w:t>
      </w:r>
      <w:r w:rsidRPr="00A23FEF">
        <w:rPr>
          <w:rStyle w:val="FootnoteReference"/>
        </w:rPr>
        <w:footnoteReference w:id="2"/>
      </w:r>
      <w:r w:rsidRPr="00A23FEF">
        <w:t>,</w:t>
      </w:r>
    </w:p>
    <w:p w14:paraId="2C037999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nariadenie Európskeho parlamentu a Rady (ES) č. 1007/2009 zo 16. septembra 2009 o obchodovaní s výrobkami z tuleňov</w:t>
      </w:r>
      <w:r w:rsidRPr="00A23FEF">
        <w:rPr>
          <w:rStyle w:val="FootnoteReference"/>
          <w:bCs/>
          <w:iCs/>
        </w:rPr>
        <w:footnoteReference w:id="3"/>
      </w:r>
      <w:r w:rsidRPr="00A23FEF">
        <w:t>,</w:t>
      </w:r>
    </w:p>
    <w:p w14:paraId="1C5CB2C2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 xml:space="preserve">so zreteľom na nariadenie Rady (ES) č. 1224/2009 z 20. novembra 2009, ktorým sa zriaďuje systém kontroly Spoločenstva na zabezpečenie dodržiavania pravidiel spoločnej politiky v oblasti rybného hospodárstva a ktorým sa menia a dopĺňajú nariadenia (ES) č. 847/96, (ES) č. 2371/2002, (ES) č. 811/2004, (ES) č. 768/2005, (ES) č. 2115/2005, (ES) č. 2166/2005, (ES) č. 388/2006, (ES) č. 509/2007, (ES) č. 676/2007, (ES) č. 1098/2007, (ES) č. 1300/2008, (ES) č. 1342/2008 a ktorým sa zrušujú </w:t>
      </w:r>
      <w:r w:rsidRPr="00A23FEF">
        <w:lastRenderedPageBreak/>
        <w:t>nariadenia (EHS) č. 2847/93, (ES) č. 1627/94 a (ES) č. 1966/2006</w:t>
      </w:r>
      <w:r w:rsidRPr="00A23FEF">
        <w:rPr>
          <w:rStyle w:val="FootnoteReference"/>
        </w:rPr>
        <w:footnoteReference w:id="4"/>
      </w:r>
      <w:r w:rsidRPr="00A23FEF">
        <w:t xml:space="preserve"> (nariadenie o kontrole rybárstva),</w:t>
      </w:r>
    </w:p>
    <w:p w14:paraId="2B427D97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nariadenie Európskeho parlamentu a Rady (EÚ) 2019/1241 z 20. júna 2019 o zachovaní rybolovných zdrojov a ochrane morských ekosystémov prostredníctvom technických opatrení, ktorým sa menia nariadenia Rady (ES) č. 1967/2006, (ES) č. 1224/2009 a nariadenia Európskeho parlamentu a Rady (EÚ) č. 1380/2013, (EÚ) 2016/1139, (EÚ) 2018/973, (EÚ) 2019/472 a (EÚ) 2019/1022 a ktorým sa zrušujú nariadenia Rady (ES) č. 894/97, (ES) č. 850/98, (ES) č. 2549/2000, (ES) č. 254/2002, (ES) č. 812/2004 a (ES) č. 2187/2005</w:t>
      </w:r>
      <w:r w:rsidRPr="00A23FEF">
        <w:rPr>
          <w:rStyle w:val="FootnoteReference"/>
          <w:bCs/>
          <w:iCs/>
        </w:rPr>
        <w:footnoteReference w:id="5"/>
      </w:r>
      <w:r w:rsidRPr="00A23FEF">
        <w:t>,</w:t>
      </w:r>
    </w:p>
    <w:p w14:paraId="30D8DDC7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–</w:t>
      </w:r>
      <w:r w:rsidRPr="00A23FEF">
        <w:tab/>
        <w:t>so zreteľom na nariadenie Európskeho parlamentu a Rady (EÚ) 2023/2842 z 22. novembra 2023, ktorým sa mení nariadenie Rady (ES) č. 1224/2009 a ktorým sa menia nariadenia Rady (ES) č. 1967/2006 a (ES) č. 1005/2008 a nariadenia Európskeho parlamentu a Rady (EÚ) 2016/1139, (EÚ) 2017/2403 a (EÚ) 2019/473, pokiaľ ide o kontrolu rybárstva</w:t>
      </w:r>
      <w:r w:rsidRPr="00A23FEF">
        <w:rPr>
          <w:rStyle w:val="FootnoteReference"/>
          <w:bCs/>
          <w:iCs/>
        </w:rPr>
        <w:footnoteReference w:id="6"/>
      </w:r>
      <w:r w:rsidRPr="00A23FEF">
        <w:t>,</w:t>
      </w:r>
    </w:p>
    <w:p w14:paraId="0AC0DF8E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rPr>
          <w:snapToGrid/>
        </w:rPr>
        <w:t>–</w:t>
      </w:r>
      <w:r w:rsidRPr="00A23FEF">
        <w:tab/>
      </w:r>
      <w:r w:rsidRPr="00A23FEF">
        <w:rPr>
          <w:snapToGrid/>
        </w:rPr>
        <w:t>so zreteľom na nariadenie Európskeho parlamentu a Rady (EÚ) 2024/1991 z 24. júna 2024 o obnove prírody a o zmene nariadenia (EÚ) 2022</w:t>
      </w:r>
      <w:r w:rsidRPr="00A23FEF">
        <w:t>/869</w:t>
      </w:r>
      <w:r w:rsidRPr="00A23FEF">
        <w:rPr>
          <w:vertAlign w:val="superscript"/>
        </w:rPr>
        <w:footnoteReference w:id="7"/>
      </w:r>
      <w:r w:rsidRPr="00A23FEF">
        <w:t>,</w:t>
      </w:r>
    </w:p>
    <w:p w14:paraId="244D1045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smernicu Rady 92/43/EHS z 21. mája 1992 o ochrane prirodzených biotopov a voľne žijúcich živočíchov a rastlín</w:t>
      </w:r>
      <w:r w:rsidRPr="00A23FEF">
        <w:rPr>
          <w:rStyle w:val="FootnoteReference"/>
        </w:rPr>
        <w:footnoteReference w:id="8"/>
      </w:r>
      <w:r w:rsidRPr="00A23FEF">
        <w:t xml:space="preserve"> (smernica o biotopoch),</w:t>
      </w:r>
    </w:p>
    <w:p w14:paraId="3B75FE0F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smernicu Európskeho parlamentu a Rady 2008/56/ES zo 17. júna 2008, ktorou sa ustanovuje rámec pre činnosť Spoločenstva v oblasti morskej environmentálnej politiky (rámcová smernica o morskej stratégii)</w:t>
      </w:r>
      <w:r w:rsidRPr="00A23FEF">
        <w:rPr>
          <w:rStyle w:val="FootnoteReference"/>
        </w:rPr>
        <w:footnoteReference w:id="9"/>
      </w:r>
      <w:r w:rsidRPr="00A23FEF">
        <w:t>,</w:t>
      </w:r>
    </w:p>
    <w:p w14:paraId="38A05ADE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smernicu Európskeho parlamentu a Rady 2009/147/ES z 30. novembra 2009 o ochrane voľne žijúceho vtáctva</w:t>
      </w:r>
      <w:r w:rsidRPr="00A23FEF">
        <w:rPr>
          <w:rStyle w:val="FootnoteReference"/>
        </w:rPr>
        <w:footnoteReference w:id="10"/>
      </w:r>
      <w:r w:rsidRPr="00A23FEF">
        <w:t xml:space="preserve"> (smernica o vtáctve),</w:t>
      </w:r>
    </w:p>
    <w:p w14:paraId="7ACAD32E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svoje uznesenie z 9. júna 2021 o stratégii EÚ v oblasti biodiverzity do roku 2030: Prinavrátenie prírody do našich životov</w:t>
      </w:r>
      <w:r w:rsidRPr="00A23FEF">
        <w:rPr>
          <w:rStyle w:val="FootnoteReference"/>
        </w:rPr>
        <w:footnoteReference w:id="11"/>
      </w:r>
      <w:r w:rsidRPr="00A23FEF">
        <w:t>,</w:t>
      </w:r>
    </w:p>
    <w:p w14:paraId="5214986D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svoje uznesenie z 11. mája 2023 s názvom Budovanie silného a udržateľného odvetvia rias v EÚ</w:t>
      </w:r>
      <w:r w:rsidRPr="00A23FEF">
        <w:rPr>
          <w:rStyle w:val="FootnoteReference"/>
        </w:rPr>
        <w:footnoteReference w:id="12"/>
      </w:r>
      <w:r w:rsidRPr="00A23FEF">
        <w:t>,</w:t>
      </w:r>
    </w:p>
    <w:p w14:paraId="7B286C3B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svoje uznesenie z 18. januára 2024 o súčasnom stave vykonávania spoločnej rybárskej politiky a budúcich perspektívach</w:t>
      </w:r>
      <w:r w:rsidRPr="00A23FEF">
        <w:rPr>
          <w:rStyle w:val="FootnoteReference"/>
          <w:bCs/>
          <w:iCs/>
        </w:rPr>
        <w:footnoteReference w:id="13"/>
      </w:r>
      <w:r w:rsidRPr="00A23FEF">
        <w:t>,</w:t>
      </w:r>
    </w:p>
    <w:p w14:paraId="58CCFD15" w14:textId="77777777" w:rsidR="00E9052A" w:rsidRPr="00A23FEF" w:rsidRDefault="00E9052A" w:rsidP="00E9052A">
      <w:pPr>
        <w:pStyle w:val="NormalHanging12a"/>
      </w:pPr>
      <w:r w:rsidRPr="00A23FEF">
        <w:lastRenderedPageBreak/>
        <w:t>–</w:t>
      </w:r>
      <w:r w:rsidRPr="00A23FEF">
        <w:tab/>
        <w:t>so zreteľom na ciele OSN v oblasti udržateľného rozvoja, a najmä na cieľ 14: cieľ č. 15 Život pod vodou: cieľ č. 1 Život na pevnine: cieľ č. 2 Žiadna chudoba: cieľ č. 11 Žiadny hlad: udržateľné mestá a obce,</w:t>
      </w:r>
    </w:p>
    <w:p w14:paraId="4B15ECF7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–</w:t>
      </w:r>
      <w:r w:rsidRPr="00A23FEF">
        <w:tab/>
        <w:t xml:space="preserve">so zreteľom na Globálny rámec pre biodiverzitu z </w:t>
      </w:r>
      <w:proofErr w:type="spellStart"/>
      <w:r w:rsidRPr="00A23FEF">
        <w:t>Kchun-mingu</w:t>
      </w:r>
      <w:proofErr w:type="spellEnd"/>
      <w:r w:rsidRPr="00A23FEF">
        <w:t xml:space="preserve"> a Montrealu,</w:t>
      </w:r>
    </w:p>
    <w:p w14:paraId="23308D82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 xml:space="preserve">so zreteľom na Medzinárodný dohovor o kontrole a riadení </w:t>
      </w:r>
      <w:proofErr w:type="spellStart"/>
      <w:r w:rsidRPr="00A23FEF">
        <w:t>balastovej</w:t>
      </w:r>
      <w:proofErr w:type="spellEnd"/>
      <w:r w:rsidRPr="00A23FEF">
        <w:t xml:space="preserve"> vody a sedimentov z lodí,</w:t>
      </w:r>
    </w:p>
    <w:p w14:paraId="18B17C89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článok 55 rokovacieho poriadku,</w:t>
      </w:r>
    </w:p>
    <w:p w14:paraId="6C03521C" w14:textId="77777777" w:rsidR="00E9052A" w:rsidRPr="00A23FEF" w:rsidRDefault="00E9052A" w:rsidP="00E9052A">
      <w:pPr>
        <w:pStyle w:val="NormalHanging12a"/>
      </w:pPr>
      <w:r w:rsidRPr="00A23FEF">
        <w:t>–</w:t>
      </w:r>
      <w:r w:rsidRPr="00A23FEF">
        <w:tab/>
        <w:t>so zreteľom na správu Výboru pre rybárstvo (A10-0018/2026),</w:t>
      </w:r>
    </w:p>
    <w:p w14:paraId="5671DACE" w14:textId="77777777" w:rsidR="00E9052A" w:rsidRPr="00A23FEF" w:rsidRDefault="00E9052A" w:rsidP="00E9052A">
      <w:pPr>
        <w:pStyle w:val="NormalHanging12a"/>
      </w:pPr>
      <w:r w:rsidRPr="00A23FEF">
        <w:t>A.</w:t>
      </w:r>
      <w:r w:rsidRPr="00A23FEF">
        <w:tab/>
        <w:t>keďže EÚ už dlho uznáva význam udržateľného rybárstva a ekosystémových prístupov k riadeniu rybárstva pre zachovanie morskej biodiverzity vrátane ochrany citlivých druhov, podpory miestnych hospodárstiev a zaisťovania potravinovej bezpečnosti a udržateľných potravinových systémov;</w:t>
      </w:r>
    </w:p>
    <w:p w14:paraId="68E3FA8F" w14:textId="77777777" w:rsidR="00E9052A" w:rsidRPr="00A23FEF" w:rsidRDefault="00E9052A" w:rsidP="00E9052A">
      <w:pPr>
        <w:pStyle w:val="NormalHanging12a"/>
      </w:pPr>
      <w:r w:rsidRPr="00A23FEF">
        <w:t>B.</w:t>
      </w:r>
      <w:r w:rsidRPr="00A23FEF">
        <w:tab/>
        <w:t>keďže EÚ zaviedla niekoľko regulačných rámcov na obnovu a ochranu zraniteľných morských druhov;</w:t>
      </w:r>
    </w:p>
    <w:p w14:paraId="0D10251B" w14:textId="77777777" w:rsidR="00E9052A" w:rsidRPr="00A23FEF" w:rsidRDefault="00E9052A" w:rsidP="00E9052A">
      <w:pPr>
        <w:pStyle w:val="NormalHanging12a"/>
      </w:pPr>
      <w:r w:rsidRPr="00A23FEF">
        <w:t>C.</w:t>
      </w:r>
      <w:r w:rsidRPr="00A23FEF">
        <w:tab/>
        <w:t>keďže EÚ začleňuje ochranu a obnovu citlivých druhov do iných právnych rámcov, ako je nedávno revidované nariadenie o kontrole rybárstva, čím zabezpečuje komplexný prístup k zberu údajov, ktoré sa majú použiť na ochranu citlivých druhov;</w:t>
      </w:r>
    </w:p>
    <w:p w14:paraId="3F6C3887" w14:textId="76914341" w:rsidR="00E9052A" w:rsidRPr="00A23FEF" w:rsidRDefault="00E9052A" w:rsidP="00E9052A">
      <w:pPr>
        <w:pStyle w:val="NormalHanging12a"/>
      </w:pPr>
      <w:r w:rsidRPr="00A23FEF">
        <w:t>D.</w:t>
      </w:r>
      <w:r w:rsidRPr="00A23FEF">
        <w:tab/>
        <w:t>keďže Medzinárodná únia na ochranu prírody (</w:t>
      </w:r>
      <w:r w:rsidR="00DC2A49" w:rsidRPr="00A23FEF">
        <w:t>ďalej len „</w:t>
      </w:r>
      <w:r w:rsidRPr="00A23FEF">
        <w:t>IUCN</w:t>
      </w:r>
      <w:r w:rsidR="00DC2A49" w:rsidRPr="00A23FEF">
        <w:t>“</w:t>
      </w:r>
      <w:r w:rsidRPr="00A23FEF">
        <w:t>) vydáva Červenú knihu, komplexný zoznam týkajúci sa stavu ochrany druhov, v ktorom sa poskytujú dôležité informácie o citlivej situácii morských citlivých druhov a upozorňuje na potrebné úsilie o ich ochranu;</w:t>
      </w:r>
    </w:p>
    <w:p w14:paraId="35C163F7" w14:textId="77777777" w:rsidR="00E9052A" w:rsidRPr="00A23FEF" w:rsidRDefault="00E9052A" w:rsidP="00E9052A">
      <w:pPr>
        <w:pStyle w:val="NormalHanging12a"/>
      </w:pPr>
      <w:r w:rsidRPr="00A23FEF">
        <w:t>E.</w:t>
      </w:r>
      <w:r w:rsidRPr="00A23FEF">
        <w:tab/>
        <w:t>keďže vedľajšie úlovky citlivých druhov predstavujú veľkú hrozbu pre morskú biodiverzitu, ako sa to uznáva v medzinárodných a regionálnych dohovoroch a právnych predpisoch EÚ;</w:t>
      </w:r>
    </w:p>
    <w:p w14:paraId="5724DB29" w14:textId="77777777" w:rsidR="00E9052A" w:rsidRPr="00A23FEF" w:rsidRDefault="00E9052A" w:rsidP="00E9052A">
      <w:pPr>
        <w:pStyle w:val="NormalHanging12a"/>
      </w:pPr>
      <w:r w:rsidRPr="00A23FEF">
        <w:t>F.</w:t>
      </w:r>
      <w:r w:rsidRPr="00A23FEF">
        <w:tab/>
        <w:t>keďže morské vtáky sú jedným z ukazovateľov zdravia morských ekosystémov vzhľadom na ich úlohu hlavného predátora v morskom potravinovom reťazci;</w:t>
      </w:r>
    </w:p>
    <w:p w14:paraId="3BF8AB55" w14:textId="77777777" w:rsidR="00E9052A" w:rsidRPr="00A23FEF" w:rsidRDefault="00E9052A" w:rsidP="00E9052A">
      <w:pPr>
        <w:pStyle w:val="NormalHanging12a"/>
      </w:pPr>
      <w:r w:rsidRPr="00A23FEF">
        <w:t>G.</w:t>
      </w:r>
      <w:r w:rsidRPr="00A23FEF">
        <w:tab/>
        <w:t>keďže zainteresované strany spolupracujú na niekoľkých projektoch, aby vyskúšali nové metódy riadenia a výstroja s cieľom znížiť úroveň vedľajších a náhodných úlovkov citlivých druhov počas rybolovných operácií;</w:t>
      </w:r>
    </w:p>
    <w:p w14:paraId="4DD1A3E2" w14:textId="5E8BBBD6" w:rsidR="00E9052A" w:rsidRPr="00A23FEF" w:rsidRDefault="00E9052A" w:rsidP="00E9052A">
      <w:pPr>
        <w:pStyle w:val="NormalHanging12a"/>
      </w:pPr>
      <w:r w:rsidRPr="00A23FEF">
        <w:t>H.</w:t>
      </w:r>
      <w:r w:rsidRPr="00A23FEF">
        <w:tab/>
        <w:t>keďže z údajov, ktoré uverejnila Európska environmentálna agentúra v roku 2025</w:t>
      </w:r>
      <w:r w:rsidRPr="00A23FEF">
        <w:rPr>
          <w:rStyle w:val="FootnoteReference"/>
          <w:bCs/>
          <w:iCs/>
        </w:rPr>
        <w:footnoteReference w:id="14"/>
      </w:r>
      <w:r w:rsidRPr="00A23FEF">
        <w:t>, vyplýva, že chránené morské oblasti pokrývajú 13,7 % vôd EÚ;</w:t>
      </w:r>
    </w:p>
    <w:p w14:paraId="7E89044B" w14:textId="31B1D7BC" w:rsidR="00E9052A" w:rsidRPr="00A23FEF" w:rsidRDefault="00E9052A" w:rsidP="00E9052A">
      <w:pPr>
        <w:pStyle w:val="NormalHanging12a"/>
      </w:pPr>
      <w:r w:rsidRPr="00A23FEF">
        <w:t>I.</w:t>
      </w:r>
      <w:r w:rsidRPr="00A23FEF">
        <w:tab/>
        <w:t>keďže portál služieb misie Komisie Obnoviť naše vody a oceány</w:t>
      </w:r>
      <w:r w:rsidRPr="00A23FEF">
        <w:rPr>
          <w:rStyle w:val="FootnoteReference"/>
          <w:bCs/>
          <w:iCs/>
        </w:rPr>
        <w:footnoteReference w:id="15"/>
      </w:r>
      <w:r w:rsidRPr="00A23FEF">
        <w:t xml:space="preserve"> informuje o štúdii, z ktorej vyplýva, že v roku 2023 bol rybolov povolený vo viac ako 40 % chránených </w:t>
      </w:r>
      <w:r w:rsidRPr="00A23FEF">
        <w:lastRenderedPageBreak/>
        <w:t>morských oblastí, obmedzený v menej ako 25 % a výslovne zakázaný len v 0,4 % oblastí;</w:t>
      </w:r>
    </w:p>
    <w:p w14:paraId="6976A05D" w14:textId="77777777" w:rsidR="00E9052A" w:rsidRPr="00A23FEF" w:rsidRDefault="00E9052A" w:rsidP="00E9052A">
      <w:pPr>
        <w:pStyle w:val="NormalHanging12a"/>
        <w:spacing w:after="120"/>
      </w:pPr>
      <w:r w:rsidRPr="00A23FEF">
        <w:t>J.</w:t>
      </w:r>
      <w:r w:rsidRPr="00A23FEF">
        <w:tab/>
        <w:t xml:space="preserve">keďže invázne nepôvodné druhy sú jednou z príčin straty biodiverzity, majú negatívny vplyv na rybolov, </w:t>
      </w:r>
      <w:proofErr w:type="spellStart"/>
      <w:r w:rsidRPr="00A23FEF">
        <w:t>akvakultúru</w:t>
      </w:r>
      <w:proofErr w:type="spellEnd"/>
      <w:r w:rsidRPr="00A23FEF">
        <w:t xml:space="preserve"> a ekosystémové funkcie a môžu byť škodlivé pre ľudské zdravie, infraštruktúru a biologickú bezpečnosť;</w:t>
      </w:r>
    </w:p>
    <w:p w14:paraId="06F2F804" w14:textId="77777777" w:rsidR="00E9052A" w:rsidRPr="00A23FEF" w:rsidRDefault="00E9052A" w:rsidP="00E9052A">
      <w:pPr>
        <w:pStyle w:val="NormalHanging12a"/>
      </w:pPr>
      <w:r w:rsidRPr="00A23FEF">
        <w:t>K.</w:t>
      </w:r>
      <w:r w:rsidRPr="00A23FEF">
        <w:tab/>
        <w:t xml:space="preserve">keďže </w:t>
      </w:r>
      <w:proofErr w:type="spellStart"/>
      <w:r w:rsidRPr="00A23FEF">
        <w:t>akvakultúra</w:t>
      </w:r>
      <w:proofErr w:type="spellEnd"/>
      <w:r w:rsidRPr="00A23FEF">
        <w:t xml:space="preserve"> nepôvodných druhov s obmedzenými kontrolnými opatreniami predstavuje riziko, pretože tieto druhy môžu potenciálne uniknúť a stať sa inváznymi, čo predstavuje hrozbu pre pôvodné voľne žijúce druhy a životné prostredie;</w:t>
      </w:r>
    </w:p>
    <w:p w14:paraId="322157F8" w14:textId="77777777" w:rsidR="00E9052A" w:rsidRPr="00A23FEF" w:rsidRDefault="00E9052A" w:rsidP="00E9052A">
      <w:pPr>
        <w:pStyle w:val="NormalHanging12a"/>
        <w:spacing w:after="120"/>
      </w:pPr>
      <w:r w:rsidRPr="00A23FEF">
        <w:t>L.</w:t>
      </w:r>
      <w:r w:rsidRPr="00A23FEF">
        <w:tab/>
        <w:t>keďže EÚ prijala niekoľko opatrení na prevenciu introdukcie inváznych nepôvodných druhov a na odhalenie a mapovanie ich rozšírenia a boj proti ich šíreniu, okrem iného najmä nariadenie o inváznych nepôvodných druhoch, ktorým sa vytvára zoznam inváznych nepôvodných druhov vzbudzujúcich obavy Únie a presadzujú kontrolné opatrenia;</w:t>
      </w:r>
    </w:p>
    <w:p w14:paraId="44388682" w14:textId="77777777" w:rsidR="00E9052A" w:rsidRPr="00A23FEF" w:rsidRDefault="00E9052A" w:rsidP="00E9052A">
      <w:pPr>
        <w:pStyle w:val="NormalHanging12a"/>
        <w:spacing w:after="120"/>
      </w:pPr>
      <w:r w:rsidRPr="00A23FEF">
        <w:t>M.</w:t>
      </w:r>
      <w:r w:rsidRPr="00A23FEF">
        <w:tab/>
        <w:t xml:space="preserve">keďže v súlade s nariadením o inváznych nepôvodných druhoch sú invázne nepôvodné druhy tie druhy, ktorých negatívne účinky sú natoľko významné, že si vyžadujú koordinovaný a jednotný zásah na úrovni EÚ, a preto je zakázané ich </w:t>
      </w:r>
      <w:proofErr w:type="spellStart"/>
      <w:r w:rsidRPr="00A23FEF">
        <w:t>introdukovať</w:t>
      </w:r>
      <w:proofErr w:type="spellEnd"/>
      <w:r w:rsidRPr="00A23FEF">
        <w:t>, držať, šľachtiť a pestovať, prepravovať alebo obchodovať s nimi, alebo ich voľne premiestňovať alebo uvoľňovať do prírodného prostredia;</w:t>
      </w:r>
    </w:p>
    <w:p w14:paraId="478CF2A8" w14:textId="77777777" w:rsidR="00E9052A" w:rsidRPr="00A23FEF" w:rsidRDefault="00E9052A" w:rsidP="00E9052A">
      <w:pPr>
        <w:pStyle w:val="NormalHanging12a"/>
        <w:spacing w:after="120"/>
        <w:rPr>
          <w:b/>
          <w:i/>
        </w:rPr>
      </w:pPr>
      <w:r w:rsidRPr="00A23FEF">
        <w:t>N.</w:t>
      </w:r>
      <w:r w:rsidRPr="00A23FEF">
        <w:tab/>
        <w:t xml:space="preserve">keďže jedným z kvalitatívnych </w:t>
      </w:r>
      <w:proofErr w:type="spellStart"/>
      <w:r w:rsidRPr="00A23FEF">
        <w:t>deskriptorov</w:t>
      </w:r>
      <w:proofErr w:type="spellEnd"/>
      <w:r w:rsidRPr="00A23FEF">
        <w:t xml:space="preserve"> na určenie dobrého environmentálneho stavu, ako sa uvádza v rámcovej smernici o morskej stratégii, je, že nepôvodné druhy introdukované ľudskou činnosťou sa udržiavajú na úrovniach, ktoré nepriaznivo nemenia ekosystémy;</w:t>
      </w:r>
    </w:p>
    <w:p w14:paraId="0545F12D" w14:textId="77777777" w:rsidR="00E9052A" w:rsidRPr="00A23FEF" w:rsidRDefault="00E9052A" w:rsidP="00E9052A">
      <w:pPr>
        <w:pStyle w:val="NormalHanging12a"/>
      </w:pPr>
      <w:r w:rsidRPr="00A23FEF">
        <w:t>O.</w:t>
      </w:r>
      <w:r w:rsidRPr="00A23FEF">
        <w:tab/>
        <w:t>keďže riadny a včasný zber údajov je veľmi dôležitý na zabezpečenie odhalenia inváznych nepôvodných druhov a zmapovania ich šírenia, ako aj na stanovenie a vykonávanie opatrení na boj proti šíreniu týchto druhov čo najcielenejším a najúčinnejším spôsobom;</w:t>
      </w:r>
    </w:p>
    <w:p w14:paraId="6741EC2A" w14:textId="77777777" w:rsidR="00E9052A" w:rsidRPr="00A23FEF" w:rsidRDefault="00E9052A" w:rsidP="00E9052A">
      <w:pPr>
        <w:pStyle w:val="NormalHanging12a"/>
      </w:pPr>
      <w:r w:rsidRPr="00A23FEF">
        <w:t>P.</w:t>
      </w:r>
      <w:r w:rsidRPr="00A23FEF">
        <w:tab/>
        <w:t>keďže rôzne činnosti, ako je námorná doprava alebo cestovný ruch, sa považujú za dôležité vektory šírenia inváznych nepôvodných druhov, najmä v závislosti od úrovne uplatňovaných zmierňujúcich opatrení a ostražitosti;</w:t>
      </w:r>
    </w:p>
    <w:p w14:paraId="670DF686" w14:textId="77777777" w:rsidR="00E9052A" w:rsidRPr="00A23FEF" w:rsidRDefault="00E9052A" w:rsidP="00E9052A">
      <w:pPr>
        <w:pStyle w:val="NormalHanging12a"/>
      </w:pPr>
      <w:r w:rsidRPr="00A23FEF">
        <w:t>Q.</w:t>
      </w:r>
      <w:r w:rsidRPr="00A23FEF">
        <w:tab/>
        <w:t>keďže stratégia EÚ v oblasti biodiverzity obsahuje záväzok, že do roku 2030 sa budú riadiť usadené invázne nepôvodné druhy a zníži sa počet druhov z Červenej knihy, pre ktoré predstavujú ohrozenie, o 50 %;</w:t>
      </w:r>
    </w:p>
    <w:p w14:paraId="1DB768C5" w14:textId="77777777" w:rsidR="00E9052A" w:rsidRPr="00A23FEF" w:rsidRDefault="00E9052A" w:rsidP="00E9052A">
      <w:pPr>
        <w:pStyle w:val="NormalHanging12a"/>
      </w:pPr>
      <w:r w:rsidRPr="00A23FEF">
        <w:t>R.</w:t>
      </w:r>
      <w:r w:rsidRPr="00A23FEF">
        <w:tab/>
        <w:t>keďže Európska informačná sieť zhromažďujúca údaje o nepôvodných druhoch (EASIN) v súčasnosti monitoruje 12 423 nepôvodných druhov v rôznych prostrediach, z ktorých 1 440 (11,6 %) sú morské druhy; keďže od roku 2019 je 53 % morského pobrežia Európy pod tlakom inváznych nepôvodných druhov, pričom regionálne rozdiely sú výrazné: 33 % pobrežia Baltského mora, 100 % pobrežia Čierneho mora, 98 % pobrežia Stredozemného mora a 25 % pobrežia severovýchodného Atlantického oceánu;</w:t>
      </w:r>
    </w:p>
    <w:p w14:paraId="203B0B3C" w14:textId="77777777" w:rsidR="00E9052A" w:rsidRPr="00A23FEF" w:rsidRDefault="00E9052A" w:rsidP="00E9052A">
      <w:pPr>
        <w:pStyle w:val="NormalHanging12a"/>
      </w:pPr>
      <w:r w:rsidRPr="00A23FEF">
        <w:t>S.</w:t>
      </w:r>
      <w:r w:rsidRPr="00A23FEF">
        <w:tab/>
        <w:t>keďže zmena klímy, najmä otepľovanie oceánov, a zvýšený pohyb tovaru a osôb sú kľúčovými vektormi introdukcie inváznych nepôvodných druhov a môžu zintenzívniť ich vplyv na citlivé druhy, ekosystémy a následne aj rybolovné činnosti;</w:t>
      </w:r>
    </w:p>
    <w:p w14:paraId="142AC315" w14:textId="77777777" w:rsidR="00E9052A" w:rsidRPr="00A23FEF" w:rsidRDefault="00E9052A" w:rsidP="00E9052A">
      <w:pPr>
        <w:pStyle w:val="NormalHanging12a"/>
      </w:pPr>
      <w:r w:rsidRPr="00A23FEF">
        <w:lastRenderedPageBreak/>
        <w:t>T.</w:t>
      </w:r>
      <w:r w:rsidRPr="00A23FEF">
        <w:tab/>
        <w:t xml:space="preserve">keďže rozmáhajúce sa šírenie inváznych nepôvodných druhov spôsobuje značné škody na rybolove a </w:t>
      </w:r>
      <w:proofErr w:type="spellStart"/>
      <w:r w:rsidRPr="00A23FEF">
        <w:t>akvakultúre</w:t>
      </w:r>
      <w:proofErr w:type="spellEnd"/>
      <w:r w:rsidRPr="00A23FEF">
        <w:t xml:space="preserve">, a to z krátkodobého aj dlhodobého hľadiska, vrátane poškodenia rybárskeho výstroja alebo infraštruktúry </w:t>
      </w:r>
      <w:proofErr w:type="spellStart"/>
      <w:r w:rsidRPr="00A23FEF">
        <w:t>akvakultúry</w:t>
      </w:r>
      <w:proofErr w:type="spellEnd"/>
      <w:r w:rsidRPr="00A23FEF">
        <w:t xml:space="preserve">, zníženia úlovkov, znižovania prirodzeného prírastku populácií a produktivity a narušenia ekosystémov, čo ohrozuje ekologickú rovnováhu a hospodársku životaschopnosť rybárskych komunít; </w:t>
      </w:r>
    </w:p>
    <w:p w14:paraId="478ABEA4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U.</w:t>
      </w:r>
      <w:r w:rsidRPr="00A23FEF">
        <w:tab/>
        <w:t xml:space="preserve">keďže invázne nepôvodné druhy vrátane populácií cudzích predátorov ohrozujú nielen ekologickú rovnováhu, ale aj sociálnu a hospodársku životaschopnosť pobrežných rybárskych komunít, najmä rybolovu a malých a stredných </w:t>
      </w:r>
      <w:proofErr w:type="spellStart"/>
      <w:r w:rsidRPr="00A23FEF">
        <w:t>akvakultúrnych</w:t>
      </w:r>
      <w:proofErr w:type="spellEnd"/>
      <w:r w:rsidRPr="00A23FEF">
        <w:t xml:space="preserve"> podnikov;</w:t>
      </w:r>
    </w:p>
    <w:p w14:paraId="30C07464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V.</w:t>
      </w:r>
      <w:r w:rsidRPr="00A23FEF">
        <w:tab/>
        <w:t xml:space="preserve">keďže ekosystémový prístup k riadeniu rybárstva a plánovaniu a územnému riadeniu v </w:t>
      </w:r>
      <w:proofErr w:type="spellStart"/>
      <w:r w:rsidRPr="00A23FEF">
        <w:t>akvakultúre</w:t>
      </w:r>
      <w:proofErr w:type="spellEnd"/>
      <w:r w:rsidRPr="00A23FEF">
        <w:t xml:space="preserve"> môže zlepšiť odolnosť oboch odvetví a ich schopnosť prispôsobiť sa, najmä na miestnej úrovni;</w:t>
      </w:r>
    </w:p>
    <w:p w14:paraId="623DFFDC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W.</w:t>
      </w:r>
      <w:r w:rsidRPr="00A23FEF">
        <w:tab/>
        <w:t>keďže najvzdialenejšie regióny EÚ, ako sa uvádza v článku 349 ZFEÚ, čelia jedinečným výzvam a príležitostiam v súvislosti s riadením rybárstva, ochranou citlivých druhov a prevenciou inváznych druhov; keďže ukazovatele používané na meranie rovnováhy medzi rybolovnou kapacitou a rybolovnými možnosťami je nevyhnutné prispôsobiť miestnym podmienkam týchto regiónov, pričom je potrebné zohľadniť ich geografickú odľahlosť, bohatstvo a jedinečnosť ich biodiverzity, ich sociálne a hospodárske špecifiká a zásadnú úlohu miestneho odvetvia rybárstva pri zaisťovaní potravinovej bezpečnosti a podpore hospodárstva týchto regiónov;</w:t>
      </w:r>
    </w:p>
    <w:p w14:paraId="7F8D8B76" w14:textId="77777777" w:rsidR="00E9052A" w:rsidRPr="00A23FEF" w:rsidRDefault="00E9052A" w:rsidP="00E9052A">
      <w:pPr>
        <w:pStyle w:val="NormalHanging12a"/>
      </w:pPr>
      <w:r w:rsidRPr="00A23FEF">
        <w:t>X.</w:t>
      </w:r>
      <w:r w:rsidRPr="00A23FEF">
        <w:tab/>
        <w:t xml:space="preserve">keďže boj proti inváznym nepôvodným druhom si vyžaduje aj rázne medzinárodné opatrenia; keďže v Dohovore o biologickej diverzite sa problém inváznych nepôvodných druhov uznáva ako prierezová otázka a cieľom Globálneho rámca pre biodiverzitu z </w:t>
      </w:r>
      <w:proofErr w:type="spellStart"/>
      <w:r w:rsidRPr="00A23FEF">
        <w:t>Kchun-mingu</w:t>
      </w:r>
      <w:proofErr w:type="spellEnd"/>
      <w:r w:rsidRPr="00A23FEF">
        <w:t xml:space="preserve"> a Montrealu je znížiť do roku 2030 introdukciu a usadzovanie inváznych nepôvodných druhov aspoň o 50 %;</w:t>
      </w:r>
    </w:p>
    <w:p w14:paraId="742C2753" w14:textId="77777777" w:rsidR="00E9052A" w:rsidRPr="00A23FEF" w:rsidRDefault="00E9052A" w:rsidP="00E9052A">
      <w:pPr>
        <w:pStyle w:val="NormalHanging12a"/>
      </w:pPr>
      <w:r w:rsidRPr="00A23FEF">
        <w:t>Y.</w:t>
      </w:r>
      <w:r w:rsidRPr="00A23FEF">
        <w:tab/>
        <w:t>keďže úsilie o ochranu životného prostredia musia sprevádzať opatrenia na posilnenie konkurencieschopnosti európskej rybárskej flotily, na zabezpečenie ekonomickej životaschopnosti tohto odvetvia a na zabezpečenie generačnej obnovy v pobrežných spoločenstvách;</w:t>
      </w:r>
    </w:p>
    <w:p w14:paraId="5CED85EC" w14:textId="77777777" w:rsidR="00E9052A" w:rsidRPr="00A23FEF" w:rsidRDefault="00E9052A" w:rsidP="00E9052A">
      <w:pPr>
        <w:pStyle w:val="NormalHanging12a"/>
      </w:pPr>
      <w:r w:rsidRPr="00A23FEF">
        <w:t>Z.</w:t>
      </w:r>
      <w:r w:rsidRPr="00A23FEF">
        <w:tab/>
        <w:t xml:space="preserve">keďže šírenie inváznych druhov a nárast populácií predátorov v niektorých regiónoch má vplyv na ekosystém a odvetvia rybolovu a </w:t>
      </w:r>
      <w:proofErr w:type="spellStart"/>
      <w:r w:rsidRPr="00A23FEF">
        <w:t>akvakultúry</w:t>
      </w:r>
      <w:proofErr w:type="spellEnd"/>
      <w:r w:rsidRPr="00A23FEF">
        <w:t>, pričom obzvlášť zraniteľné sú malé pobrežné činnosti;</w:t>
      </w:r>
    </w:p>
    <w:p w14:paraId="1E7C4D02" w14:textId="7B4563ED" w:rsidR="00F80C6A" w:rsidRPr="00A23FEF" w:rsidRDefault="00B41194" w:rsidP="00E9052A">
      <w:pPr>
        <w:pStyle w:val="NormalHanging12a"/>
      </w:pPr>
      <w:r w:rsidRPr="00A23FEF">
        <w:t>AA</w:t>
      </w:r>
      <w:r w:rsidR="00F80C6A" w:rsidRPr="00A23FEF">
        <w:t>.</w:t>
      </w:r>
      <w:r w:rsidR="00F80C6A" w:rsidRPr="00A23FEF">
        <w:tab/>
        <w:t>keďže počas verejnej konzultácie, ktorú zorganizovala Komisia, 94 % všetkých respondentov uviedlo, že sú proti alebo dôrazne proti uvádzaniu výrobkov z tuleňov na trh a ako opatrenie na riadenie rybárstva to odmietajú; keďže 89 % respondentov uviedlo, že lov tuleňov vyvoláva značné morálne obavy</w:t>
      </w:r>
      <w:r w:rsidR="00F80C6A" w:rsidRPr="00A23FEF">
        <w:rPr>
          <w:rStyle w:val="FootnoteReference"/>
        </w:rPr>
        <w:footnoteReference w:id="16"/>
      </w:r>
      <w:r w:rsidR="00F80C6A" w:rsidRPr="00A23FEF">
        <w:t>;</w:t>
      </w:r>
    </w:p>
    <w:p w14:paraId="1F37A8CB" w14:textId="48F4061D" w:rsidR="00E9052A" w:rsidRPr="00A23FEF" w:rsidRDefault="00B41194" w:rsidP="00E9052A">
      <w:pPr>
        <w:pStyle w:val="NormalHanging12a"/>
      </w:pPr>
      <w:r w:rsidRPr="00A23FEF">
        <w:t>AB</w:t>
      </w:r>
      <w:r w:rsidR="00E9052A" w:rsidRPr="00A23FEF">
        <w:t>.</w:t>
      </w:r>
      <w:r w:rsidR="00E9052A" w:rsidRPr="00A23FEF">
        <w:tab/>
        <w:t xml:space="preserve">keďže </w:t>
      </w:r>
      <w:proofErr w:type="spellStart"/>
      <w:r w:rsidR="00E9052A" w:rsidRPr="00A23FEF">
        <w:t>Eurostat</w:t>
      </w:r>
      <w:proofErr w:type="spellEnd"/>
      <w:r w:rsidR="00E9052A" w:rsidRPr="00A23FEF">
        <w:t xml:space="preserve"> vedie komplexnú databázu dlhodobých údajov o úlovkoch rybolovu, ktorá poskytuje cenné poznatky, ktoré môžu byť podkladom pre vypracovanie účinných stratégií riadenia rybárstva a posudzovanie citlivých druhov a prispieť k systémom včasného varovania pred nepôvodnými druhmi;</w:t>
      </w:r>
    </w:p>
    <w:p w14:paraId="35534977" w14:textId="549B6C10" w:rsidR="00E9052A" w:rsidRPr="00A23FEF" w:rsidRDefault="00B41194" w:rsidP="00E9052A">
      <w:pPr>
        <w:pStyle w:val="NormalHanging12a"/>
      </w:pPr>
      <w:r w:rsidRPr="00A23FEF">
        <w:lastRenderedPageBreak/>
        <w:t>AC</w:t>
      </w:r>
      <w:r w:rsidR="00E9052A" w:rsidRPr="00A23FEF">
        <w:t>.</w:t>
      </w:r>
      <w:r w:rsidR="00E9052A" w:rsidRPr="00A23FEF">
        <w:tab/>
        <w:t>keďže k úsiliu o ochranu a riadenie môžu prispieť aj nástroje, ako sú ďalšie účinné opatrenia zamerané na ochranu jednotlivých oblastí (OECM);</w:t>
      </w:r>
    </w:p>
    <w:p w14:paraId="57362C47" w14:textId="698D8BD5" w:rsidR="00E9052A" w:rsidRPr="00A23FEF" w:rsidRDefault="00B41194" w:rsidP="00E9052A">
      <w:pPr>
        <w:pStyle w:val="NormalHanging12a"/>
        <w:rPr>
          <w:snapToGrid/>
        </w:rPr>
      </w:pPr>
      <w:r w:rsidRPr="00A23FEF">
        <w:t>AD</w:t>
      </w:r>
      <w:r w:rsidR="00E9052A" w:rsidRPr="00A23FEF">
        <w:t>.</w:t>
      </w:r>
      <w:r w:rsidR="00E9052A" w:rsidRPr="00A23FEF">
        <w:tab/>
        <w:t xml:space="preserve">keďže neexistujú žiadne priame normy EÚ týkajúce sa </w:t>
      </w:r>
      <w:proofErr w:type="spellStart"/>
      <w:r w:rsidR="00E9052A" w:rsidRPr="00A23FEF">
        <w:t>balastovej</w:t>
      </w:r>
      <w:proofErr w:type="spellEnd"/>
      <w:r w:rsidR="00E9052A" w:rsidRPr="00A23FEF">
        <w:t xml:space="preserve"> vody; keďže v pravidlách týkajúcich sa prevencie a riadenia introdukcie a šírenia inváznych nepôvodných druhov sa uznáva Medzinárodný dohovor o kontrole a riadení </w:t>
      </w:r>
      <w:proofErr w:type="spellStart"/>
      <w:r w:rsidR="00E9052A" w:rsidRPr="00A23FEF">
        <w:t>balastovej</w:t>
      </w:r>
      <w:proofErr w:type="spellEnd"/>
      <w:r w:rsidR="00E9052A" w:rsidRPr="00A23FEF">
        <w:t xml:space="preserve"> vody a sedimentov z lodí ako jedno z možných opatrení na riadenie inváznych druhov vzbudzujúcich obavy;</w:t>
      </w:r>
    </w:p>
    <w:p w14:paraId="544D75A9" w14:textId="77777777" w:rsidR="00E9052A" w:rsidRPr="00A23FEF" w:rsidRDefault="00E9052A" w:rsidP="00E9052A">
      <w:pPr>
        <w:pStyle w:val="Normal12a24b"/>
        <w:spacing w:after="360"/>
      </w:pPr>
      <w:r w:rsidRPr="00A23FEF">
        <w:rPr>
          <w:rStyle w:val="BoldItalic"/>
        </w:rPr>
        <w:t>Citlivé druhy: ukazovatele odolnosti oceánov</w:t>
      </w:r>
    </w:p>
    <w:p w14:paraId="3AA7B461" w14:textId="77777777" w:rsidR="00E9052A" w:rsidRPr="00A23FEF" w:rsidRDefault="00E9052A" w:rsidP="00E9052A">
      <w:pPr>
        <w:pStyle w:val="NormalHanging12a"/>
      </w:pPr>
      <w:r w:rsidRPr="00A23FEF">
        <w:t>1.</w:t>
      </w:r>
      <w:r w:rsidRPr="00A23FEF">
        <w:tab/>
        <w:t>zdôrazňuje, že je dôležité zabezpečiť zdravé morské ekosystémy, biotopy a druhy v EÚ;</w:t>
      </w:r>
    </w:p>
    <w:p w14:paraId="4EBFBADD" w14:textId="77777777" w:rsidR="00E9052A" w:rsidRPr="00A23FEF" w:rsidRDefault="00E9052A" w:rsidP="00E9052A">
      <w:pPr>
        <w:pStyle w:val="NormalHanging12a"/>
      </w:pPr>
      <w:r w:rsidRPr="00A23FEF">
        <w:t>2.</w:t>
      </w:r>
      <w:r w:rsidRPr="00A23FEF">
        <w:tab/>
        <w:t>zdôrazňuje jedinečnú úlohu, ktorú zohrávajú citlivé druhy v morských ekosystémoch, a environmentálne, hospodárske a sociálne prínosy vyplývajúce z ich riadenia, zachovania a ochrany;</w:t>
      </w:r>
    </w:p>
    <w:p w14:paraId="2C709105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3.</w:t>
      </w:r>
      <w:r w:rsidRPr="00A23FEF">
        <w:tab/>
        <w:t xml:space="preserve">zdôrazňuje, že mnohé citlivé druhy sú cennými ukazovateľmi zdravia morských ekosystémov, poskytujú včasné varovanie pred ekologickou nerovnováhou a prispievajú k odolnosti ekosystémov, čo má priamy vplyv na produktivitu rybolovu a </w:t>
      </w:r>
      <w:proofErr w:type="spellStart"/>
      <w:r w:rsidRPr="00A23FEF">
        <w:t>akvakultúry</w:t>
      </w:r>
      <w:proofErr w:type="spellEnd"/>
      <w:r w:rsidRPr="00A23FEF">
        <w:t>;</w:t>
      </w:r>
    </w:p>
    <w:p w14:paraId="75783365" w14:textId="77777777" w:rsidR="00E9052A" w:rsidRPr="00A23FEF" w:rsidRDefault="00E9052A" w:rsidP="00E9052A">
      <w:pPr>
        <w:pStyle w:val="NormalHanging12a"/>
      </w:pPr>
      <w:r w:rsidRPr="00A23FEF">
        <w:t>4.</w:t>
      </w:r>
      <w:r w:rsidRPr="00A23FEF">
        <w:tab/>
        <w:t>naliehavo vyzýva Komisiu a členské štáty, aby uplatňovali ekosystémový prístup k riadeniu rybárstva spolu s prístupmi, ktoré sa zameriavajú na ochranu citlivých druhov, a zároveň podporovali hospodársku a sociálnu prosperitu rybárov, ako aj zabezpečili plnenie cieľov a medzinárodných záväzkov EÚ v oblasti chránených morských oblastí a oblastí s veľkým významom pre biodiverzitu;</w:t>
      </w:r>
    </w:p>
    <w:p w14:paraId="1F58ADF1" w14:textId="77777777" w:rsidR="00E9052A" w:rsidRPr="00A23FEF" w:rsidRDefault="00E9052A" w:rsidP="00E9052A">
      <w:pPr>
        <w:pStyle w:val="NormalHanging12a"/>
      </w:pPr>
      <w:r w:rsidRPr="00A23FEF">
        <w:t>5.</w:t>
      </w:r>
      <w:r w:rsidRPr="00A23FEF">
        <w:tab/>
        <w:t>vyzýva Komisiu a členské štáty, aby zabezpečili, že zmeny v ekosystémoch spôsobené zmenou klímy budú dôsledne zohľadnené v environmentálnych hodnoteniach a riadení rybárstva;</w:t>
      </w:r>
    </w:p>
    <w:p w14:paraId="2815C0F5" w14:textId="77777777" w:rsidR="00E9052A" w:rsidRPr="00A23FEF" w:rsidRDefault="00E9052A" w:rsidP="00E9052A">
      <w:pPr>
        <w:pStyle w:val="NormalHanging12a"/>
      </w:pPr>
      <w:r w:rsidRPr="00A23FEF">
        <w:t>6.</w:t>
      </w:r>
      <w:r w:rsidRPr="00A23FEF">
        <w:tab/>
        <w:t>naliehavo vyzýva Komisiu a členské štáty, aby v súlade s článkom 3 nariadenia (EÚ) 2019/1241 znížili a podľa možnosti eliminovali náhodné úlovky citlivých morských druhov a zabezpečili, aby takéto úlovky neohrozovali stav ochrany týchto druhov;</w:t>
      </w:r>
    </w:p>
    <w:p w14:paraId="659838A4" w14:textId="77777777" w:rsidR="00E9052A" w:rsidRPr="00A23FEF" w:rsidRDefault="00E9052A" w:rsidP="00E9052A">
      <w:pPr>
        <w:pStyle w:val="NormalHanging12a"/>
      </w:pPr>
      <w:r w:rsidRPr="00A23FEF">
        <w:t>7.</w:t>
      </w:r>
      <w:r w:rsidRPr="00A23FEF">
        <w:tab/>
        <w:t>zdôrazňuje, že v posledných desaťročiach sa biotopy zmenili, čo viedlo k vymiznutiu niektorých druhov a zároveň umožnilo príchod nových druhov; v tejto súvislosti zdôrazňuje potrebu zvýšiť informovanosť občanov, a najmä rybárov, o význame zberu údajov a potrebe adaptívneho riadenia;</w:t>
      </w:r>
    </w:p>
    <w:p w14:paraId="1BC1C9EA" w14:textId="77777777" w:rsidR="00E9052A" w:rsidRPr="00A23FEF" w:rsidRDefault="00E9052A" w:rsidP="00E9052A">
      <w:pPr>
        <w:pStyle w:val="NormalHanging12a"/>
      </w:pPr>
      <w:r w:rsidRPr="00A23FEF">
        <w:t>8.</w:t>
      </w:r>
      <w:r w:rsidRPr="00A23FEF">
        <w:tab/>
        <w:t>zdôrazňuje, že na to, aby sa zabezpečilo, že ochranné opatrenia budú cielené, účinné a v súlade s potrebami špecifickými pre ekosystém a že ich vykonávanie bude účinné, sú dôležité vedecky podložené plány riadenia chránených morských oblastí vrátane ich environmentálnych, sociálnych a hospodárskych rozmerov a výsledkov; zdôrazňuje cieľ EÚ chrániť 30 % morí EÚ do roku 2030;</w:t>
      </w:r>
    </w:p>
    <w:p w14:paraId="746BE3C8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9.</w:t>
      </w:r>
      <w:r w:rsidRPr="00A23FEF">
        <w:tab/>
        <w:t>pripomína, že rybári musia byť neoddeliteľnou súčasťou riešenia a musia byť zastúpení vo všetkých poradenských orgánoch, a v tejto súvislosti zdôrazňuje, že je dôležité zabezpečiť zastúpenie všetkých rybárov, najmä drobných a tradičných rybárov; vyjadruje znepokojenie nad tým, že ich zastúpenie nie je vždy primerane zabezpečené;</w:t>
      </w:r>
    </w:p>
    <w:p w14:paraId="6A0E5E53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lastRenderedPageBreak/>
        <w:t>10.</w:t>
      </w:r>
      <w:r w:rsidRPr="00A23FEF">
        <w:tab/>
        <w:t xml:space="preserve">vyzýva Komisiu a členské štáty, aby v plnej miere využívali nástroje spoločnej rybárskej politiky (SRP), najmä technické opatrenia na riešenie interakcií v oblasti rybolovu a na posilnenie ochrany citlivých druhov, a zároveň aby zabezpečili spravodlivú a účinnú kompenzáciu pre rybárov postihnutých stratou prístupu k tradičným rybolovným oblastiam, v súlade s ustanoveniami Európskeho námorného, rybolovného a </w:t>
      </w:r>
      <w:proofErr w:type="spellStart"/>
      <w:r w:rsidRPr="00A23FEF">
        <w:t>akvakultúrneho</w:t>
      </w:r>
      <w:proofErr w:type="spellEnd"/>
      <w:r w:rsidRPr="00A23FEF">
        <w:t xml:space="preserve"> fondu; vyzýva Komisiu, aby zabezpečila vykonávanie a presadzovanie súčasných právnych predpisov;</w:t>
      </w:r>
    </w:p>
    <w:p w14:paraId="44457AEE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11.</w:t>
      </w:r>
      <w:r w:rsidRPr="00A23FEF">
        <w:tab/>
        <w:t>naliehavo vyzýva členské štáty, aby pri prideľovaní rybolovných možností v plnej miere využívali ustanovenia zakotvené v článku 17 nariadenia o SRP s cieľom motivovať rybárov, aby prijali opatrenia na minimalizáciu alebo eliminovanie vedľajších úlovkov citlivých druhov, a poskytnúť stimuly rybárskym plavidlám, ktoré používajú selektívny rybársky výstroj alebo rybolovné techniky so zníženým vplyvom na životné prostredie, s osobitným dôrazom na flotily maloobjemového rybolovu;</w:t>
      </w:r>
    </w:p>
    <w:p w14:paraId="3889E211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12.</w:t>
      </w:r>
      <w:r w:rsidRPr="00A23FEF">
        <w:tab/>
        <w:t>pripomína význam údajov zhromaždených v rámci SRP pri správnej identifikácii vplyvu rybolovu na citlivé druhy a význam lepších monitorovacích systémov v súlade s vedeckými odporúčaniami a právnymi predpismi EÚ; zdôrazňuje význam komplexných údajov o vedľajších úlovkoch rozdelených podľa druhov, ktoré umožnia prijať cielené zmierňujúce opatrenia, poskytnú informácie o stratégiách adaptívneho riadenia a uľahčia prijatie vyvážených a vedecky podložených opatrení, ktoré zohľadňujú aj sociálno-ekonomické faktory a zabezpečujú potravinovú bezpečnosť EÚ;</w:t>
      </w:r>
    </w:p>
    <w:p w14:paraId="1CB26558" w14:textId="77777777" w:rsidR="00E9052A" w:rsidRPr="00A23FEF" w:rsidRDefault="00E9052A" w:rsidP="00E9052A">
      <w:pPr>
        <w:pStyle w:val="NormalHanging12a"/>
      </w:pPr>
      <w:r w:rsidRPr="00A23FEF">
        <w:t>13.</w:t>
      </w:r>
      <w:r w:rsidRPr="00A23FEF">
        <w:tab/>
        <w:t>zdôrazňuje význam holistického prístupu vo všetkých oblastiach politiky, ktorý môže prispieť k posilneniu monitorovania, ochrany a obnovy citlivých druhov a biotopov; v tejto súvislosti zdôrazňuje význam vykonávania súčasných právnych predpisov vo všetkých príslušných oblastiach politiky, ktoré presahujú rámec tých, ktoré priamo súvisia so SRP;</w:t>
      </w:r>
    </w:p>
    <w:p w14:paraId="02E6992B" w14:textId="77777777" w:rsidR="00E9052A" w:rsidRPr="00A23FEF" w:rsidRDefault="00E9052A" w:rsidP="00E9052A">
      <w:pPr>
        <w:pStyle w:val="NormalHanging12a"/>
      </w:pPr>
      <w:r w:rsidRPr="00A23FEF">
        <w:t>14.</w:t>
      </w:r>
      <w:r w:rsidRPr="00A23FEF">
        <w:tab/>
        <w:t>vyzýva Komisiu a členské štáty, aby posilnili ekosystémové prístupy k riadeniu morského prostredia a podľa možnosti zohľadnili vzájomné ovplyvňovanie druhov a všetky tlaky na morské ekosystémy, medzi ktoré patrí zmena klímy a znečistenie, či už z pozemných alebo iných zdrojov;</w:t>
      </w:r>
    </w:p>
    <w:p w14:paraId="638EC2F0" w14:textId="77777777" w:rsidR="00E9052A" w:rsidRPr="00A23FEF" w:rsidRDefault="00E9052A" w:rsidP="00E9052A">
      <w:pPr>
        <w:pStyle w:val="NormalHanging12a"/>
      </w:pPr>
      <w:r w:rsidRPr="00A23FEF">
        <w:t>15.</w:t>
      </w:r>
      <w:r w:rsidRPr="00A23FEF">
        <w:tab/>
        <w:t>zdôrazňuje, že chránené morské oblasti, ktoré sú účinne chránené a spravované na základe najlepších dostupných vedeckých poznatkov, prispievajú v závislosti od svojich cieľov ochrany k minimalizácii náhodných úlovkov citlivých druhov, ochrane neresísk a odchovní rýb a mladých jedincov a k znižovaniu vplyvov na citlivé biotopy;</w:t>
      </w:r>
    </w:p>
    <w:p w14:paraId="76D9537E" w14:textId="77777777" w:rsidR="00E9052A" w:rsidRPr="00A23FEF" w:rsidRDefault="00E9052A" w:rsidP="00E9052A">
      <w:pPr>
        <w:pStyle w:val="NormalHanging12a"/>
      </w:pPr>
      <w:r w:rsidRPr="00A23FEF">
        <w:t>16.</w:t>
      </w:r>
      <w:r w:rsidRPr="00A23FEF">
        <w:tab/>
        <w:t>vyzýva Komisiu a členské štáty, aby posúdili veľkosť regionálnych a miestnych populácií, stav a trendy druhov a potenciálne vplyvy, ktoré môžu mať nevyvážené populácie na rybolovné činnosti, s cieľom zabezpečiť ekosystémové riadenie rybárstva vrátane opatrení na ochranu citlivých druhov;</w:t>
      </w:r>
    </w:p>
    <w:p w14:paraId="0A65059C" w14:textId="77777777" w:rsidR="00E9052A" w:rsidRPr="00A23FEF" w:rsidRDefault="00E9052A" w:rsidP="00E9052A">
      <w:pPr>
        <w:pStyle w:val="NormalHanging12a"/>
        <w:rPr>
          <w:bCs/>
          <w:iCs/>
        </w:rPr>
      </w:pPr>
      <w:r w:rsidRPr="00A23FEF">
        <w:t>17.</w:t>
      </w:r>
      <w:r w:rsidRPr="00A23FEF">
        <w:tab/>
        <w:t xml:space="preserve">vyzýva Komisiu a členské štáty, aby zvýšili podporu vedeckých programov týkajúcich sa citlivých druhov a prístupov k riadeniu, ako sa uvádza v príslušných právnych predpisoch; zdôrazňuje skutočnosť, že v niektorých regiónoch majú citlivé druhy, ako sú rastúce populácie kormoránov a tuleňov, vplyv na populácie rýb a rybolovné a </w:t>
      </w:r>
      <w:proofErr w:type="spellStart"/>
      <w:r w:rsidRPr="00A23FEF">
        <w:t>akvakultúrne</w:t>
      </w:r>
      <w:proofErr w:type="spellEnd"/>
      <w:r w:rsidRPr="00A23FEF">
        <w:t xml:space="preserve"> činnosti, ako aj na populácie iných citlivých druhov; zastáva názor, že regulačný rámec má potrebné nástroje, ktoré umožňujú zlepšenia vzhľadom na miestny stav citlivých druhov; vyzýva preto Komisiu a členské štáty, aby v rámci opatrení, ktoré </w:t>
      </w:r>
      <w:r w:rsidRPr="00A23FEF">
        <w:lastRenderedPageBreak/>
        <w:t>sa majú prijať, zvážili všetky možnosti stanovené v smernici o vtákoch a smernici o biotopoch s cieľom viac uľahčiť aktívne a účinné riadenie populácie a podporiť ekosystémové riadenie;</w:t>
      </w:r>
    </w:p>
    <w:p w14:paraId="6094D676" w14:textId="77777777" w:rsidR="00E9052A" w:rsidRPr="00A23FEF" w:rsidRDefault="00E9052A" w:rsidP="00E9052A">
      <w:pPr>
        <w:pStyle w:val="Normal12a24b"/>
        <w:ind w:left="567" w:hanging="567"/>
        <w:rPr>
          <w:bCs/>
          <w:iCs/>
        </w:rPr>
      </w:pPr>
      <w:r w:rsidRPr="00A23FEF">
        <w:t>18.</w:t>
      </w:r>
      <w:r w:rsidRPr="00A23FEF">
        <w:tab/>
        <w:t xml:space="preserve">naliehavo vyzýva Komisiu, aby zabezpečila, aby prístupy EÚ k riadeniu rybárstva boli v súlade so SRP, stratégiou EÚ v oblasti biodiverzity do roku 2030 a s medzinárodnými záväzkami EÚ, ako je Globálny rámec pre biodiverzitu z </w:t>
      </w:r>
      <w:proofErr w:type="spellStart"/>
      <w:r w:rsidRPr="00A23FEF">
        <w:t>Kchun-mingu</w:t>
      </w:r>
      <w:proofErr w:type="spellEnd"/>
      <w:r w:rsidRPr="00A23FEF">
        <w:t xml:space="preserve"> a Montrealu; v tejto súvislosti zdôrazňuje, že by sa mali prijať opatrenia na zastavenie úbytku citlivých druhov v morských ekosystémoch EÚ, a to aj prostredníctvom vykonávania vhodných ochranných opatrení a ochrany biotopov;</w:t>
      </w:r>
    </w:p>
    <w:p w14:paraId="48F44DD3" w14:textId="77777777" w:rsidR="00E9052A" w:rsidRPr="00A23FEF" w:rsidRDefault="00E9052A" w:rsidP="00E9052A">
      <w:pPr>
        <w:pStyle w:val="Normal12a24b"/>
        <w:ind w:left="567" w:hanging="567"/>
      </w:pPr>
      <w:r w:rsidRPr="00A23FEF">
        <w:t>19.</w:t>
      </w:r>
      <w:r w:rsidRPr="00A23FEF">
        <w:tab/>
        <w:t>vyzýva Komisiu, aby prijala opatrenia v regionálnych organizáciách pre riadenie rybárstva (RFMO) s cieľom znížiť a podľa možnosti eliminovať vedľajšie úlovky citlivých druhov a obmedziť obchodovanie s produktmi z morských plodov a ich dovoz a posilniť opatrenia proti nezákonnému, nenahlásenému a neregulovanému rybolovu, a to aj prostredníctvom lepšej colnej kontroly a spolupráce s partnermi RFMO;</w:t>
      </w:r>
    </w:p>
    <w:p w14:paraId="16B0C867" w14:textId="77777777" w:rsidR="00E9052A" w:rsidRPr="00A23FEF" w:rsidRDefault="00E9052A" w:rsidP="00E9052A">
      <w:pPr>
        <w:pStyle w:val="Normal12a24b"/>
        <w:spacing w:after="360"/>
      </w:pPr>
      <w:r w:rsidRPr="00A23FEF">
        <w:rPr>
          <w:rStyle w:val="BoldItalic"/>
        </w:rPr>
        <w:t>Invázne druhy: hrozby pre naše oceány a hospodárstvo</w:t>
      </w:r>
    </w:p>
    <w:p w14:paraId="1704C786" w14:textId="77777777" w:rsidR="00E9052A" w:rsidRPr="00A23FEF" w:rsidRDefault="00E9052A" w:rsidP="00E9052A">
      <w:pPr>
        <w:pStyle w:val="NormalHanging12a"/>
      </w:pPr>
      <w:r w:rsidRPr="00A23FEF">
        <w:t>20.</w:t>
      </w:r>
      <w:r w:rsidRPr="00A23FEF">
        <w:tab/>
        <w:t xml:space="preserve">zdôrazňuje, že invázne nepôvodné druhy ohrozujú rybolov a </w:t>
      </w:r>
      <w:proofErr w:type="spellStart"/>
      <w:r w:rsidRPr="00A23FEF">
        <w:t>akvakultúru</w:t>
      </w:r>
      <w:proofErr w:type="spellEnd"/>
      <w:r w:rsidRPr="00A23FEF">
        <w:t>, pôvodnú morskú biodiverzitu a ekosystémy, čím ovplyvňujú príjmy rybárov a pobrežných komunít;</w:t>
      </w:r>
    </w:p>
    <w:p w14:paraId="2D672AAF" w14:textId="77777777" w:rsidR="00E9052A" w:rsidRPr="00A23FEF" w:rsidRDefault="00E9052A" w:rsidP="00E9052A">
      <w:pPr>
        <w:pStyle w:val="NormalHanging12a"/>
      </w:pPr>
      <w:r w:rsidRPr="00A23FEF">
        <w:t>21.</w:t>
      </w:r>
      <w:r w:rsidRPr="00A23FEF">
        <w:tab/>
        <w:t xml:space="preserve">zdôrazňuje zásadný prínos maloobjemového pobrežného rybolovu pre miestne hospodárstva a potravinovú bezpečnosť EÚ, pričom zdôrazňuje, že čelí rastúcim hrozbám environmentálnych stresových faktorov, ako sú invázne druhy a zmena klímy vrátane masívneho pohybu určitých druhov, najmä v dôsledku otepľovania vôd, čo je jav, ktorý spôsobuje vážne straty, najmä pre chovateľov mäkkýšov, kôrovcov a </w:t>
      </w:r>
      <w:proofErr w:type="spellStart"/>
      <w:r w:rsidRPr="00A23FEF">
        <w:t>ostnatokožcov</w:t>
      </w:r>
      <w:proofErr w:type="spellEnd"/>
      <w:r w:rsidRPr="00A23FEF">
        <w:t>, ktorí sú dvojnásobne znevýhodnení, a to poklesom produkcie a zvýšením nákladov spojených s útokmi predátorov;</w:t>
      </w:r>
    </w:p>
    <w:p w14:paraId="69DD4E98" w14:textId="77777777" w:rsidR="00E9052A" w:rsidRPr="00A23FEF" w:rsidRDefault="00E9052A" w:rsidP="00E9052A">
      <w:pPr>
        <w:pStyle w:val="NormalHanging12a"/>
      </w:pPr>
      <w:r w:rsidRPr="00A23FEF">
        <w:t>22.</w:t>
      </w:r>
      <w:r w:rsidRPr="00A23FEF">
        <w:tab/>
        <w:t>pripomína, že v EÚ sa prísne reguluje 88 inváznych nepôvodných druhov vrátane 47 živočíšnych druhov a 41 rastlinných druhov vzbudzujúcich obavy Únie;</w:t>
      </w:r>
    </w:p>
    <w:p w14:paraId="6A1D00F2" w14:textId="77777777" w:rsidR="00E9052A" w:rsidRPr="00A23FEF" w:rsidRDefault="00E9052A" w:rsidP="00E9052A">
      <w:pPr>
        <w:pStyle w:val="NormalHanging12a"/>
      </w:pPr>
      <w:r w:rsidRPr="00A23FEF">
        <w:t>23.</w:t>
      </w:r>
      <w:r w:rsidRPr="00A23FEF">
        <w:tab/>
        <w:t xml:space="preserve">vyjadruje poľutovanie nad tým, že súčasný zoznam druhov vzbudzujúcich obavy Únie plne neuznáva hrozbu inváznych nepôvodných druhov pre rybolov, </w:t>
      </w:r>
      <w:proofErr w:type="spellStart"/>
      <w:r w:rsidRPr="00A23FEF">
        <w:t>akvakultúru</w:t>
      </w:r>
      <w:proofErr w:type="spellEnd"/>
      <w:r w:rsidRPr="00A23FEF">
        <w:t xml:space="preserve"> a morské prostredie EÚ, pretože v súčasnosti sú do zoznamu zahrnuté len dva morské druhy (</w:t>
      </w:r>
      <w:proofErr w:type="spellStart"/>
      <w:r w:rsidRPr="00A23FEF">
        <w:t>Plotosus</w:t>
      </w:r>
      <w:proofErr w:type="spellEnd"/>
      <w:r w:rsidRPr="00A23FEF">
        <w:t xml:space="preserve"> </w:t>
      </w:r>
      <w:proofErr w:type="spellStart"/>
      <w:r w:rsidRPr="00A23FEF">
        <w:t>lineatus</w:t>
      </w:r>
      <w:proofErr w:type="spellEnd"/>
      <w:r w:rsidRPr="00A23FEF">
        <w:t xml:space="preserve"> a </w:t>
      </w:r>
      <w:proofErr w:type="spellStart"/>
      <w:r w:rsidRPr="00A23FEF">
        <w:t>Rugulopteryx</w:t>
      </w:r>
      <w:proofErr w:type="spellEnd"/>
      <w:r w:rsidRPr="00A23FEF">
        <w:t xml:space="preserve"> </w:t>
      </w:r>
      <w:proofErr w:type="spellStart"/>
      <w:r w:rsidRPr="00A23FEF">
        <w:t>okamurae</w:t>
      </w:r>
      <w:proofErr w:type="spellEnd"/>
      <w:r w:rsidRPr="00A23FEF">
        <w:t xml:space="preserve">), ako aj určité druhy, ktoré sa nachádzajú v </w:t>
      </w:r>
      <w:proofErr w:type="spellStart"/>
      <w:r w:rsidRPr="00A23FEF">
        <w:t>brakických</w:t>
      </w:r>
      <w:proofErr w:type="spellEnd"/>
      <w:r w:rsidRPr="00A23FEF">
        <w:t xml:space="preserve"> prostrediach; vyzýva na zlepšenie zoznamu na základe aktuálnych vedeckých odporúčaní a posudzovania rizík;</w:t>
      </w:r>
    </w:p>
    <w:p w14:paraId="75BA3B0C" w14:textId="77777777" w:rsidR="00E9052A" w:rsidRPr="00A23FEF" w:rsidRDefault="00E9052A" w:rsidP="00E9052A">
      <w:pPr>
        <w:pStyle w:val="NormalHanging12a"/>
      </w:pPr>
      <w:r w:rsidRPr="00A23FEF">
        <w:t>24.</w:t>
      </w:r>
      <w:r w:rsidRPr="00A23FEF">
        <w:tab/>
        <w:t xml:space="preserve">poukazuje na potrebu primeraného riadenia druhov a so znepokojením berie na vedomie zvýšenú prítomnosť druhov v určitých regiónoch, ako sú: </w:t>
      </w:r>
    </w:p>
    <w:p w14:paraId="04783439" w14:textId="4450A8FE" w:rsidR="00E9052A" w:rsidRPr="00A23FEF" w:rsidRDefault="00E9052A" w:rsidP="00BB27D9">
      <w:pPr>
        <w:pStyle w:val="NormalHanging12a"/>
        <w:ind w:left="1134"/>
      </w:pPr>
      <w:r w:rsidRPr="00A23FEF">
        <w:t xml:space="preserve">a) </w:t>
      </w:r>
      <w:r w:rsidR="009354A0" w:rsidRPr="00A23FEF">
        <w:tab/>
      </w:r>
      <w:r w:rsidRPr="00A23FEF">
        <w:t>ustrice mohutné a nepôvodné druhy rakov v južnej časti Severného mora, najmä pozdĺž holandského pobrežia;</w:t>
      </w:r>
    </w:p>
    <w:p w14:paraId="127821BC" w14:textId="2FEF4219" w:rsidR="00E9052A" w:rsidRPr="00A23FEF" w:rsidRDefault="00E9052A" w:rsidP="00BB27D9">
      <w:pPr>
        <w:pStyle w:val="NormalHanging12a"/>
        <w:ind w:left="1134"/>
      </w:pPr>
      <w:r w:rsidRPr="00A23FEF">
        <w:t xml:space="preserve">b) </w:t>
      </w:r>
      <w:r w:rsidR="009354A0" w:rsidRPr="00A23FEF">
        <w:tab/>
      </w:r>
      <w:r w:rsidRPr="00A23FEF">
        <w:t xml:space="preserve">býček </w:t>
      </w:r>
      <w:proofErr w:type="spellStart"/>
      <w:r w:rsidRPr="00A23FEF">
        <w:t>čiernoústy</w:t>
      </w:r>
      <w:proofErr w:type="spellEnd"/>
      <w:r w:rsidRPr="00A23FEF">
        <w:t xml:space="preserve">, ktorý ovplyvňuje ekosystém a ohrozuje najmä krevety, </w:t>
      </w:r>
      <w:proofErr w:type="spellStart"/>
      <w:r w:rsidRPr="00A23FEF">
        <w:t>platesotvaré</w:t>
      </w:r>
      <w:proofErr w:type="spellEnd"/>
      <w:r w:rsidRPr="00A23FEF">
        <w:t xml:space="preserve"> ryby a pôvodné býčky, najmä v okolí vôd Severného mora;</w:t>
      </w:r>
    </w:p>
    <w:p w14:paraId="25B2F786" w14:textId="16B41DFC" w:rsidR="00E9052A" w:rsidRPr="00A23FEF" w:rsidRDefault="00E9052A" w:rsidP="00BB27D9">
      <w:pPr>
        <w:pStyle w:val="NormalHanging12a"/>
        <w:ind w:left="1134"/>
      </w:pPr>
      <w:r w:rsidRPr="00A23FEF">
        <w:lastRenderedPageBreak/>
        <w:t xml:space="preserve">c) </w:t>
      </w:r>
      <w:r w:rsidR="009354A0" w:rsidRPr="00A23FEF">
        <w:tab/>
      </w:r>
      <w:r w:rsidRPr="00A23FEF">
        <w:t xml:space="preserve">krab modrý, krab </w:t>
      </w:r>
      <w:proofErr w:type="spellStart"/>
      <w:r w:rsidRPr="00A23FEF">
        <w:t>Hemigrapsus</w:t>
      </w:r>
      <w:proofErr w:type="spellEnd"/>
      <w:r w:rsidRPr="00A23FEF">
        <w:t xml:space="preserve"> </w:t>
      </w:r>
      <w:proofErr w:type="spellStart"/>
      <w:r w:rsidRPr="00A23FEF">
        <w:t>takanoi</w:t>
      </w:r>
      <w:proofErr w:type="spellEnd"/>
      <w:r w:rsidRPr="00A23FEF">
        <w:t xml:space="preserve">, </w:t>
      </w:r>
      <w:proofErr w:type="spellStart"/>
      <w:r w:rsidRPr="00A23FEF">
        <w:t>rebrovka</w:t>
      </w:r>
      <w:proofErr w:type="spellEnd"/>
      <w:r w:rsidRPr="00A23FEF">
        <w:t xml:space="preserve"> (</w:t>
      </w:r>
      <w:proofErr w:type="spellStart"/>
      <w:r w:rsidRPr="00A23FEF">
        <w:t>Ctenophora</w:t>
      </w:r>
      <w:proofErr w:type="spellEnd"/>
      <w:r w:rsidRPr="00A23FEF">
        <w:t xml:space="preserve">) a medúza </w:t>
      </w:r>
      <w:proofErr w:type="spellStart"/>
      <w:r w:rsidRPr="00A23FEF">
        <w:t>Gonionemus</w:t>
      </w:r>
      <w:proofErr w:type="spellEnd"/>
      <w:r w:rsidRPr="00A23FEF">
        <w:t xml:space="preserve"> </w:t>
      </w:r>
      <w:proofErr w:type="spellStart"/>
      <w:r w:rsidRPr="00A23FEF">
        <w:t>vertens</w:t>
      </w:r>
      <w:proofErr w:type="spellEnd"/>
      <w:r w:rsidRPr="00A23FEF">
        <w:t xml:space="preserve"> v severovýchodnom Atlantiku;</w:t>
      </w:r>
    </w:p>
    <w:p w14:paraId="5DCE9B6E" w14:textId="2F22D0BA" w:rsidR="00E9052A" w:rsidRPr="00A23FEF" w:rsidRDefault="00E9052A" w:rsidP="00BB27D9">
      <w:pPr>
        <w:pStyle w:val="NormalHanging12a"/>
        <w:ind w:left="1134"/>
      </w:pPr>
      <w:r w:rsidRPr="00A23FEF">
        <w:t xml:space="preserve">d) </w:t>
      </w:r>
      <w:r w:rsidR="009354A0" w:rsidRPr="00A23FEF">
        <w:tab/>
      </w:r>
      <w:proofErr w:type="spellStart"/>
      <w:r w:rsidRPr="00A23FEF">
        <w:t>krídlovec</w:t>
      </w:r>
      <w:proofErr w:type="spellEnd"/>
      <w:r w:rsidRPr="00A23FEF">
        <w:t xml:space="preserve"> ohnivý, </w:t>
      </w:r>
      <w:proofErr w:type="spellStart"/>
      <w:r w:rsidRPr="00A23FEF">
        <w:t>Fistularia</w:t>
      </w:r>
      <w:proofErr w:type="spellEnd"/>
      <w:r w:rsidRPr="00A23FEF">
        <w:t xml:space="preserve"> </w:t>
      </w:r>
      <w:proofErr w:type="spellStart"/>
      <w:r w:rsidRPr="00A23FEF">
        <w:t>commersonii</w:t>
      </w:r>
      <w:proofErr w:type="spellEnd"/>
      <w:r w:rsidRPr="00A23FEF">
        <w:t xml:space="preserve"> a </w:t>
      </w:r>
      <w:proofErr w:type="spellStart"/>
      <w:r w:rsidRPr="00A23FEF">
        <w:t>Lagocephalus</w:t>
      </w:r>
      <w:proofErr w:type="spellEnd"/>
      <w:r w:rsidRPr="00A23FEF">
        <w:t xml:space="preserve"> </w:t>
      </w:r>
      <w:proofErr w:type="spellStart"/>
      <w:r w:rsidRPr="00A23FEF">
        <w:t>sceleratus</w:t>
      </w:r>
      <w:proofErr w:type="spellEnd"/>
      <w:r w:rsidRPr="00A23FEF">
        <w:t xml:space="preserve"> v okolí Grécka a Cypru;</w:t>
      </w:r>
    </w:p>
    <w:p w14:paraId="5A2DBD4D" w14:textId="31BD13DB" w:rsidR="00E9052A" w:rsidRPr="00A23FEF" w:rsidRDefault="00E9052A" w:rsidP="00BB27D9">
      <w:pPr>
        <w:pStyle w:val="NormalHanging12a"/>
        <w:ind w:left="1134"/>
      </w:pPr>
      <w:r w:rsidRPr="00A23FEF">
        <w:t xml:space="preserve">e) </w:t>
      </w:r>
      <w:r w:rsidR="009354A0" w:rsidRPr="00A23FEF">
        <w:tab/>
      </w:r>
      <w:proofErr w:type="spellStart"/>
      <w:r w:rsidRPr="00A23FEF">
        <w:t>dresseina</w:t>
      </w:r>
      <w:proofErr w:type="spellEnd"/>
      <w:r w:rsidRPr="00A23FEF">
        <w:t xml:space="preserve"> </w:t>
      </w:r>
      <w:proofErr w:type="spellStart"/>
      <w:r w:rsidRPr="00A23FEF">
        <w:t>polymorpha</w:t>
      </w:r>
      <w:proofErr w:type="spellEnd"/>
      <w:r w:rsidRPr="00A23FEF">
        <w:t xml:space="preserve"> zavlečená do rieky </w:t>
      </w:r>
      <w:proofErr w:type="spellStart"/>
      <w:r w:rsidRPr="00A23FEF">
        <w:t>Ebro</w:t>
      </w:r>
      <w:proofErr w:type="spellEnd"/>
      <w:r w:rsidRPr="00A23FEF">
        <w:t xml:space="preserve"> a sumec západný (</w:t>
      </w:r>
      <w:proofErr w:type="spellStart"/>
      <w:r w:rsidRPr="00A23FEF">
        <w:t>Silurus</w:t>
      </w:r>
      <w:proofErr w:type="spellEnd"/>
      <w:r w:rsidRPr="00A23FEF">
        <w:t xml:space="preserve"> </w:t>
      </w:r>
      <w:proofErr w:type="spellStart"/>
      <w:r w:rsidRPr="00A23FEF">
        <w:t>glanis</w:t>
      </w:r>
      <w:proofErr w:type="spellEnd"/>
      <w:r w:rsidRPr="00A23FEF">
        <w:t>) v Španielsku;</w:t>
      </w:r>
    </w:p>
    <w:p w14:paraId="27C413DB" w14:textId="1A7384E6" w:rsidR="00E9052A" w:rsidRPr="00A23FEF" w:rsidRDefault="00E9052A" w:rsidP="00BB27D9">
      <w:pPr>
        <w:pStyle w:val="NormalHanging12a"/>
        <w:ind w:left="1134"/>
      </w:pPr>
      <w:r w:rsidRPr="00A23FEF">
        <w:t xml:space="preserve">f) </w:t>
      </w:r>
      <w:r w:rsidR="009354A0" w:rsidRPr="00A23FEF">
        <w:tab/>
      </w:r>
      <w:r w:rsidRPr="00A23FEF">
        <w:t xml:space="preserve">ázijské riasy </w:t>
      </w:r>
      <w:proofErr w:type="spellStart"/>
      <w:r w:rsidRPr="00A23FEF">
        <w:t>Rugulopteryx</w:t>
      </w:r>
      <w:proofErr w:type="spellEnd"/>
      <w:r w:rsidRPr="00A23FEF">
        <w:t xml:space="preserve"> </w:t>
      </w:r>
      <w:proofErr w:type="spellStart"/>
      <w:r w:rsidRPr="00A23FEF">
        <w:t>okamurae</w:t>
      </w:r>
      <w:proofErr w:type="spellEnd"/>
      <w:r w:rsidRPr="00A23FEF">
        <w:t>, najmä v západnej časti Stredozemného mora;</w:t>
      </w:r>
    </w:p>
    <w:p w14:paraId="283A8D14" w14:textId="77777777" w:rsidR="00E9052A" w:rsidRPr="00A23FEF" w:rsidRDefault="00E9052A" w:rsidP="00E9052A">
      <w:pPr>
        <w:pStyle w:val="NormalHanging12a"/>
      </w:pPr>
      <w:r w:rsidRPr="00A23FEF">
        <w:t>25.</w:t>
      </w:r>
      <w:r w:rsidRPr="00A23FEF">
        <w:tab/>
        <w:t>vyzýva Komisiu a členské štáty, aby vytvorili osobitné regionálne systémy monitorovania pre jednotlivé druhy vrátane koordinovaných stratégií včasného varovania a reakcie, pokiaľ ide o nepôvodné druhy, ktoré ovplyvňujú hospodársky významné biotopy;</w:t>
      </w:r>
    </w:p>
    <w:p w14:paraId="69430DE8" w14:textId="77777777" w:rsidR="00E9052A" w:rsidRPr="00A23FEF" w:rsidRDefault="00E9052A" w:rsidP="00E9052A">
      <w:pPr>
        <w:pStyle w:val="NormalHanging12a"/>
      </w:pPr>
      <w:r w:rsidRPr="00A23FEF">
        <w:t>26.</w:t>
      </w:r>
      <w:r w:rsidRPr="00A23FEF">
        <w:tab/>
        <w:t>vyjadruje poľutovanie nad nedostatkom osobitných programov monitorovania morských inváznych nepôvodných druhov a vyzýva na zlepšenie metód monitorovania a harmonizáciu ukazovateľov v celej EÚ, ako aj na zvýšenie technickej a finančnej podpory, najmä pre najvzdialenejšie regióny, ktoré si vyžadujú osobitné dodatočné financovanie z dôvodu ich jedinečnej biodiverzity a ich odľahlosti;</w:t>
      </w:r>
    </w:p>
    <w:p w14:paraId="4C796EB9" w14:textId="77777777" w:rsidR="00E9052A" w:rsidRPr="00A23FEF" w:rsidRDefault="00E9052A" w:rsidP="00E9052A">
      <w:pPr>
        <w:pStyle w:val="Normal6a"/>
        <w:ind w:left="567" w:hanging="567"/>
      </w:pPr>
      <w:r w:rsidRPr="00A23FEF">
        <w:t>27.</w:t>
      </w:r>
      <w:r w:rsidRPr="00A23FEF">
        <w:tab/>
        <w:t xml:space="preserve">odporúča stanoviť metodiku a hodnoty stanovovania prahov pre všetky európske morské regióny a subregióny s prihliadnutím na vplyv na rybolov a </w:t>
      </w:r>
      <w:proofErr w:type="spellStart"/>
      <w:r w:rsidRPr="00A23FEF">
        <w:t>akvakultúru</w:t>
      </w:r>
      <w:proofErr w:type="spellEnd"/>
      <w:r w:rsidRPr="00A23FEF">
        <w:t xml:space="preserve">, zvládnuteľnosť priebehu a potrebu prísnejšie kontrolovať flotily EÚ a flotily tretích krajín, zameriavať sa na invázne druhy a presadzovať Medzinárodný dohovor o kontrole a riadení </w:t>
      </w:r>
      <w:proofErr w:type="spellStart"/>
      <w:r w:rsidRPr="00A23FEF">
        <w:t>balastovej</w:t>
      </w:r>
      <w:proofErr w:type="spellEnd"/>
      <w:r w:rsidRPr="00A23FEF">
        <w:t xml:space="preserve"> vody a sedimentov z lodí a uplatňovať usmernenia týkajúce sa znečistenia trupov lodí;</w:t>
      </w:r>
    </w:p>
    <w:p w14:paraId="69998932" w14:textId="77777777" w:rsidR="00E9052A" w:rsidRPr="00A23FEF" w:rsidRDefault="00E9052A" w:rsidP="00E9052A">
      <w:pPr>
        <w:pStyle w:val="NormalHanging12a"/>
      </w:pPr>
      <w:r w:rsidRPr="00A23FEF">
        <w:t>28.</w:t>
      </w:r>
      <w:r w:rsidRPr="00A23FEF">
        <w:tab/>
        <w:t xml:space="preserve">zdôrazňuje potenciálne prepojenia medzi inváznymi nepôvodnými druhmi zavedenými v suchozemských a sladkovodných ekosystémoch a ekosystémoch v oceánoch a moriach a ich vplyv na rybolov a </w:t>
      </w:r>
      <w:proofErr w:type="spellStart"/>
      <w:r w:rsidRPr="00A23FEF">
        <w:t>akvakultúru</w:t>
      </w:r>
      <w:proofErr w:type="spellEnd"/>
      <w:r w:rsidRPr="00A23FEF">
        <w:t>; vyzýva Komisiu, aby vypracovala komplexnú stratégiu na riešenie toho problému;</w:t>
      </w:r>
    </w:p>
    <w:p w14:paraId="423122C6" w14:textId="77777777" w:rsidR="00E9052A" w:rsidRPr="00A23FEF" w:rsidRDefault="00E9052A" w:rsidP="00E9052A">
      <w:pPr>
        <w:pStyle w:val="NormalHanging12a"/>
      </w:pPr>
      <w:r w:rsidRPr="00A23FEF">
        <w:t>29.</w:t>
      </w:r>
      <w:r w:rsidRPr="00A23FEF">
        <w:tab/>
        <w:t xml:space="preserve">zdôrazňuje, že holistický, preventívny a mnohostranný prístup k riadeniu založený na spôsoboch introdukcie je absolútnou prioritou pri účinnom predchádzaní introdukcie morských inváznych nepôvodných druhov a pri riešení ich šírenia a základných príčin ich proliferácie; nabáda členské štáty, aby zvýšili využívanie mapovania trendov a nových techník, ako je </w:t>
      </w:r>
      <w:proofErr w:type="spellStart"/>
      <w:r w:rsidRPr="00A23FEF">
        <w:t>eDNA</w:t>
      </w:r>
      <w:proofErr w:type="spellEnd"/>
      <w:r w:rsidRPr="00A23FEF">
        <w:t xml:space="preserve">, umelá inteligencia a automatizované monitorovanie, ako aj zapojenie rybárov, rekreačných rybárov, pobrežných komunít a občianskej vedy ako nástrojov a zdrojov na uprednostňovanie nových a vznikajúcich inváznych nepôvodných druhov predstavujúcich vysoké riziko pre rybolov a </w:t>
      </w:r>
      <w:proofErr w:type="spellStart"/>
      <w:r w:rsidRPr="00A23FEF">
        <w:t>akvakultúru</w:t>
      </w:r>
      <w:proofErr w:type="spellEnd"/>
      <w:r w:rsidRPr="00A23FEF">
        <w:t>; naliehavo vyzýva Komisiu, aby uplatňovala tento integrovaný prístup pri vykonávaní Európskeho oceánskeho paktu s cieľom zabezpečiť koordinované opatrenia vo všetkých odvetviach a členských štátoch;</w:t>
      </w:r>
    </w:p>
    <w:p w14:paraId="720FD713" w14:textId="0EAE1CB8" w:rsidR="00E9052A" w:rsidRPr="00A23FEF" w:rsidRDefault="00E9052A" w:rsidP="00E9052A">
      <w:pPr>
        <w:pStyle w:val="NormalHanging12a"/>
      </w:pPr>
      <w:r w:rsidRPr="00A23FEF">
        <w:t>30.</w:t>
      </w:r>
      <w:r w:rsidRPr="00A23FEF">
        <w:tab/>
        <w:t xml:space="preserve">vyzýva členské štáty, aby posilnili komunikáciu, koordináciu a spoluprácu – a to najmä v cezhraničných oblastiach – a zároveň využívali biologickú bezpečnosť s cieľom rýchle zaviesť opatrenia zamerané na včasné odhalenie a rýchlu </w:t>
      </w:r>
      <w:proofErr w:type="spellStart"/>
      <w:r w:rsidRPr="00A23FEF">
        <w:t>eradikáciu</w:t>
      </w:r>
      <w:proofErr w:type="spellEnd"/>
      <w:r w:rsidRPr="00A23FEF">
        <w:t xml:space="preserve"> morských inváznych nepôvodných druhov, ako aj riadiť už rozšírené druhy; okrem toho vyzýva Komisiu, aby spolupracovala s členskými štátmi na rozšírení týchto opatrení </w:t>
      </w:r>
      <w:r w:rsidRPr="00A23FEF">
        <w:lastRenderedPageBreak/>
        <w:t>prostredníctvom spolupráce s tretími krajinami, ktoré sú súčasťou rovnakej morskej oblasti;</w:t>
      </w:r>
    </w:p>
    <w:p w14:paraId="64BAE93D" w14:textId="77777777" w:rsidR="00E9052A" w:rsidRPr="00A23FEF" w:rsidRDefault="00E9052A" w:rsidP="00E9052A">
      <w:pPr>
        <w:pStyle w:val="NormalHanging12a"/>
      </w:pPr>
      <w:r w:rsidRPr="00A23FEF">
        <w:t>31.</w:t>
      </w:r>
      <w:r w:rsidRPr="00A23FEF">
        <w:tab/>
        <w:t>odporúča zintenzívniť spoluprácu medzi vedeckými inštitúciami a agentúrami EÚ s cieľom zlepšiť prenos vedomostí a aplikovaný výskum v oblasti šírenia, vplyvu a kontroly inváznych morských druhov;</w:t>
      </w:r>
    </w:p>
    <w:p w14:paraId="7192B461" w14:textId="77777777" w:rsidR="00E9052A" w:rsidRPr="00A23FEF" w:rsidRDefault="00E9052A" w:rsidP="00E9052A">
      <w:pPr>
        <w:pStyle w:val="NormalHanging12a"/>
      </w:pPr>
      <w:r w:rsidRPr="00A23FEF">
        <w:t>32.</w:t>
      </w:r>
      <w:r w:rsidRPr="00A23FEF">
        <w:tab/>
        <w:t xml:space="preserve">zdôrazňuje, že najmä Stredozemné more, ktoré sa podľa Organizácie OSN pre výživu a poľnohospodárstvo otepľuje o 20 % rýchlejšie ako zvyšok sveta, je obzvlášť problémovou oblasťou, v ktorej sa nachádza viac inváznych nepôvodných druhov než v ktoromkoľvek inom mori na svete, čo má významný negatívny vplyv na morské ekosystémy a odvetvia rybolovu a </w:t>
      </w:r>
      <w:proofErr w:type="spellStart"/>
      <w:r w:rsidRPr="00A23FEF">
        <w:t>akvakultúry</w:t>
      </w:r>
      <w:proofErr w:type="spellEnd"/>
      <w:r w:rsidRPr="00A23FEF">
        <w:t>, a vyžaduje si preto osobitnú pozornosť; v tejto súvislosti naliehavo vyzýva Komisiu a členské štáty, aby vyčlenili dodatočné zdroje a zaviedli naliehavé opatrenia na zastavenie šírenia týchto druhov v tejto morskej oblasti;</w:t>
      </w:r>
    </w:p>
    <w:p w14:paraId="241EEAAC" w14:textId="77777777" w:rsidR="00E9052A" w:rsidRPr="00A23FEF" w:rsidRDefault="00E9052A" w:rsidP="00E9052A">
      <w:pPr>
        <w:pStyle w:val="NormalHanging12a"/>
      </w:pPr>
      <w:r w:rsidRPr="00A23FEF">
        <w:t>33.</w:t>
      </w:r>
      <w:r w:rsidRPr="00A23FEF">
        <w:tab/>
        <w:t>vyzýva Komisiu, aby podporila Všeobecnú rybársku komisiu pre Stredozemné more v jej iniciatívach vedeckého monitorovania a pilotných projektoch zameraných na riešenie problémov spôsobených inváznymi morskými druhmi;</w:t>
      </w:r>
    </w:p>
    <w:p w14:paraId="511D7EA8" w14:textId="77777777" w:rsidR="00E9052A" w:rsidRPr="00A23FEF" w:rsidRDefault="00E9052A" w:rsidP="00E9052A">
      <w:pPr>
        <w:pStyle w:val="NormalHanging12a"/>
      </w:pPr>
      <w:r w:rsidRPr="00A23FEF">
        <w:t xml:space="preserve">34. </w:t>
      </w:r>
      <w:r w:rsidRPr="00A23FEF">
        <w:tab/>
        <w:t xml:space="preserve">vyzýva Komisiu, aby v rámci Európskeho námorného, rybolovného a </w:t>
      </w:r>
      <w:proofErr w:type="spellStart"/>
      <w:r w:rsidRPr="00A23FEF">
        <w:t>akvakultúrneho</w:t>
      </w:r>
      <w:proofErr w:type="spellEnd"/>
      <w:r w:rsidRPr="00A23FEF">
        <w:t xml:space="preserve"> fondu a iných rozpočtových programov poskytla osobitné finančné prostriedky na podporu výskumu, prevencie a </w:t>
      </w:r>
      <w:proofErr w:type="spellStart"/>
      <w:r w:rsidRPr="00A23FEF">
        <w:t>eradikácie</w:t>
      </w:r>
      <w:proofErr w:type="spellEnd"/>
      <w:r w:rsidRPr="00A23FEF">
        <w:t xml:space="preserve"> inváznych druhov alebo, ak </w:t>
      </w:r>
      <w:proofErr w:type="spellStart"/>
      <w:r w:rsidRPr="00A23FEF">
        <w:t>eradikácia</w:t>
      </w:r>
      <w:proofErr w:type="spellEnd"/>
      <w:r w:rsidRPr="00A23FEF">
        <w:t xml:space="preserve"> nie je uskutočniteľná, na riadenie ich šírenia a obnovu po vplyve tohto šírenia, a to v spolupráci s rybármi, miestnymi orgánmi a vedeckými organizáciami; opätovne potvrdzuje svoje presvedčenie, že takéto financovanie by malo byť k dispozícii v budúcom viacročnom finančnom rámci;</w:t>
      </w:r>
    </w:p>
    <w:p w14:paraId="7390D961" w14:textId="77777777" w:rsidR="00E9052A" w:rsidRPr="00A23FEF" w:rsidRDefault="00E9052A" w:rsidP="00E9052A">
      <w:pPr>
        <w:pStyle w:val="NormalHanging12a"/>
      </w:pPr>
      <w:r w:rsidRPr="00A23FEF">
        <w:t>35.</w:t>
      </w:r>
      <w:r w:rsidRPr="00A23FEF">
        <w:tab/>
        <w:t xml:space="preserve">zdôrazňuje význam oznamovacieho systému EASIN, najmä pre včasné a komplexné podávanie správ o nových odhaleniach, </w:t>
      </w:r>
      <w:proofErr w:type="spellStart"/>
      <w:r w:rsidRPr="00A23FEF">
        <w:t>eradikačných</w:t>
      </w:r>
      <w:proofErr w:type="spellEnd"/>
      <w:r w:rsidRPr="00A23FEF">
        <w:t xml:space="preserve"> opatreniach a odhaleniach úradných kontrol; naliehavo vyzýva členské štáty, aby posilnili systém poskytovaním dodatočných informácií, predovšetkým údajov o rozšírení druhov, najmä prostredníctvom informácií od rybárov, výrobcov v oblasti </w:t>
      </w:r>
      <w:proofErr w:type="spellStart"/>
      <w:r w:rsidRPr="00A23FEF">
        <w:t>akvakultúry</w:t>
      </w:r>
      <w:proofErr w:type="spellEnd"/>
      <w:r w:rsidRPr="00A23FEF">
        <w:t xml:space="preserve"> a všetkých ďalších zainteresovaných strán;</w:t>
      </w:r>
    </w:p>
    <w:p w14:paraId="16F06317" w14:textId="77777777" w:rsidR="00E9052A" w:rsidRPr="00A23FEF" w:rsidRDefault="00E9052A" w:rsidP="00E9052A">
      <w:pPr>
        <w:pStyle w:val="NormalHanging12a"/>
        <w:spacing w:after="120"/>
      </w:pPr>
      <w:r w:rsidRPr="00A23FEF">
        <w:t>36.</w:t>
      </w:r>
      <w:r w:rsidRPr="00A23FEF">
        <w:tab/>
        <w:t xml:space="preserve">pripomína medzinárodný rozmer inváznych nepôvodných druhov a navrhuje, aby EÚ v tejto súvislosti posilnila svoje opatrenia s využitím všetkých dostupných medzinárodných fór, a najmä regionálnych organizácií pre riadenie rybárstva, Dohovoru o biologickej diverzite a Globálneho rámca pre biodiverzitu z </w:t>
      </w:r>
      <w:proofErr w:type="spellStart"/>
      <w:r w:rsidRPr="00A23FEF">
        <w:t>Kchun-mingu</w:t>
      </w:r>
      <w:proofErr w:type="spellEnd"/>
      <w:r w:rsidRPr="00A23FEF">
        <w:t xml:space="preserve"> a Montrealu; vyzýva EÚ, aby posilnila spoluprácu v oblasti výmeny poznatkov a vzájomného učenia s inými medzinárodnými organizáciami a krajinami mimo EÚ;</w:t>
      </w:r>
    </w:p>
    <w:p w14:paraId="1F161EC8" w14:textId="77777777" w:rsidR="00E9052A" w:rsidRPr="00A23FEF" w:rsidRDefault="00E9052A" w:rsidP="00E9052A">
      <w:pPr>
        <w:pStyle w:val="Normal12a24b"/>
        <w:ind w:left="567" w:hanging="567"/>
      </w:pPr>
      <w:r w:rsidRPr="00A23FEF">
        <w:t>37.</w:t>
      </w:r>
      <w:r w:rsidRPr="00A23FEF">
        <w:tab/>
        <w:t>zdôrazňuje potenciál spolupráce s tretími krajinami, ktoré sa nachádzajú v spoločnej morskej oblasti, a to aj prostredníctvom regionálnych organizácií pre riadenie rybárstva, s cieľom zdieľať najlepšie postupy, mobilizovať investície a stanoviť spoločné ciele na riešenie vplyvu inváznych nepôvodných druhov;</w:t>
      </w:r>
    </w:p>
    <w:p w14:paraId="2EA7A5B1" w14:textId="77777777" w:rsidR="00E9052A" w:rsidRPr="00A23FEF" w:rsidRDefault="00E9052A" w:rsidP="00E9052A">
      <w:pPr>
        <w:pStyle w:val="Normal12a24b"/>
        <w:spacing w:after="360"/>
      </w:pPr>
      <w:r w:rsidRPr="00A23FEF">
        <w:rPr>
          <w:rStyle w:val="BoldItalic"/>
        </w:rPr>
        <w:t>Príležitosti a výzvy pre pobrežné komunity</w:t>
      </w:r>
    </w:p>
    <w:p w14:paraId="708C3244" w14:textId="77777777" w:rsidR="00E9052A" w:rsidRPr="00A23FEF" w:rsidRDefault="00E9052A" w:rsidP="00E9052A">
      <w:pPr>
        <w:pStyle w:val="NormalHanging12a"/>
      </w:pPr>
      <w:r w:rsidRPr="00A23FEF">
        <w:lastRenderedPageBreak/>
        <w:t>38.</w:t>
      </w:r>
      <w:r w:rsidRPr="00A23FEF">
        <w:tab/>
        <w:t xml:space="preserve">zdôrazňuje, že invázne nepôvodné druhy majú významný negatívny vplyv na morskú biodiverzitu a ekosystémy, na činnosti modrého hospodárstva vrátane rybolovu a </w:t>
      </w:r>
      <w:proofErr w:type="spellStart"/>
      <w:r w:rsidRPr="00A23FEF">
        <w:t>akvakultúry</w:t>
      </w:r>
      <w:proofErr w:type="spellEnd"/>
      <w:r w:rsidRPr="00A23FEF">
        <w:t xml:space="preserve"> a na iné hospodárske činnosti, ktoré nesúvisia s morom, a na pobrežné komunity a spoločnosť ako celok; považuje za nevyhnutné zvážiť širšie sociálne, hospodárske a kultúrne dôsledky inváznych nepôvodných druhov nad rámec straty biodiverzity a účinkov na ekosystémy, s cieľom účinne predchádzať novým inváziám a vykonávať úspešné zmierňujúce opatrenia;</w:t>
      </w:r>
    </w:p>
    <w:p w14:paraId="4D715908" w14:textId="77777777" w:rsidR="00E9052A" w:rsidRPr="00A23FEF" w:rsidRDefault="00E9052A" w:rsidP="00E9052A">
      <w:pPr>
        <w:pStyle w:val="NormalHanging12a"/>
      </w:pPr>
      <w:r w:rsidRPr="00A23FEF">
        <w:t>39.</w:t>
      </w:r>
      <w:r w:rsidRPr="00A23FEF">
        <w:tab/>
        <w:t xml:space="preserve">naliehavo vyzýva Komisiu, aby vypracovala osobitný ukazovateľ pre citlivé a invázne druhy v moriach EÚ – a aby pritom zohľadnila zoznamy, ako je Červená kniha IUCN –, ktorý by sa zahrnul do publikácií </w:t>
      </w:r>
      <w:proofErr w:type="spellStart"/>
      <w:r w:rsidRPr="00A23FEF">
        <w:t>Eurostatu</w:t>
      </w:r>
      <w:proofErr w:type="spellEnd"/>
      <w:r w:rsidRPr="00A23FEF">
        <w:t xml:space="preserve"> týkajúcich sa cieľov udržateľného rozvoja, aby bolo možné lepšie monitorovať úsilie o ochranu;</w:t>
      </w:r>
    </w:p>
    <w:p w14:paraId="10716B57" w14:textId="77777777" w:rsidR="00E9052A" w:rsidRPr="00A23FEF" w:rsidRDefault="00E9052A" w:rsidP="00E9052A">
      <w:pPr>
        <w:pStyle w:val="NormalHanging12a"/>
      </w:pPr>
      <w:r w:rsidRPr="00A23FEF">
        <w:t>40.</w:t>
      </w:r>
      <w:r w:rsidRPr="00A23FEF">
        <w:tab/>
        <w:t>vyzýva Komisiu, aby do budúcich projektov európskych výskumných a inovačných programov začlenila financovanie výskumu inváznych nepôvodných druhov a riešení šetrných k životnému prostrediu v záujme ich udržateľného riadenia a kontroly;</w:t>
      </w:r>
    </w:p>
    <w:p w14:paraId="6A2F9D81" w14:textId="77777777" w:rsidR="00E9052A" w:rsidRPr="00A23FEF" w:rsidRDefault="00E9052A" w:rsidP="00E9052A">
      <w:pPr>
        <w:pStyle w:val="NormalHanging12a"/>
      </w:pPr>
      <w:r w:rsidRPr="00A23FEF">
        <w:t>41.</w:t>
      </w:r>
      <w:r w:rsidRPr="00A23FEF">
        <w:tab/>
        <w:t xml:space="preserve">zdôrazňuje, že je dôležité podporovať dotknutých prevádzkovateľov rybolovu a </w:t>
      </w:r>
      <w:proofErr w:type="spellStart"/>
      <w:r w:rsidRPr="00A23FEF">
        <w:t>akvakultúry</w:t>
      </w:r>
      <w:proofErr w:type="spellEnd"/>
      <w:r w:rsidRPr="00A23FEF">
        <w:t xml:space="preserve"> prostredníctvom kompenzačných systémov a adaptačných fondov v súlade s existujúcimi finančnými ustanoveniami, najmä v oblastiach, ktoré čelia priamym hospodárskym stratám v dôsledku inváznych druhov; zdôrazňuje, že je potrebné poskytnúť cielené finančné a regulačné stimuly na podporu cielených činností v oblasti </w:t>
      </w:r>
      <w:proofErr w:type="spellStart"/>
      <w:r w:rsidRPr="00A23FEF">
        <w:t>odlovu</w:t>
      </w:r>
      <w:proofErr w:type="spellEnd"/>
      <w:r w:rsidRPr="00A23FEF">
        <w:t xml:space="preserve"> a odstraňovania inváznych druhov miestnymi rybármi v pobrežných vodách a na vnútrozemských vodných tokoch ako prostriedok na zníženie ekologického tlaku a zároveň na podporu miestnych zdrojov obživy; zdôrazňuje možnú úlohu, ktorú môžu zohrávať systémy poistenia pri riešení tejto otázky, najmä pokiaľ ide o dôsledky pre chovateľov mäkkýšov, kôrovcov a </w:t>
      </w:r>
      <w:proofErr w:type="spellStart"/>
      <w:r w:rsidRPr="00A23FEF">
        <w:t>ostnatokožcov</w:t>
      </w:r>
      <w:proofErr w:type="spellEnd"/>
      <w:r w:rsidRPr="00A23FEF">
        <w:t xml:space="preserve">, výrobcov v oblasti </w:t>
      </w:r>
      <w:proofErr w:type="spellStart"/>
      <w:r w:rsidRPr="00A23FEF">
        <w:t>akvakultúry</w:t>
      </w:r>
      <w:proofErr w:type="spellEnd"/>
      <w:r w:rsidRPr="00A23FEF">
        <w:t xml:space="preserve"> a rybárov;</w:t>
      </w:r>
    </w:p>
    <w:p w14:paraId="3FBA40D8" w14:textId="77777777" w:rsidR="00E9052A" w:rsidRPr="00A23FEF" w:rsidRDefault="00E9052A" w:rsidP="00E9052A">
      <w:pPr>
        <w:pStyle w:val="NormalHanging12a"/>
      </w:pPr>
      <w:r w:rsidRPr="00A23FEF">
        <w:t>42.</w:t>
      </w:r>
      <w:r w:rsidRPr="00A23FEF">
        <w:tab/>
        <w:t xml:space="preserve">vyzýva členské štáty a Komisiu, aby vypracovali kampane na zvyšovanie informovanosti s cieľom informovať a zapojiť rybárov, chovateľov rýb a mäkkýšov, kôrovcov a </w:t>
      </w:r>
      <w:proofErr w:type="spellStart"/>
      <w:r w:rsidRPr="00A23FEF">
        <w:t>ostnatokožcov</w:t>
      </w:r>
      <w:proofErr w:type="spellEnd"/>
      <w:r w:rsidRPr="00A23FEF">
        <w:t>, zainteresované strany v odvetví rybárstva vrátane rybárov a širokú verejnosť o introdukcii, odhaľovaní a vplyvoch inváznych nepôvodných druhov, ich environmentálnych a hospodárskych účinkoch a spôsoboch minimalizácie rizík, ktoré predstavuje ich introdukcia a šírenie;</w:t>
      </w:r>
    </w:p>
    <w:p w14:paraId="67567648" w14:textId="77777777" w:rsidR="00E9052A" w:rsidRPr="00A23FEF" w:rsidRDefault="00E9052A" w:rsidP="00E9052A">
      <w:pPr>
        <w:pStyle w:val="NormalHanging12a"/>
      </w:pPr>
      <w:r w:rsidRPr="00A23FEF">
        <w:t>43.</w:t>
      </w:r>
      <w:r w:rsidRPr="00A23FEF">
        <w:tab/>
        <w:t>odporúča, aby sa v prípade, že je to možné, rozvíjali programy zamerané na invázne druhy, ktorých cieľom je posilniť kontrolu populácie a poskytnúť rybárom možnosti kompenzácie;</w:t>
      </w:r>
    </w:p>
    <w:p w14:paraId="7B04A3DC" w14:textId="77777777" w:rsidR="00E9052A" w:rsidRPr="00A23FEF" w:rsidRDefault="00E9052A" w:rsidP="00E9052A">
      <w:pPr>
        <w:pStyle w:val="NormalHanging12a"/>
      </w:pPr>
      <w:r w:rsidRPr="00A23FEF">
        <w:t>44.</w:t>
      </w:r>
      <w:r w:rsidRPr="00A23FEF">
        <w:tab/>
        <w:t xml:space="preserve">domnieva sa, že riadenie inváznych nepôvodných druhov môže poskytnúť príležitosti na dodatočný dočasný príjem prostredníctvom aplikovaných inovácií s cieľom vytvárať produkty s pridanou hodnotou, ako sú </w:t>
      </w:r>
      <w:proofErr w:type="spellStart"/>
      <w:r w:rsidRPr="00A23FEF">
        <w:t>biohnojivá</w:t>
      </w:r>
      <w:proofErr w:type="spellEnd"/>
      <w:r w:rsidRPr="00A23FEF">
        <w:t xml:space="preserve"> a poľnohospodárske substráty, ktoré podporujú kontrolu týchto druhov, a ak je to možné, ich </w:t>
      </w:r>
      <w:proofErr w:type="spellStart"/>
      <w:r w:rsidRPr="00A23FEF">
        <w:t>eradikáciu</w:t>
      </w:r>
      <w:proofErr w:type="spellEnd"/>
      <w:r w:rsidRPr="00A23FEF">
        <w:t>; vyzýva Komisiu, aby financovala výskum a transfer technológií v tejto oblasti;</w:t>
      </w:r>
    </w:p>
    <w:p w14:paraId="7C0F2ADA" w14:textId="77777777" w:rsidR="00E9052A" w:rsidRPr="00A23FEF" w:rsidRDefault="00E9052A" w:rsidP="00E9052A">
      <w:pPr>
        <w:pStyle w:val="NormalHanging12a"/>
      </w:pPr>
      <w:r w:rsidRPr="00A23FEF">
        <w:t>45.</w:t>
      </w:r>
      <w:r w:rsidRPr="00A23FEF">
        <w:tab/>
        <w:t xml:space="preserve">zdôrazňuje, že ak </w:t>
      </w:r>
      <w:proofErr w:type="spellStart"/>
      <w:r w:rsidRPr="00A23FEF">
        <w:t>eradikácia</w:t>
      </w:r>
      <w:proofErr w:type="spellEnd"/>
      <w:r w:rsidRPr="00A23FEF">
        <w:t xml:space="preserve"> inváznych druhov nie je uskutočniteľná, využívanie inváznych druhov na ľudskú spotrebu môže rybárom poskytnúť dodatočný dočasný príjem a prispieť k bohatstvu, z ktorého majú prospech miestne hospodárstva v EÚ;</w:t>
      </w:r>
    </w:p>
    <w:p w14:paraId="6CEBD7D1" w14:textId="77777777" w:rsidR="00E9052A" w:rsidRPr="00A23FEF" w:rsidRDefault="00E9052A" w:rsidP="00E9052A">
      <w:pPr>
        <w:pStyle w:val="NormalHanging12a"/>
      </w:pPr>
      <w:r w:rsidRPr="00A23FEF">
        <w:lastRenderedPageBreak/>
        <w:t>46.</w:t>
      </w:r>
      <w:r w:rsidRPr="00A23FEF">
        <w:tab/>
        <w:t>víta dočasné hospodárske využívanie niektorých inváznych nepôvodných druhov, ako sú riasy, na potravinové a nepotravinové účely; poukazuje na to, že takéto účely by okrem potravín na ľudskú spotrebu mohli zahŕňať krmivo pre zvieratá a ryby, lieky, obaly, kozmetiku alebo biopalivá;</w:t>
      </w:r>
    </w:p>
    <w:p w14:paraId="2EC3590C" w14:textId="77777777" w:rsidR="00E9052A" w:rsidRPr="00A23FEF" w:rsidRDefault="00E9052A" w:rsidP="00E9052A">
      <w:pPr>
        <w:pStyle w:val="NormalHanging12a"/>
      </w:pPr>
      <w:r w:rsidRPr="00A23FEF">
        <w:t>47.</w:t>
      </w:r>
      <w:r w:rsidRPr="00A23FEF">
        <w:tab/>
        <w:t xml:space="preserve">opakuje, že konečným cieľom je vždy </w:t>
      </w:r>
      <w:proofErr w:type="spellStart"/>
      <w:r w:rsidRPr="00A23FEF">
        <w:t>eradikácia</w:t>
      </w:r>
      <w:proofErr w:type="spellEnd"/>
      <w:r w:rsidRPr="00A23FEF">
        <w:t xml:space="preserve"> inváznych nepôvodných druhov; v tejto súvislosti zdôrazňuje, že hospodárska závislosť od využívania inváznych nepôvodných druhov by mala byť vždy dočasná alebo sekundárna a nesmie podporovať šírenie týchto druhov ani ich uvádzanie na trh; </w:t>
      </w:r>
    </w:p>
    <w:p w14:paraId="173BFF66" w14:textId="77777777" w:rsidR="00E9052A" w:rsidRPr="00A23FEF" w:rsidRDefault="00E9052A" w:rsidP="00E9052A">
      <w:pPr>
        <w:pStyle w:val="NormalHanging12a"/>
      </w:pPr>
      <w:r w:rsidRPr="00A23FEF">
        <w:t>48.</w:t>
      </w:r>
      <w:r w:rsidRPr="00A23FEF">
        <w:tab/>
        <w:t>požaduje zvýšenú a cielenú finančnú podporu na zlepšenie účinného riadenia a ochrany živobytia na pobreží a morských ekosystémov a ochrany citlivých druhov a na informačné a monitorovacie systémy a systémy včasného varovania pred inváznymi nepôvodnými druhmi na regionálnej a celoštátnej úrovni a na úrovni EÚ vzhľadom na pozitívny vplyv takejto podpory na rybárstvo, biodiverzitu a ekosystémy;</w:t>
      </w:r>
    </w:p>
    <w:p w14:paraId="73C19DF4" w14:textId="77777777" w:rsidR="00E9052A" w:rsidRPr="00A23FEF" w:rsidRDefault="00E9052A" w:rsidP="00E9052A">
      <w:pPr>
        <w:pStyle w:val="NormalHanging12a"/>
      </w:pPr>
      <w:r w:rsidRPr="00A23FEF">
        <w:t>49.</w:t>
      </w:r>
      <w:r w:rsidRPr="00A23FEF">
        <w:tab/>
        <w:t>trvá na tom, aby budúci viacročný finančný rámec v zahŕňal finančné prostriedky na posilnenie konkurencieschopnosti rybárskej flotily vzhľadom na výzvy, ako sú rastúce náklady, strata rybolovných oblastí a vplyv inváznych druhov; považuje za prioritu zlepšiť prístup rybárov k finančným zdrojom na modernizáciu ich plavidiel, digitalizáciu ich činností a diverzifikáciu zdrojov príjmov;</w:t>
      </w:r>
    </w:p>
    <w:p w14:paraId="65D598CB" w14:textId="77777777" w:rsidR="00E9052A" w:rsidRPr="00A23FEF" w:rsidRDefault="00E9052A" w:rsidP="00E9052A">
      <w:pPr>
        <w:pStyle w:val="NormalHanging12a"/>
      </w:pPr>
      <w:r w:rsidRPr="00A23FEF">
        <w:t>50.</w:t>
      </w:r>
      <w:r w:rsidRPr="00A23FEF">
        <w:tab/>
        <w:t xml:space="preserve">pripomína Komisii, že najvzdialenejšie regióny a ostrovné a pobrežné oblasti slúžia ako dôležité bezpečné prístavy pre citlivé morské druhy a zároveň sú veľmi zraniteľné voči inváznym nepôvodným druhom; žiada, aby sa uznal význam ochrany týchto citlivých druhov a boja proti inváznym nepôvodným druhom v týchto regiónoch, a to vytvorením programu možností pre miestny rybolov, ktoré sú špecifické pre odľahlé a ostrovné oblasti; zdôrazňuje potenciál udržateľného ekologického cestovného ruchu ako prostriedku na poskytovanie príležitostí na diverzifikáciu pri súčasnom zachovaní jedinečnej biodiverzity týchto regiónov a zabezpečení priamych prínosov pre odvetvia rybolovu a </w:t>
      </w:r>
      <w:proofErr w:type="spellStart"/>
      <w:r w:rsidRPr="00A23FEF">
        <w:t>akvakultúry</w:t>
      </w:r>
      <w:proofErr w:type="spellEnd"/>
      <w:r w:rsidRPr="00A23FEF">
        <w:t>;</w:t>
      </w:r>
    </w:p>
    <w:p w14:paraId="4E538707" w14:textId="77777777" w:rsidR="00E9052A" w:rsidRPr="00A23FEF" w:rsidRDefault="00E9052A" w:rsidP="00E9052A">
      <w:pPr>
        <w:pStyle w:val="NormalCenter12a"/>
      </w:pPr>
      <w:r w:rsidRPr="00A23FEF">
        <w:t>°</w:t>
      </w:r>
    </w:p>
    <w:p w14:paraId="756FE4DE" w14:textId="77777777" w:rsidR="00E9052A" w:rsidRPr="00A23FEF" w:rsidRDefault="00E9052A" w:rsidP="00E9052A">
      <w:pPr>
        <w:pStyle w:val="NormalCenter12a"/>
      </w:pPr>
      <w:r w:rsidRPr="00A23FEF">
        <w:t>°</w:t>
      </w:r>
      <w:r w:rsidRPr="00A23FEF">
        <w:tab/>
        <w:t>°</w:t>
      </w:r>
    </w:p>
    <w:p w14:paraId="60AC03DF" w14:textId="69A1166D" w:rsidR="000418F6" w:rsidRPr="00A23FEF" w:rsidRDefault="00E9052A" w:rsidP="000418F6">
      <w:pPr>
        <w:pStyle w:val="NormalHanging12a"/>
      </w:pPr>
      <w:r w:rsidRPr="00A23FEF">
        <w:t>51.</w:t>
      </w:r>
      <w:r w:rsidRPr="00A23FEF">
        <w:tab/>
        <w:t>poveruje svoju predsedníčku, aby postúpila toto uznesenie Rade a Komisii.</w:t>
      </w:r>
    </w:p>
    <w:p w14:paraId="6D15BAAD" w14:textId="4BA0939A" w:rsidR="00E365E1" w:rsidRPr="00A23FEF" w:rsidRDefault="00E365E1" w:rsidP="00A004E3"/>
    <w:sectPr w:rsidR="00E365E1" w:rsidRPr="00A23FEF" w:rsidSect="000418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9281F" w14:textId="77777777" w:rsidR="00A004E3" w:rsidRPr="000418F6" w:rsidRDefault="00A004E3">
      <w:r w:rsidRPr="000418F6">
        <w:separator/>
      </w:r>
    </w:p>
  </w:endnote>
  <w:endnote w:type="continuationSeparator" w:id="0">
    <w:p w14:paraId="02AF04F7" w14:textId="77777777" w:rsidR="00A004E3" w:rsidRPr="000418F6" w:rsidRDefault="00A004E3">
      <w:r w:rsidRPr="000418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61A7A" w14:textId="77777777" w:rsidR="00064002" w:rsidRPr="000418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C622" w14:textId="77777777" w:rsidR="00064002" w:rsidRPr="000418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A2E59" w14:textId="77777777" w:rsidR="00064002" w:rsidRPr="000418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BCA8E" w14:textId="77777777" w:rsidR="00A004E3" w:rsidRPr="000418F6" w:rsidRDefault="00A004E3">
      <w:r w:rsidRPr="000418F6">
        <w:separator/>
      </w:r>
    </w:p>
  </w:footnote>
  <w:footnote w:type="continuationSeparator" w:id="0">
    <w:p w14:paraId="2009F335" w14:textId="77777777" w:rsidR="00A004E3" w:rsidRPr="000418F6" w:rsidRDefault="00A004E3">
      <w:r w:rsidRPr="000418F6">
        <w:continuationSeparator/>
      </w:r>
    </w:p>
  </w:footnote>
  <w:footnote w:id="1">
    <w:p w14:paraId="7AF21085" w14:textId="734CFF50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 xml:space="preserve">Ú. v. EÚ L 354, 28.12.2013, s. 22, ELI: </w:t>
      </w:r>
      <w:hyperlink r:id="rId1" w:history="1">
        <w:r w:rsidRPr="000418F6">
          <w:rPr>
            <w:rStyle w:val="Hyperlink"/>
            <w:sz w:val="24"/>
            <w:lang w:val="sk-SK"/>
          </w:rPr>
          <w:t>http://data.europa.eu/eli/reg/2013/1380/oj</w:t>
        </w:r>
      </w:hyperlink>
      <w:r w:rsidRPr="000418F6">
        <w:rPr>
          <w:sz w:val="24"/>
          <w:lang w:val="sk-SK"/>
        </w:rPr>
        <w:t>.</w:t>
      </w:r>
    </w:p>
  </w:footnote>
  <w:footnote w:id="2">
    <w:p w14:paraId="3370B8FA" w14:textId="483F7029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>Ú. v. EÚ L 317, 4.11.2014, s. </w:t>
      </w:r>
      <w:r w:rsidRPr="000418F6">
        <w:rPr>
          <w:sz w:val="24"/>
          <w:lang w:val="sk-SK"/>
        </w:rPr>
        <w:t xml:space="preserve">35, ELI: </w:t>
      </w:r>
      <w:hyperlink r:id="rId2" w:history="1">
        <w:r w:rsidRPr="000418F6">
          <w:rPr>
            <w:rStyle w:val="Hyperlink"/>
            <w:sz w:val="24"/>
            <w:lang w:val="sk-SK"/>
          </w:rPr>
          <w:t>http://data.europa.eu/eli/reg/2014/1143/oj</w:t>
        </w:r>
      </w:hyperlink>
      <w:r w:rsidRPr="000418F6">
        <w:rPr>
          <w:sz w:val="24"/>
          <w:lang w:val="sk-SK"/>
        </w:rPr>
        <w:t>.</w:t>
      </w:r>
    </w:p>
  </w:footnote>
  <w:footnote w:id="3">
    <w:p w14:paraId="06750FA3" w14:textId="5C6F77AC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bookmarkStart w:id="7" w:name="_Hlk220422172"/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 xml:space="preserve">Ú. v. </w:t>
      </w:r>
      <w:r w:rsidRPr="000418F6">
        <w:rPr>
          <w:sz w:val="24"/>
          <w:lang w:val="sk-SK"/>
        </w:rPr>
        <w:t xml:space="preserve">EÚ L 286, </w:t>
      </w:r>
      <w:r w:rsidR="00677CD9">
        <w:rPr>
          <w:sz w:val="24"/>
          <w:lang w:val="sk-SK"/>
        </w:rPr>
        <w:t>31</w:t>
      </w:r>
      <w:r w:rsidRPr="000418F6">
        <w:rPr>
          <w:sz w:val="24"/>
          <w:lang w:val="sk-SK"/>
        </w:rPr>
        <w:t>.1</w:t>
      </w:r>
      <w:r w:rsidR="00677CD9">
        <w:rPr>
          <w:sz w:val="24"/>
          <w:lang w:val="sk-SK"/>
        </w:rPr>
        <w:t>0</w:t>
      </w:r>
      <w:r w:rsidRPr="000418F6">
        <w:rPr>
          <w:sz w:val="24"/>
          <w:lang w:val="sk-SK"/>
        </w:rPr>
        <w:t xml:space="preserve">.2009, s. 36, ELI: </w:t>
      </w:r>
      <w:hyperlink r:id="rId3" w:tooltip="Umožňuje prístup k tomuto dokumentu prostredníctvom identifikátora URI používaného v rámci ELI." w:history="1">
        <w:r w:rsidRPr="000418F6">
          <w:rPr>
            <w:rStyle w:val="Hyperlink"/>
            <w:sz w:val="24"/>
            <w:lang w:val="sk-SK"/>
          </w:rPr>
          <w:t>http://data.europa.eu/eli/reg/2009/1007/oj</w:t>
        </w:r>
      </w:hyperlink>
      <w:bookmarkEnd w:id="7"/>
      <w:r w:rsidRPr="000418F6">
        <w:rPr>
          <w:sz w:val="24"/>
          <w:lang w:val="sk-SK"/>
        </w:rPr>
        <w:t>.</w:t>
      </w:r>
    </w:p>
  </w:footnote>
  <w:footnote w:id="4">
    <w:p w14:paraId="53E59843" w14:textId="11FEB773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 xml:space="preserve">Ú. v. EÚ L 343, 22.12.2009, s. </w:t>
      </w:r>
      <w:r w:rsidRPr="000418F6">
        <w:rPr>
          <w:sz w:val="24"/>
          <w:lang w:val="sk-SK"/>
        </w:rPr>
        <w:t xml:space="preserve">1, ELI: </w:t>
      </w:r>
      <w:hyperlink r:id="rId4" w:history="1">
        <w:r w:rsidRPr="000418F6">
          <w:rPr>
            <w:rStyle w:val="Hyperlink"/>
            <w:sz w:val="24"/>
            <w:lang w:val="sk-SK"/>
          </w:rPr>
          <w:t>http://data.europa.eu/eli/reg/2009/1224/oj</w:t>
        </w:r>
      </w:hyperlink>
      <w:r w:rsidRPr="000418F6">
        <w:rPr>
          <w:sz w:val="24"/>
          <w:lang w:val="sk-SK"/>
        </w:rPr>
        <w:t>.</w:t>
      </w:r>
    </w:p>
  </w:footnote>
  <w:footnote w:id="5">
    <w:p w14:paraId="2A0F1716" w14:textId="1FB6B833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 xml:space="preserve">Ú. v. EÚ L 198, 25.7.2019, s. </w:t>
      </w:r>
      <w:r w:rsidRPr="000418F6">
        <w:rPr>
          <w:sz w:val="24"/>
          <w:lang w:val="sk-SK"/>
        </w:rPr>
        <w:t>105, ELI: </w:t>
      </w:r>
      <w:hyperlink r:id="rId5" w:tooltip="Umožňuje prístup k tomuto dokumentu prostredníctvom identifikátora URI používaného v rámci ELI." w:history="1">
        <w:r w:rsidRPr="000418F6">
          <w:rPr>
            <w:rStyle w:val="Hyperlink"/>
            <w:sz w:val="24"/>
            <w:lang w:val="sk-SK"/>
          </w:rPr>
          <w:t>http://data.europa.eu/eli/reg/2019/1241/oj</w:t>
        </w:r>
      </w:hyperlink>
      <w:r w:rsidRPr="000418F6">
        <w:rPr>
          <w:sz w:val="24"/>
          <w:lang w:val="sk-SK"/>
        </w:rPr>
        <w:t>.</w:t>
      </w:r>
    </w:p>
  </w:footnote>
  <w:footnote w:id="6">
    <w:p w14:paraId="1FF56B2E" w14:textId="0BA9DE36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 xml:space="preserve">Ú. v. </w:t>
      </w:r>
      <w:r w:rsidRPr="000418F6">
        <w:rPr>
          <w:sz w:val="24"/>
          <w:lang w:val="sk-SK"/>
        </w:rPr>
        <w:t xml:space="preserve">EÚ L, 2023/2842, 20.12.2023, ELI: </w:t>
      </w:r>
      <w:hyperlink r:id="rId6" w:history="1">
        <w:r w:rsidRPr="000418F6">
          <w:rPr>
            <w:rStyle w:val="Hyperlink"/>
            <w:sz w:val="24"/>
            <w:lang w:val="sk-SK"/>
          </w:rPr>
          <w:t>http://data.europa.eu/eli/reg/2023/2842/oj</w:t>
        </w:r>
      </w:hyperlink>
      <w:r w:rsidRPr="000418F6">
        <w:rPr>
          <w:sz w:val="24"/>
          <w:lang w:val="sk-SK"/>
        </w:rPr>
        <w:t>.</w:t>
      </w:r>
      <w:r w:rsidRPr="000418F6">
        <w:rPr>
          <w:rStyle w:val="Hyperlink"/>
          <w:sz w:val="24"/>
          <w:lang w:val="sk-SK"/>
        </w:rPr>
        <w:t xml:space="preserve"> </w:t>
      </w:r>
    </w:p>
  </w:footnote>
  <w:footnote w:id="7">
    <w:p w14:paraId="251D826E" w14:textId="3A02C308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bookmarkStart w:id="8" w:name="_Hlk220422577"/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>Ú. v. </w:t>
      </w:r>
      <w:r w:rsidRPr="000418F6">
        <w:rPr>
          <w:sz w:val="24"/>
          <w:lang w:val="sk-SK"/>
        </w:rPr>
        <w:t>EÚ L, 2024/1991, 29.7.2024, ELI: </w:t>
      </w:r>
      <w:hyperlink r:id="rId7" w:tgtFrame="_blank" w:tooltip="Umožňuje prístup k tomuto dokumentu prostredníctvom identifikátora URI používaného v rámci ELI." w:history="1">
        <w:r w:rsidRPr="000418F6">
          <w:rPr>
            <w:rStyle w:val="Hyperlink"/>
            <w:sz w:val="24"/>
            <w:lang w:val="sk-SK"/>
          </w:rPr>
          <w:t>http://data.europa.eu/eli/reg/2024/1991/oj</w:t>
        </w:r>
      </w:hyperlink>
      <w:bookmarkEnd w:id="8"/>
      <w:r w:rsidRPr="000418F6">
        <w:rPr>
          <w:i/>
          <w:sz w:val="24"/>
          <w:lang w:val="sk-SK"/>
        </w:rPr>
        <w:t>.</w:t>
      </w:r>
    </w:p>
  </w:footnote>
  <w:footnote w:id="8">
    <w:p w14:paraId="78216AB5" w14:textId="1633FED3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>Ú. v. ES L 206, 22.7.1992, s. </w:t>
      </w:r>
      <w:r w:rsidRPr="000418F6">
        <w:rPr>
          <w:sz w:val="24"/>
          <w:lang w:val="sk-SK"/>
        </w:rPr>
        <w:t xml:space="preserve">7, ELI: </w:t>
      </w:r>
      <w:hyperlink r:id="rId8" w:history="1">
        <w:r w:rsidRPr="000418F6">
          <w:rPr>
            <w:rStyle w:val="Hyperlink"/>
            <w:sz w:val="24"/>
            <w:lang w:val="sk-SK"/>
          </w:rPr>
          <w:t>http://data.europa.eu/eli/dir/1992/43/oj</w:t>
        </w:r>
      </w:hyperlink>
      <w:r w:rsidRPr="000418F6">
        <w:rPr>
          <w:sz w:val="24"/>
          <w:lang w:val="sk-SK"/>
        </w:rPr>
        <w:t>.</w:t>
      </w:r>
    </w:p>
  </w:footnote>
  <w:footnote w:id="9">
    <w:p w14:paraId="35079D29" w14:textId="6114C2A4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 xml:space="preserve">Ú. v. EÚ L 164, 25.6.2008, s. </w:t>
      </w:r>
      <w:r w:rsidRPr="000418F6">
        <w:rPr>
          <w:sz w:val="24"/>
          <w:lang w:val="sk-SK"/>
        </w:rPr>
        <w:t>19, ELI: </w:t>
      </w:r>
      <w:hyperlink r:id="rId9" w:tooltip="Umožňuje prístup k tomuto dokumentu prostredníctvom identifikátora URI používaného v rámci ELI." w:history="1">
        <w:r w:rsidRPr="000418F6">
          <w:rPr>
            <w:rStyle w:val="Hyperlink"/>
            <w:sz w:val="24"/>
            <w:lang w:val="sk-SK"/>
          </w:rPr>
          <w:t>http://data.europa.eu/eli/dir/2008/56/oj</w:t>
        </w:r>
      </w:hyperlink>
      <w:r w:rsidRPr="000418F6">
        <w:rPr>
          <w:sz w:val="24"/>
          <w:lang w:val="sk-SK"/>
        </w:rPr>
        <w:t>.</w:t>
      </w:r>
    </w:p>
  </w:footnote>
  <w:footnote w:id="10">
    <w:p w14:paraId="00250E08" w14:textId="54F3114B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>Ú. v. EÚ L 20, 26.1.2010, s. </w:t>
      </w:r>
      <w:r w:rsidRPr="000418F6">
        <w:rPr>
          <w:sz w:val="24"/>
          <w:lang w:val="sk-SK"/>
        </w:rPr>
        <w:t xml:space="preserve">7., ELI: </w:t>
      </w:r>
      <w:hyperlink r:id="rId10" w:history="1">
        <w:r w:rsidRPr="000418F6">
          <w:rPr>
            <w:rStyle w:val="Hyperlink"/>
            <w:sz w:val="24"/>
            <w:lang w:val="sk-SK"/>
          </w:rPr>
          <w:t>http://data.europa.eu/eli/dir/2009/147/oj</w:t>
        </w:r>
      </w:hyperlink>
      <w:r w:rsidRPr="000418F6">
        <w:rPr>
          <w:sz w:val="24"/>
          <w:lang w:val="sk-SK"/>
        </w:rPr>
        <w:t>.</w:t>
      </w:r>
    </w:p>
  </w:footnote>
  <w:footnote w:id="11">
    <w:p w14:paraId="2897FE1B" w14:textId="5F09AA59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bookmarkStart w:id="9" w:name="_Hlk219910362"/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>Ú. v. EÚ C 67, 8.2.2022, s. 25.</w:t>
      </w:r>
      <w:bookmarkEnd w:id="9"/>
    </w:p>
  </w:footnote>
  <w:footnote w:id="12">
    <w:p w14:paraId="69FC2A4C" w14:textId="6FB7FDAB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 xml:space="preserve">Ú. v. </w:t>
      </w:r>
      <w:r w:rsidRPr="000418F6">
        <w:rPr>
          <w:sz w:val="24"/>
          <w:lang w:val="sk-SK"/>
        </w:rPr>
        <w:t>EÚ C, C/2023/1074, 15.12.2023, ELI: </w:t>
      </w:r>
      <w:hyperlink r:id="rId11" w:tgtFrame="_blank" w:tooltip="Umožňuje prístup k tomuto dokumentu prostredníctvom identifikátora URI používaného v rámci ELI." w:history="1">
        <w:r w:rsidRPr="000418F6">
          <w:rPr>
            <w:rStyle w:val="Hyperlink"/>
            <w:sz w:val="24"/>
            <w:lang w:val="sk-SK"/>
          </w:rPr>
          <w:t>http://data.europa.eu/eli/C/2023/1074/oj</w:t>
        </w:r>
      </w:hyperlink>
      <w:r w:rsidRPr="000418F6">
        <w:rPr>
          <w:sz w:val="24"/>
          <w:lang w:val="sk-SK"/>
        </w:rPr>
        <w:t>.</w:t>
      </w:r>
    </w:p>
  </w:footnote>
  <w:footnote w:id="13">
    <w:p w14:paraId="09EFA1B2" w14:textId="5210A886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>Ú. v. </w:t>
      </w:r>
      <w:r w:rsidRPr="000418F6">
        <w:rPr>
          <w:sz w:val="24"/>
          <w:lang w:val="sk-SK"/>
        </w:rPr>
        <w:t>EÚ </w:t>
      </w:r>
      <w:r w:rsidR="00677CD9">
        <w:rPr>
          <w:sz w:val="24"/>
          <w:lang w:val="sk-SK"/>
        </w:rPr>
        <w:t xml:space="preserve">C, </w:t>
      </w:r>
      <w:r w:rsidRPr="000418F6">
        <w:rPr>
          <w:sz w:val="24"/>
          <w:lang w:val="sk-SK"/>
        </w:rPr>
        <w:t>C/2024/5734, 17.10.2024, ELI: </w:t>
      </w:r>
      <w:hyperlink r:id="rId12" w:tgtFrame="_blank" w:tooltip="Umožňuje prístup k tomuto dokumentu prostredníctvom identifikátora URI používaného v rámci ELI." w:history="1">
        <w:r w:rsidRPr="000418F6">
          <w:rPr>
            <w:rStyle w:val="Hyperlink"/>
            <w:sz w:val="24"/>
            <w:lang w:val="sk-SK"/>
          </w:rPr>
          <w:t>http://data.europa.eu/eli/C/2024/5734/oj</w:t>
        </w:r>
      </w:hyperlink>
      <w:r w:rsidRPr="000418F6">
        <w:rPr>
          <w:sz w:val="24"/>
          <w:lang w:val="sk-SK"/>
        </w:rPr>
        <w:t>.</w:t>
      </w:r>
    </w:p>
  </w:footnote>
  <w:footnote w:id="14">
    <w:p w14:paraId="491AD559" w14:textId="10235B3A" w:rsidR="00E9052A" w:rsidRPr="000418F6" w:rsidRDefault="00E9052A" w:rsidP="000418F6">
      <w:pPr>
        <w:pStyle w:val="FootnoteText"/>
        <w:ind w:left="567" w:hanging="567"/>
        <w:rPr>
          <w:sz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0418F6">
        <w:rPr>
          <w:sz w:val="24"/>
          <w:lang w:val="sk-SK"/>
        </w:rPr>
        <w:t>Európska environmentálna agentúra, Morské chránené oblasti v európskych moriach, webové sídlo Európskej environmentálnej agentúry – Analýza a údaje – Ukazovatele, 6. november 2025.</w:t>
      </w:r>
    </w:p>
  </w:footnote>
  <w:footnote w:id="15">
    <w:p w14:paraId="25778D34" w14:textId="4B47AD35" w:rsidR="00E9052A" w:rsidRPr="00DC2A49" w:rsidRDefault="00E9052A" w:rsidP="000418F6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 w:rsidRPr="000418F6">
        <w:rPr>
          <w:rStyle w:val="FootnoteReference"/>
          <w:sz w:val="24"/>
          <w:lang w:val="sk-SK"/>
        </w:rPr>
        <w:footnoteRef/>
      </w:r>
      <w:r w:rsidR="000418F6" w:rsidRPr="000418F6">
        <w:rPr>
          <w:sz w:val="24"/>
          <w:lang w:val="sk-SK"/>
        </w:rPr>
        <w:t xml:space="preserve"> </w:t>
      </w:r>
      <w:r w:rsidR="000418F6" w:rsidRPr="000418F6">
        <w:rPr>
          <w:sz w:val="24"/>
          <w:lang w:val="sk-SK"/>
        </w:rPr>
        <w:tab/>
      </w:r>
      <w:r w:rsidRPr="00BB27D9">
        <w:rPr>
          <w:rStyle w:val="FootnoteReference"/>
          <w:sz w:val="24"/>
          <w:szCs w:val="24"/>
          <w:vertAlign w:val="baseline"/>
          <w:lang w:val="sk-SK"/>
        </w:rPr>
        <w:t xml:space="preserve">Európska komisia, Study on </w:t>
      </w:r>
      <w:proofErr w:type="spellStart"/>
      <w:r w:rsidRPr="00BB27D9">
        <w:rPr>
          <w:rStyle w:val="FootnoteReference"/>
          <w:sz w:val="24"/>
          <w:szCs w:val="24"/>
          <w:vertAlign w:val="baseline"/>
          <w:lang w:val="sk-SK"/>
        </w:rPr>
        <w:t>regulations</w:t>
      </w:r>
      <w:proofErr w:type="spellEnd"/>
      <w:r w:rsidRPr="00BB27D9">
        <w:rPr>
          <w:rStyle w:val="FootnoteReference"/>
          <w:sz w:val="24"/>
          <w:szCs w:val="24"/>
          <w:vertAlign w:val="baseline"/>
          <w:lang w:val="sk-SK"/>
        </w:rPr>
        <w:t xml:space="preserve"> in EU Marine </w:t>
      </w:r>
      <w:proofErr w:type="spellStart"/>
      <w:r w:rsidRPr="00BB27D9">
        <w:rPr>
          <w:rStyle w:val="FootnoteReference"/>
          <w:sz w:val="24"/>
          <w:szCs w:val="24"/>
          <w:vertAlign w:val="baseline"/>
          <w:lang w:val="sk-SK"/>
        </w:rPr>
        <w:t>Protected</w:t>
      </w:r>
      <w:proofErr w:type="spellEnd"/>
      <w:r w:rsidRPr="00BB27D9">
        <w:rPr>
          <w:rStyle w:val="FootnoteReference"/>
          <w:sz w:val="24"/>
          <w:szCs w:val="24"/>
          <w:vertAlign w:val="baseline"/>
          <w:lang w:val="sk-SK"/>
        </w:rPr>
        <w:t xml:space="preserve"> </w:t>
      </w:r>
      <w:proofErr w:type="spellStart"/>
      <w:r w:rsidRPr="00BB27D9">
        <w:rPr>
          <w:rStyle w:val="FootnoteReference"/>
          <w:sz w:val="24"/>
          <w:szCs w:val="24"/>
          <w:vertAlign w:val="baseline"/>
          <w:lang w:val="sk-SK"/>
        </w:rPr>
        <w:t>Areas</w:t>
      </w:r>
      <w:proofErr w:type="spellEnd"/>
      <w:r w:rsidRPr="00BB27D9">
        <w:rPr>
          <w:rStyle w:val="FootnoteReference"/>
          <w:sz w:val="24"/>
          <w:szCs w:val="24"/>
          <w:vertAlign w:val="baseline"/>
          <w:lang w:val="sk-SK"/>
        </w:rPr>
        <w:t xml:space="preserve">: </w:t>
      </w:r>
      <w:proofErr w:type="spellStart"/>
      <w:r w:rsidRPr="00BB27D9">
        <w:rPr>
          <w:rStyle w:val="FootnoteReference"/>
          <w:sz w:val="24"/>
          <w:szCs w:val="24"/>
          <w:vertAlign w:val="baseline"/>
          <w:lang w:val="sk-SK"/>
        </w:rPr>
        <w:t>insights</w:t>
      </w:r>
      <w:proofErr w:type="spellEnd"/>
      <w:r w:rsidRPr="00BB27D9">
        <w:rPr>
          <w:rStyle w:val="FootnoteReference"/>
          <w:sz w:val="24"/>
          <w:szCs w:val="24"/>
          <w:vertAlign w:val="baseline"/>
          <w:lang w:val="sk-SK"/>
        </w:rPr>
        <w:t xml:space="preserve"> and </w:t>
      </w:r>
      <w:proofErr w:type="spellStart"/>
      <w:r w:rsidRPr="00BB27D9">
        <w:rPr>
          <w:rStyle w:val="FootnoteReference"/>
          <w:sz w:val="24"/>
          <w:szCs w:val="24"/>
          <w:vertAlign w:val="baseline"/>
          <w:lang w:val="sk-SK"/>
        </w:rPr>
        <w:t>implications</w:t>
      </w:r>
      <w:proofErr w:type="spellEnd"/>
      <w:r w:rsidRPr="00BB27D9">
        <w:rPr>
          <w:rStyle w:val="FootnoteReference"/>
          <w:sz w:val="24"/>
          <w:szCs w:val="24"/>
          <w:vertAlign w:val="baseline"/>
          <w:lang w:val="sk-SK"/>
        </w:rPr>
        <w:t>’, webové sídlo portálu služieb misie Obnoviť naše vody a oceány.</w:t>
      </w:r>
      <w:r w:rsidRPr="00DC2A49">
        <w:rPr>
          <w:sz w:val="24"/>
          <w:szCs w:val="24"/>
          <w:lang w:val="sk-SK"/>
        </w:rPr>
        <w:t xml:space="preserve"> </w:t>
      </w:r>
    </w:p>
  </w:footnote>
  <w:footnote w:id="16">
    <w:p w14:paraId="36431B20" w14:textId="517BD46E" w:rsidR="00F80C6A" w:rsidRPr="00A23FEF" w:rsidRDefault="00F80C6A" w:rsidP="00A23FEF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 w:rsidRPr="00A23FEF">
        <w:rPr>
          <w:lang w:val="sk-SK"/>
        </w:rPr>
        <w:t xml:space="preserve"> </w:t>
      </w:r>
      <w:r w:rsidRPr="00A23FEF">
        <w:rPr>
          <w:lang w:val="sk-SK"/>
        </w:rPr>
        <w:tab/>
      </w:r>
      <w:r w:rsidRPr="00A23FEF">
        <w:rPr>
          <w:sz w:val="24"/>
          <w:szCs w:val="24"/>
          <w:lang w:val="sk-SK"/>
        </w:rPr>
        <w:t>Európska komisia, Obchod s výrobkami z tuleňov – kontrola vhodnosti pravidiel EÚ, webové sídlo Európskej komisie.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1CAA7" w14:textId="77777777" w:rsidR="00064002" w:rsidRPr="000418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F586F" w14:textId="77777777" w:rsidR="00064002" w:rsidRPr="000418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2C49D" w14:textId="77777777" w:rsidR="00064002" w:rsidRPr="000418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1678556">
    <w:abstractNumId w:val="9"/>
  </w:num>
  <w:num w:numId="2" w16cid:durableId="847865336">
    <w:abstractNumId w:val="9"/>
  </w:num>
  <w:num w:numId="3" w16cid:durableId="1310666520">
    <w:abstractNumId w:val="7"/>
  </w:num>
  <w:num w:numId="4" w16cid:durableId="1817606222">
    <w:abstractNumId w:val="7"/>
  </w:num>
  <w:num w:numId="5" w16cid:durableId="1897937543">
    <w:abstractNumId w:val="6"/>
  </w:num>
  <w:num w:numId="6" w16cid:durableId="478765896">
    <w:abstractNumId w:val="6"/>
  </w:num>
  <w:num w:numId="7" w16cid:durableId="12926713">
    <w:abstractNumId w:val="5"/>
  </w:num>
  <w:num w:numId="8" w16cid:durableId="83691690">
    <w:abstractNumId w:val="5"/>
  </w:num>
  <w:num w:numId="9" w16cid:durableId="488593810">
    <w:abstractNumId w:val="4"/>
  </w:num>
  <w:num w:numId="10" w16cid:durableId="1241216632">
    <w:abstractNumId w:val="4"/>
  </w:num>
  <w:num w:numId="11" w16cid:durableId="671876887">
    <w:abstractNumId w:val="8"/>
  </w:num>
  <w:num w:numId="12" w16cid:durableId="799035177">
    <w:abstractNumId w:val="8"/>
  </w:num>
  <w:num w:numId="13" w16cid:durableId="1147088723">
    <w:abstractNumId w:val="3"/>
  </w:num>
  <w:num w:numId="14" w16cid:durableId="948045746">
    <w:abstractNumId w:val="3"/>
  </w:num>
  <w:num w:numId="15" w16cid:durableId="1535653784">
    <w:abstractNumId w:val="2"/>
  </w:num>
  <w:num w:numId="16" w16cid:durableId="642538310">
    <w:abstractNumId w:val="2"/>
  </w:num>
  <w:num w:numId="17" w16cid:durableId="1362975572">
    <w:abstractNumId w:val="1"/>
  </w:num>
  <w:num w:numId="18" w16cid:durableId="1178615390">
    <w:abstractNumId w:val="1"/>
  </w:num>
  <w:num w:numId="19" w16cid:durableId="1159690768">
    <w:abstractNumId w:val="0"/>
  </w:num>
  <w:num w:numId="20" w16cid:durableId="510068183">
    <w:abstractNumId w:val="0"/>
  </w:num>
  <w:num w:numId="21" w16cid:durableId="1857302302">
    <w:abstractNumId w:val="9"/>
  </w:num>
  <w:num w:numId="22" w16cid:durableId="1789885942">
    <w:abstractNumId w:val="7"/>
  </w:num>
  <w:num w:numId="23" w16cid:durableId="528031982">
    <w:abstractNumId w:val="6"/>
  </w:num>
  <w:num w:numId="24" w16cid:durableId="178856172">
    <w:abstractNumId w:val="5"/>
  </w:num>
  <w:num w:numId="25" w16cid:durableId="908659443">
    <w:abstractNumId w:val="4"/>
  </w:num>
  <w:num w:numId="26" w16cid:durableId="260259283">
    <w:abstractNumId w:val="8"/>
  </w:num>
  <w:num w:numId="27" w16cid:durableId="665982414">
    <w:abstractNumId w:val="3"/>
  </w:num>
  <w:num w:numId="28" w16cid:durableId="796143303">
    <w:abstractNumId w:val="2"/>
  </w:num>
  <w:num w:numId="29" w16cid:durableId="1421290935">
    <w:abstractNumId w:val="1"/>
  </w:num>
  <w:num w:numId="30" w16cid:durableId="558978293">
    <w:abstractNumId w:val="0"/>
  </w:num>
  <w:num w:numId="31" w16cid:durableId="1173108979">
    <w:abstractNumId w:val="9"/>
  </w:num>
  <w:num w:numId="32" w16cid:durableId="169179647">
    <w:abstractNumId w:val="7"/>
  </w:num>
  <w:num w:numId="33" w16cid:durableId="1556114905">
    <w:abstractNumId w:val="6"/>
  </w:num>
  <w:num w:numId="34" w16cid:durableId="1391810863">
    <w:abstractNumId w:val="5"/>
  </w:num>
  <w:num w:numId="35" w16cid:durableId="1652907017">
    <w:abstractNumId w:val="4"/>
  </w:num>
  <w:num w:numId="36" w16cid:durableId="1941600024">
    <w:abstractNumId w:val="8"/>
  </w:num>
  <w:num w:numId="37" w16cid:durableId="719784289">
    <w:abstractNumId w:val="3"/>
  </w:num>
  <w:num w:numId="38" w16cid:durableId="1988315451">
    <w:abstractNumId w:val="2"/>
  </w:num>
  <w:num w:numId="39" w16cid:durableId="480804534">
    <w:abstractNumId w:val="1"/>
  </w:num>
  <w:num w:numId="40" w16cid:durableId="1994673961">
    <w:abstractNumId w:val="0"/>
  </w:num>
  <w:num w:numId="41" w16cid:durableId="17512529">
    <w:abstractNumId w:val="10"/>
  </w:num>
  <w:num w:numId="42" w16cid:durableId="1818453584">
    <w:abstractNumId w:val="10"/>
  </w:num>
  <w:num w:numId="43" w16cid:durableId="1031423018">
    <w:abstractNumId w:val="10"/>
  </w:num>
  <w:num w:numId="44" w16cid:durableId="12391724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6"/>
    <w:docVar w:name="dvlangue" w:val="SK"/>
    <w:docVar w:name="dvnumam" w:val="0"/>
    <w:docVar w:name="dvpe" w:val="769.962"/>
    <w:docVar w:name="dvrapporteur" w:val="Spravodajca: "/>
    <w:docVar w:name="dvtitre" w:val="Uznesenie Európskeho parlamentu z 10. marca 2026 o prístupoch k riadeniu rybárstva zameraných na ochranu citlivých druhov, boj proti inváznym druhom a prínos pre miestne hospodárstva(2025/2011(INI))"/>
  </w:docVars>
  <w:rsids>
    <w:rsidRoot w:val="00A004E3"/>
    <w:rsid w:val="00002272"/>
    <w:rsid w:val="000418F6"/>
    <w:rsid w:val="00064002"/>
    <w:rsid w:val="000677B9"/>
    <w:rsid w:val="000831BA"/>
    <w:rsid w:val="000A42CC"/>
    <w:rsid w:val="000E7DD9"/>
    <w:rsid w:val="0010095E"/>
    <w:rsid w:val="00125B37"/>
    <w:rsid w:val="00187494"/>
    <w:rsid w:val="0019220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CD9"/>
    <w:rsid w:val="00680577"/>
    <w:rsid w:val="006C1583"/>
    <w:rsid w:val="006F74FA"/>
    <w:rsid w:val="00731ADD"/>
    <w:rsid w:val="00734777"/>
    <w:rsid w:val="00737B7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4A0"/>
    <w:rsid w:val="009509D8"/>
    <w:rsid w:val="00950B64"/>
    <w:rsid w:val="00981893"/>
    <w:rsid w:val="00A004E3"/>
    <w:rsid w:val="00A1687D"/>
    <w:rsid w:val="00A23FEF"/>
    <w:rsid w:val="00A403FD"/>
    <w:rsid w:val="00A43E52"/>
    <w:rsid w:val="00A4678D"/>
    <w:rsid w:val="00A778C7"/>
    <w:rsid w:val="00AB441E"/>
    <w:rsid w:val="00AB6293"/>
    <w:rsid w:val="00AE0928"/>
    <w:rsid w:val="00AF3B82"/>
    <w:rsid w:val="00B039CE"/>
    <w:rsid w:val="00B12E95"/>
    <w:rsid w:val="00B22876"/>
    <w:rsid w:val="00B41194"/>
    <w:rsid w:val="00B558F0"/>
    <w:rsid w:val="00BB27D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A49"/>
    <w:rsid w:val="00E14175"/>
    <w:rsid w:val="00E365E1"/>
    <w:rsid w:val="00E820A4"/>
    <w:rsid w:val="00E9052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C6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7EFA0"/>
  <w15:chartTrackingRefBased/>
  <w15:docId w15:val="{74A35348-38F4-4D65-BA29-B8AD0897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052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E9052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E9052A"/>
    <w:pPr>
      <w:spacing w:after="240"/>
      <w:jc w:val="center"/>
    </w:pPr>
  </w:style>
  <w:style w:type="paragraph" w:customStyle="1" w:styleId="Normal6a">
    <w:name w:val="Normal6a"/>
    <w:basedOn w:val="Normal"/>
    <w:rsid w:val="00E9052A"/>
    <w:pPr>
      <w:spacing w:after="120"/>
    </w:pPr>
  </w:style>
  <w:style w:type="character" w:customStyle="1" w:styleId="BoldItalic">
    <w:name w:val="BoldItalic"/>
    <w:uiPriority w:val="1"/>
    <w:rsid w:val="00E9052A"/>
    <w:rPr>
      <w:b/>
      <w:i/>
      <w:u w:val="none"/>
    </w:rPr>
  </w:style>
  <w:style w:type="character" w:customStyle="1" w:styleId="Italic">
    <w:name w:val="Italic"/>
    <w:uiPriority w:val="1"/>
    <w:rsid w:val="00E9052A"/>
    <w:rPr>
      <w:i/>
    </w:rPr>
  </w:style>
  <w:style w:type="paragraph" w:customStyle="1" w:styleId="Normal12a24b">
    <w:name w:val="Normal12a24b"/>
    <w:basedOn w:val="Normal"/>
    <w:rsid w:val="00E9052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E9052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9052A"/>
    <w:rPr>
      <w:snapToGrid w:val="0"/>
      <w:sz w:val="24"/>
      <w:lang w:val="sk-SK" w:eastAsia="en-US"/>
    </w:rPr>
  </w:style>
  <w:style w:type="paragraph" w:styleId="Revision">
    <w:name w:val="Revision"/>
    <w:hidden/>
    <w:uiPriority w:val="99"/>
    <w:semiHidden/>
    <w:rsid w:val="00DC2A4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1992/43/oj" TargetMode="External"/><Relationship Id="rId3" Type="http://schemas.openxmlformats.org/officeDocument/2006/relationships/hyperlink" Target="http://data.europa.eu/eli/reg/2009/1007/oj" TargetMode="External"/><Relationship Id="rId7" Type="http://schemas.openxmlformats.org/officeDocument/2006/relationships/hyperlink" Target="http://data.europa.eu/eli/reg/2024/1991/oj" TargetMode="External"/><Relationship Id="rId12" Type="http://schemas.openxmlformats.org/officeDocument/2006/relationships/hyperlink" Target="http://data.europa.eu/eli/C/2024/5734/oj" TargetMode="External"/><Relationship Id="rId2" Type="http://schemas.openxmlformats.org/officeDocument/2006/relationships/hyperlink" Target="http://data.europa.eu/eli/reg/2014/1143/oj" TargetMode="External"/><Relationship Id="rId1" Type="http://schemas.openxmlformats.org/officeDocument/2006/relationships/hyperlink" Target="http://data.europa.eu/eli/reg/2013/1380/oj" TargetMode="External"/><Relationship Id="rId6" Type="http://schemas.openxmlformats.org/officeDocument/2006/relationships/hyperlink" Target="http://data.europa.eu/eli/reg/2023/2842/oj" TargetMode="External"/><Relationship Id="rId11" Type="http://schemas.openxmlformats.org/officeDocument/2006/relationships/hyperlink" Target="http://data.europa.eu/eli/C/2023/1074/oj" TargetMode="External"/><Relationship Id="rId5" Type="http://schemas.openxmlformats.org/officeDocument/2006/relationships/hyperlink" Target="http://data.europa.eu/eli/reg/2019/1241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reg/2009/1224/oj" TargetMode="External"/><Relationship Id="rId9" Type="http://schemas.openxmlformats.org/officeDocument/2006/relationships/hyperlink" Target="http://data.europa.eu/eli/dir/2008/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4467</Words>
  <Characters>27693</Characters>
  <Application>Microsoft Office Word</Application>
  <DocSecurity>0</DocSecurity>
  <Lines>893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2026-04-23T13:32:00Z</dcterms:created>
  <dcterms:modified xsi:type="dcterms:W3CDTF">2026-04-23T13:32:00Z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A10-0018/2026</vt:lpwstr>
  </property>
  <property fmtid="{D5CDD505-2E9C-101B-9397-08002B2CF9AE}" pid="4" name="&lt;Type&gt;">
    <vt:lpwstr>RR</vt:lpwstr>
  </property>
</Properties>
</file>