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0FE8" w14:paraId="5FA83E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D46CE9" w14:textId="77777777" w:rsidR="00751A4A" w:rsidRPr="00E50FE8" w:rsidRDefault="00541B02" w:rsidP="0010095E">
            <w:pPr>
              <w:pStyle w:val="EPName"/>
            </w:pPr>
            <w:r w:rsidRPr="00E50FE8">
              <w:t>Evropský parlament</w:t>
            </w:r>
          </w:p>
          <w:p w14:paraId="0B62FBEB" w14:textId="77777777" w:rsidR="00751A4A" w:rsidRPr="00E50F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0FE8">
              <w:t>2024</w:t>
            </w:r>
            <w:r w:rsidR="00817416" w:rsidRPr="00E50FE8">
              <w:t>-202</w:t>
            </w:r>
            <w:r w:rsidRPr="00E50FE8">
              <w:t>9</w:t>
            </w:r>
          </w:p>
        </w:tc>
        <w:tc>
          <w:tcPr>
            <w:tcW w:w="2268" w:type="dxa"/>
            <w:shd w:val="clear" w:color="auto" w:fill="auto"/>
          </w:tcPr>
          <w:p w14:paraId="6F670E9B" w14:textId="77777777" w:rsidR="00751A4A" w:rsidRPr="00E50FE8" w:rsidRDefault="00187494" w:rsidP="0010095E">
            <w:pPr>
              <w:pStyle w:val="EPLogo"/>
            </w:pPr>
            <w:r w:rsidRPr="00E50FE8">
              <w:rPr>
                <w:noProof/>
                <w:lang w:eastAsia="ja-JP"/>
              </w:rPr>
              <w:drawing>
                <wp:inline distT="0" distB="0" distL="0" distR="0" wp14:anchorId="7A606885" wp14:editId="5F96A0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8201A7" w14:textId="77777777" w:rsidR="00D058B8" w:rsidRPr="00E50FE8" w:rsidRDefault="00D058B8" w:rsidP="004C5D52">
      <w:pPr>
        <w:pStyle w:val="LineTop"/>
      </w:pPr>
    </w:p>
    <w:p w14:paraId="1A86466D" w14:textId="77777777" w:rsidR="00680577" w:rsidRPr="00E50FE8" w:rsidRDefault="00541B02" w:rsidP="00680577">
      <w:pPr>
        <w:pStyle w:val="EPBodyTA1"/>
      </w:pPr>
      <w:r w:rsidRPr="00E50FE8">
        <w:t>PŘIJATÉ TEXTY</w:t>
      </w:r>
    </w:p>
    <w:p w14:paraId="2C488683" w14:textId="77777777" w:rsidR="00D058B8" w:rsidRPr="00E50FE8" w:rsidRDefault="00D058B8" w:rsidP="00D058B8">
      <w:pPr>
        <w:pStyle w:val="LineBottom"/>
      </w:pPr>
    </w:p>
    <w:p w14:paraId="755D0AEE" w14:textId="3DF28A49" w:rsidR="00541B02" w:rsidRPr="00E50FE8" w:rsidRDefault="00541B02" w:rsidP="00541B02">
      <w:pPr>
        <w:pStyle w:val="ATHeading1"/>
      </w:pPr>
      <w:bookmarkStart w:id="0" w:name="TANumber"/>
      <w:r w:rsidRPr="00E50FE8">
        <w:t>P10_</w:t>
      </w:r>
      <w:proofErr w:type="gramStart"/>
      <w:r w:rsidRPr="00E50FE8">
        <w:t>TA(</w:t>
      </w:r>
      <w:proofErr w:type="gramEnd"/>
      <w:r w:rsidRPr="00E50FE8">
        <w:t>2026)00</w:t>
      </w:r>
      <w:r w:rsidR="008C121F">
        <w:t>68</w:t>
      </w:r>
      <w:bookmarkEnd w:id="0"/>
    </w:p>
    <w:p w14:paraId="0D794746" w14:textId="77777777" w:rsidR="00541B02" w:rsidRPr="00E50FE8" w:rsidRDefault="00541B02" w:rsidP="00541B02">
      <w:pPr>
        <w:pStyle w:val="ATHeading2"/>
      </w:pPr>
      <w:bookmarkStart w:id="1" w:name="title"/>
      <w:r w:rsidRPr="00E50FE8">
        <w:t>Připravovaný akt o Evropském výzkumném prostoru (EVP)</w:t>
      </w:r>
      <w:bookmarkEnd w:id="1"/>
    </w:p>
    <w:p w14:paraId="00AFF0D2" w14:textId="77777777" w:rsidR="00541B02" w:rsidRPr="00E50FE8" w:rsidRDefault="00541B02" w:rsidP="00541B02">
      <w:pPr>
        <w:rPr>
          <w:i/>
          <w:vanish/>
        </w:rPr>
      </w:pPr>
      <w:r w:rsidRPr="00E50FE8">
        <w:rPr>
          <w:i/>
        </w:rPr>
        <w:fldChar w:fldCharType="begin"/>
      </w:r>
      <w:r w:rsidRPr="00E50FE8">
        <w:rPr>
          <w:i/>
        </w:rPr>
        <w:instrText xml:space="preserve"> TC"(</w:instrText>
      </w:r>
      <w:bookmarkStart w:id="2" w:name="DocNumber"/>
      <w:r w:rsidRPr="00E50FE8">
        <w:rPr>
          <w:i/>
        </w:rPr>
        <w:instrText>B10-0156/2026</w:instrText>
      </w:r>
      <w:bookmarkEnd w:id="2"/>
      <w:r w:rsidRPr="00E50FE8">
        <w:rPr>
          <w:i/>
        </w:rPr>
        <w:instrText xml:space="preserve">)"\l3 \n&gt; \* MERGEFORMAT </w:instrText>
      </w:r>
      <w:r w:rsidRPr="00E50FE8">
        <w:rPr>
          <w:i/>
        </w:rPr>
        <w:fldChar w:fldCharType="end"/>
      </w:r>
    </w:p>
    <w:p w14:paraId="78B65817" w14:textId="77777777" w:rsidR="00541B02" w:rsidRPr="00E50FE8" w:rsidRDefault="00541B02" w:rsidP="00541B02">
      <w:pPr>
        <w:rPr>
          <w:vanish/>
        </w:rPr>
      </w:pPr>
      <w:bookmarkStart w:id="3" w:name="PE"/>
      <w:r w:rsidRPr="00E50FE8">
        <w:rPr>
          <w:vanish/>
        </w:rPr>
        <w:t>PE784.264</w:t>
      </w:r>
      <w:bookmarkEnd w:id="3"/>
    </w:p>
    <w:p w14:paraId="065E6638" w14:textId="4F252EDF" w:rsidR="00541B02" w:rsidRPr="00E50FE8" w:rsidRDefault="00541B02" w:rsidP="00541B02">
      <w:pPr>
        <w:pStyle w:val="ATHeading3"/>
      </w:pPr>
      <w:bookmarkStart w:id="4" w:name="Sujet"/>
      <w:r w:rsidRPr="00E50FE8">
        <w:t>Usnesení Evropského parlamentu ze dne</w:t>
      </w:r>
      <w:r w:rsidR="0029208B">
        <w:t xml:space="preserve"> </w:t>
      </w:r>
      <w:r w:rsidR="008C121F">
        <w:t>10</w:t>
      </w:r>
      <w:r w:rsidR="0029208B">
        <w:t>. března</w:t>
      </w:r>
      <w:r w:rsidRPr="00E50FE8">
        <w:t xml:space="preserve"> 2026 o připravovaném aktu o Evropském výzkumném prostoru (EVP)</w:t>
      </w:r>
      <w:bookmarkEnd w:id="4"/>
      <w:r w:rsidRPr="00E50FE8">
        <w:t xml:space="preserve"> </w:t>
      </w:r>
      <w:bookmarkStart w:id="5" w:name="References"/>
      <w:r w:rsidRPr="00E50FE8">
        <w:t>(2025/2951(RSP))</w:t>
      </w:r>
      <w:bookmarkEnd w:id="5"/>
    </w:p>
    <w:p w14:paraId="3F486DC6" w14:textId="77777777" w:rsidR="00B53BA5" w:rsidRPr="00E50FE8" w:rsidRDefault="00B53BA5" w:rsidP="00B53BA5">
      <w:pPr>
        <w:tabs>
          <w:tab w:val="left" w:pos="-1104"/>
          <w:tab w:val="left" w:pos="-96"/>
          <w:tab w:val="left" w:pos="240"/>
          <w:tab w:val="left" w:pos="624"/>
          <w:tab w:val="left" w:pos="1200"/>
          <w:tab w:val="left" w:pos="1824"/>
          <w:tab w:val="left" w:pos="2400"/>
          <w:tab w:val="left" w:pos="3024"/>
          <w:tab w:val="left" w:pos="3600"/>
          <w:tab w:val="left" w:pos="4224"/>
          <w:tab w:val="left" w:pos="4800"/>
          <w:tab w:val="left" w:pos="5424"/>
          <w:tab w:val="left" w:pos="6000"/>
          <w:tab w:val="left" w:pos="6624"/>
          <w:tab w:val="left" w:pos="7200"/>
          <w:tab w:val="left" w:pos="7824"/>
          <w:tab w:val="left" w:pos="8400"/>
          <w:tab w:val="left" w:pos="9024"/>
        </w:tabs>
        <w:suppressAutoHyphens/>
        <w:spacing w:before="480" w:after="240"/>
        <w:jc w:val="both"/>
        <w:rPr>
          <w:spacing w:val="-2"/>
        </w:rPr>
      </w:pPr>
      <w:bookmarkStart w:id="6" w:name="TextBodyBegin"/>
      <w:bookmarkEnd w:id="6"/>
      <w:r w:rsidRPr="00E50FE8">
        <w:rPr>
          <w:i/>
        </w:rPr>
        <w:t>Evropský parlament</w:t>
      </w:r>
      <w:r w:rsidRPr="00E50FE8">
        <w:t>,</w:t>
      </w:r>
    </w:p>
    <w:p w14:paraId="58A80AFD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Smlouvu o fungování Evropské unie (SFEU), a zejména na článek 179 této smlouvy,</w:t>
      </w:r>
    </w:p>
    <w:p w14:paraId="41BA5F61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pověřovací dopis předsedkyně Komise ze dne 1. prosince 2024 adresovaný komisařce odpovědné za začínající podniky, výzkum a inovace,</w:t>
      </w:r>
    </w:p>
    <w:p w14:paraId="25E9F36B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pracovní program Komise na rok 2026 (</w:t>
      </w:r>
      <w:proofErr w:type="gramStart"/>
      <w:r w:rsidRPr="00E50FE8">
        <w:t>COM(</w:t>
      </w:r>
      <w:proofErr w:type="gramEnd"/>
      <w:r w:rsidRPr="00E50FE8">
        <w:t>2025)0870),</w:t>
      </w:r>
    </w:p>
    <w:p w14:paraId="1B2C07EC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návrh doporučení Rady, který dne 28. února 2025 předložila Komise, o politickém programu Evropského výzkumného prostoru na období 2025–2027 (</w:t>
      </w:r>
      <w:proofErr w:type="gramStart"/>
      <w:r w:rsidRPr="00E50FE8">
        <w:t>COM(</w:t>
      </w:r>
      <w:proofErr w:type="gramEnd"/>
      <w:r w:rsidRPr="00E50FE8">
        <w:t>2025)0062),</w:t>
      </w:r>
    </w:p>
    <w:p w14:paraId="0338971E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srovnávací přehled Evropského výzkumného prostoru (EVP) 2024, který vypracovala Komise,</w:t>
      </w:r>
    </w:p>
    <w:p w14:paraId="2D0A1E16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 xml:space="preserve">s ohledem na zprávu Maria </w:t>
      </w:r>
      <w:proofErr w:type="spellStart"/>
      <w:r w:rsidRPr="00E50FE8">
        <w:t>Draghiho</w:t>
      </w:r>
      <w:proofErr w:type="spellEnd"/>
      <w:r w:rsidRPr="00E50FE8">
        <w:t xml:space="preserve"> ze září 2024 s názvem „On </w:t>
      </w:r>
      <w:proofErr w:type="spellStart"/>
      <w:r w:rsidRPr="00E50FE8">
        <w:t>the</w:t>
      </w:r>
      <w:proofErr w:type="spellEnd"/>
      <w:r w:rsidRPr="00E50FE8">
        <w:t xml:space="preserve"> </w:t>
      </w:r>
      <w:proofErr w:type="spellStart"/>
      <w:r w:rsidRPr="00E50FE8">
        <w:t>future</w:t>
      </w:r>
      <w:proofErr w:type="spellEnd"/>
      <w:r w:rsidRPr="00E50FE8">
        <w:t xml:space="preserve"> </w:t>
      </w:r>
      <w:proofErr w:type="spellStart"/>
      <w:r w:rsidRPr="00E50FE8">
        <w:t>of</w:t>
      </w:r>
      <w:proofErr w:type="spellEnd"/>
      <w:r w:rsidRPr="00E50FE8">
        <w:t xml:space="preserve"> </w:t>
      </w:r>
      <w:proofErr w:type="spellStart"/>
      <w:r w:rsidRPr="00E50FE8">
        <w:t>European</w:t>
      </w:r>
      <w:proofErr w:type="spellEnd"/>
      <w:r w:rsidRPr="00E50FE8">
        <w:t xml:space="preserve"> </w:t>
      </w:r>
      <w:proofErr w:type="spellStart"/>
      <w:r w:rsidRPr="00E50FE8">
        <w:t>competitiveness</w:t>
      </w:r>
      <w:proofErr w:type="spellEnd"/>
      <w:r w:rsidRPr="00E50FE8">
        <w:t>“ („O budoucnosti evropské konkurenceschopnosti“),</w:t>
      </w:r>
    </w:p>
    <w:p w14:paraId="7830F0B5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 xml:space="preserve">s ohledem na zprávu Enrica </w:t>
      </w:r>
      <w:proofErr w:type="spellStart"/>
      <w:r w:rsidRPr="00E50FE8">
        <w:t>Letty</w:t>
      </w:r>
      <w:proofErr w:type="spellEnd"/>
      <w:r w:rsidRPr="00E50FE8">
        <w:t xml:space="preserve"> z dubna 2024 s názvem „Much more </w:t>
      </w:r>
      <w:proofErr w:type="spellStart"/>
      <w:r w:rsidRPr="00E50FE8">
        <w:t>than</w:t>
      </w:r>
      <w:proofErr w:type="spellEnd"/>
      <w:r w:rsidRPr="00E50FE8">
        <w:t xml:space="preserve"> a market“ („Mnohem více než jen trh“),</w:t>
      </w:r>
    </w:p>
    <w:p w14:paraId="088F41E0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 xml:space="preserve">s ohledem na zprávu nezávislé skupiny odborníků vedené Manuelem </w:t>
      </w:r>
      <w:proofErr w:type="spellStart"/>
      <w:r w:rsidRPr="00E50FE8">
        <w:t>Heitorem</w:t>
      </w:r>
      <w:proofErr w:type="spellEnd"/>
      <w:r w:rsidRPr="00E50FE8">
        <w:t xml:space="preserve"> z října 2024 s názvem „</w:t>
      </w:r>
      <w:proofErr w:type="spellStart"/>
      <w:r w:rsidRPr="00E50FE8">
        <w:t>Align</w:t>
      </w:r>
      <w:proofErr w:type="spellEnd"/>
      <w:r w:rsidRPr="00E50FE8">
        <w:t xml:space="preserve">, </w:t>
      </w:r>
      <w:proofErr w:type="spellStart"/>
      <w:r w:rsidRPr="00E50FE8">
        <w:t>act</w:t>
      </w:r>
      <w:proofErr w:type="spellEnd"/>
      <w:r w:rsidRPr="00E50FE8">
        <w:t xml:space="preserve">, </w:t>
      </w:r>
      <w:proofErr w:type="spellStart"/>
      <w:r w:rsidRPr="00E50FE8">
        <w:t>accelerate</w:t>
      </w:r>
      <w:proofErr w:type="spellEnd"/>
      <w:r w:rsidRPr="00E50FE8">
        <w:t xml:space="preserve"> – </w:t>
      </w:r>
      <w:proofErr w:type="spellStart"/>
      <w:r w:rsidRPr="00E50FE8">
        <w:t>Research</w:t>
      </w:r>
      <w:proofErr w:type="spellEnd"/>
      <w:r w:rsidRPr="00E50FE8">
        <w:t xml:space="preserve">, technology and </w:t>
      </w:r>
      <w:proofErr w:type="spellStart"/>
      <w:r w:rsidRPr="00E50FE8">
        <w:t>innovation</w:t>
      </w:r>
      <w:proofErr w:type="spellEnd"/>
      <w:r w:rsidRPr="00E50FE8">
        <w:t xml:space="preserve"> to </w:t>
      </w:r>
      <w:proofErr w:type="spellStart"/>
      <w:r w:rsidRPr="00E50FE8">
        <w:t>boost</w:t>
      </w:r>
      <w:proofErr w:type="spellEnd"/>
      <w:r w:rsidRPr="00E50FE8">
        <w:t xml:space="preserve"> </w:t>
      </w:r>
      <w:proofErr w:type="spellStart"/>
      <w:r w:rsidRPr="00E50FE8">
        <w:t>European</w:t>
      </w:r>
      <w:proofErr w:type="spellEnd"/>
      <w:r w:rsidRPr="00E50FE8">
        <w:t xml:space="preserve"> </w:t>
      </w:r>
      <w:proofErr w:type="spellStart"/>
      <w:r w:rsidRPr="00E50FE8">
        <w:t>competitiveness</w:t>
      </w:r>
      <w:proofErr w:type="spellEnd"/>
      <w:r w:rsidRPr="00E50FE8">
        <w:t>“ („Sladit, jednat, urychlit – Výzkum, technologie a inovace na podporu evropské konkurenceschopnosti“),</w:t>
      </w:r>
    </w:p>
    <w:p w14:paraId="7ADED410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sdělení Komise ze dne 22. října 2024 nazvané „Provádění Evropského výzkumného prostoru (EVP) – Posílení evropského výzkumu a inovací: Cesta EVP a jeho budoucí směřování“ (</w:t>
      </w:r>
      <w:proofErr w:type="gramStart"/>
      <w:r w:rsidRPr="00E50FE8">
        <w:t>COM(</w:t>
      </w:r>
      <w:proofErr w:type="gramEnd"/>
      <w:r w:rsidRPr="00E50FE8">
        <w:t>2024)0490),</w:t>
      </w:r>
    </w:p>
    <w:p w14:paraId="517A51AA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 xml:space="preserve">s ohledem na doporučení Rady ze dne 24. června 2025 o politickém programu </w:t>
      </w:r>
      <w:r w:rsidRPr="00E50FE8">
        <w:lastRenderedPageBreak/>
        <w:t>Evropského výzkumného prostoru na období 2025–2027</w:t>
      </w:r>
      <w:r w:rsidRPr="00E50FE8">
        <w:rPr>
          <w:rStyle w:val="FootnoteReference"/>
        </w:rPr>
        <w:footnoteReference w:id="1"/>
      </w:r>
      <w:r w:rsidRPr="00E50FE8">
        <w:t>,</w:t>
      </w:r>
    </w:p>
    <w:p w14:paraId="5C9BB74E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sdělení Komise ze dne 30. září 2020 nazvané „Nový EVP pro výzkum a inovace“ (</w:t>
      </w:r>
      <w:proofErr w:type="gramStart"/>
      <w:r w:rsidRPr="00E50FE8">
        <w:t>COM(</w:t>
      </w:r>
      <w:proofErr w:type="gramEnd"/>
      <w:r w:rsidRPr="00E50FE8">
        <w:t>2020)0628),</w:t>
      </w:r>
    </w:p>
    <w:p w14:paraId="5CD40F4A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doporučení Rady (EU) 2021/2122 ze dne 26. listopadu 2021 o Paktu pro výzkum a inovace v Evropě</w:t>
      </w:r>
      <w:r w:rsidRPr="00E50FE8">
        <w:rPr>
          <w:rStyle w:val="FootnoteReference"/>
        </w:rPr>
        <w:footnoteReference w:id="2"/>
      </w:r>
      <w:r w:rsidRPr="00E50FE8">
        <w:t>,</w:t>
      </w:r>
    </w:p>
    <w:p w14:paraId="4E5B6F8F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politický program EVP na období 2022–2024,</w:t>
      </w:r>
    </w:p>
    <w:p w14:paraId="24D3AD73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politický program EVP na období 2025–2027,</w:t>
      </w:r>
    </w:p>
    <w:p w14:paraId="67B1C8DA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Bonnskou deklaraci o svobodě vědeckého výzkumu,</w:t>
      </w:r>
    </w:p>
    <w:p w14:paraId="2A733641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své usnesení ze dne 14. prosince 2023 o mladých výzkumných pracovnících</w:t>
      </w:r>
      <w:r w:rsidRPr="00E50FE8">
        <w:rPr>
          <w:rStyle w:val="FootnoteReference"/>
        </w:rPr>
        <w:footnoteReference w:id="3"/>
      </w:r>
      <w:r w:rsidRPr="00E50FE8">
        <w:t>,</w:t>
      </w:r>
    </w:p>
    <w:p w14:paraId="20F51409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své usnesení ze dne 17. ledna 2024 obsahující doporučení Komisi pro podporu svobody vědeckého výzkumu v EU</w:t>
      </w:r>
      <w:r w:rsidRPr="00E50FE8">
        <w:rPr>
          <w:rStyle w:val="FootnoteReference"/>
        </w:rPr>
        <w:footnoteReference w:id="4"/>
      </w:r>
      <w:r w:rsidRPr="00E50FE8">
        <w:t>,</w:t>
      </w:r>
    </w:p>
    <w:p w14:paraId="750E6E7D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doporučení Komise ze dne 11. března 2005 o Evropské chartě pro výzkumné pracovníky a o Kodexu chování pro přijímání výzkumných pracovníků</w:t>
      </w:r>
      <w:r w:rsidRPr="00E50FE8">
        <w:rPr>
          <w:rStyle w:val="FootnoteReference"/>
        </w:rPr>
        <w:footnoteReference w:id="5"/>
      </w:r>
      <w:r w:rsidRPr="00E50FE8">
        <w:t>,</w:t>
      </w:r>
    </w:p>
    <w:p w14:paraId="45B1ADB7" w14:textId="136CF8EB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otázky týkající se připravovaného aktu o Evropském výzkumném prostoru (EVP) položené Radě a Komisi (O-000007/2026 – B10-000</w:t>
      </w:r>
      <w:r w:rsidR="00E54D21">
        <w:t>6</w:t>
      </w:r>
      <w:r w:rsidRPr="00E50FE8">
        <w:t>/2026 a O-000008/2026 – B10-</w:t>
      </w:r>
      <w:r w:rsidR="00E54D21" w:rsidRPr="00E50FE8">
        <w:t>000</w:t>
      </w:r>
      <w:r w:rsidR="00E54D21">
        <w:t>7</w:t>
      </w:r>
      <w:r w:rsidRPr="00E50FE8">
        <w:t>/2026),</w:t>
      </w:r>
    </w:p>
    <w:p w14:paraId="4C622C82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čl. 142 odst. 5 a čl. 136 odst. 2 jednacího řádu,</w:t>
      </w:r>
    </w:p>
    <w:p w14:paraId="6D5247B2" w14:textId="77777777" w:rsidR="00B53BA5" w:rsidRPr="00E50FE8" w:rsidRDefault="00B53BA5" w:rsidP="00B53BA5">
      <w:pPr>
        <w:pStyle w:val="NormalHanging12a"/>
      </w:pPr>
      <w:r w:rsidRPr="00E50FE8">
        <w:t>–</w:t>
      </w:r>
      <w:r w:rsidRPr="00E50FE8">
        <w:tab/>
        <w:t>s ohledem na návrh usnesení Výboru pro průmysl, výzkum a energetiku,</w:t>
      </w:r>
    </w:p>
    <w:p w14:paraId="08957B04" w14:textId="77777777" w:rsidR="00B53BA5" w:rsidRPr="00E50FE8" w:rsidRDefault="00B53BA5" w:rsidP="00B53BA5">
      <w:pPr>
        <w:pStyle w:val="NormalHanging12a"/>
      </w:pPr>
      <w:r w:rsidRPr="00E50FE8">
        <w:t>A.</w:t>
      </w:r>
      <w:r w:rsidRPr="00E50FE8">
        <w:tab/>
        <w:t xml:space="preserve">vzhledem k tomu, že článek 179 SFEU stanoví cíl posílit vědecké a technologické základny Unie prostřednictvím Evropského výzkumného prostoru (EVP), který umožní volný pohyb výzkumných pracovníků, vědeckých poznatků a technologií, </w:t>
      </w:r>
      <w:proofErr w:type="gramStart"/>
      <w:r w:rsidRPr="00E50FE8">
        <w:t>zlepší</w:t>
      </w:r>
      <w:proofErr w:type="gramEnd"/>
      <w:r w:rsidRPr="00E50FE8">
        <w:t xml:space="preserve"> konkurenceschopnost a podpoří veškerou výzkumnou činnost;</w:t>
      </w:r>
    </w:p>
    <w:p w14:paraId="699D0BF6" w14:textId="77777777" w:rsidR="00B53BA5" w:rsidRPr="00E50FE8" w:rsidRDefault="00B53BA5" w:rsidP="00B53BA5">
      <w:pPr>
        <w:pStyle w:val="NormalHanging12a"/>
      </w:pPr>
      <w:r w:rsidRPr="00E50FE8">
        <w:t>B.</w:t>
      </w:r>
      <w:r w:rsidRPr="00E50FE8">
        <w:tab/>
        <w:t xml:space="preserve">vzhledem k tomu, že akt o EVP představuje klíčovou příležitost k pozvednutí evropského výzkumu, neboť </w:t>
      </w:r>
      <w:proofErr w:type="gramStart"/>
      <w:r w:rsidRPr="00E50FE8">
        <w:t>řeší</w:t>
      </w:r>
      <w:proofErr w:type="gramEnd"/>
      <w:r w:rsidRPr="00E50FE8">
        <w:t xml:space="preserve"> strukturální problémy ovlivňující ekosystém výzkumu a inovací v EU, k nimž patří nedostatečná koordinace a spolupráce, roztříštěnost systému a nerovnoměrná výkonnost;</w:t>
      </w:r>
    </w:p>
    <w:p w14:paraId="48E0CF75" w14:textId="77777777" w:rsidR="00B53BA5" w:rsidRPr="00E50FE8" w:rsidRDefault="00B53BA5" w:rsidP="00B53BA5">
      <w:pPr>
        <w:pStyle w:val="NormalHanging12a"/>
      </w:pPr>
      <w:r w:rsidRPr="00E50FE8">
        <w:t>C.</w:t>
      </w:r>
      <w:r w:rsidRPr="00E50FE8">
        <w:tab/>
        <w:t>vzhledem k tomu, že akt o EVP může pomoci uskutečnit „pátou svobodu“ tím, že stanoví společné normy, zajistí jednotné uplatňování pravidel a přispěje k Plánu pro jednotný trh do roku 2028 a k vytváření kvalitních pracovních míst;</w:t>
      </w:r>
    </w:p>
    <w:p w14:paraId="73839557" w14:textId="77777777" w:rsidR="00B53BA5" w:rsidRPr="00E50FE8" w:rsidRDefault="00B53BA5" w:rsidP="00B53BA5">
      <w:pPr>
        <w:pStyle w:val="NormalHanging12a"/>
      </w:pPr>
      <w:r w:rsidRPr="00E50FE8">
        <w:t>D.</w:t>
      </w:r>
      <w:r w:rsidRPr="00E50FE8">
        <w:tab/>
        <w:t xml:space="preserve">vzhledem k tomu, že Unii stále chybí integrovaný EVP, jenž by přitahoval a udržel talenty, a to kvůli překážkám, jako je nedostačující stanovení priorit pro investice do </w:t>
      </w:r>
      <w:r w:rsidRPr="00E50FE8">
        <w:lastRenderedPageBreak/>
        <w:t>výzkumu a inovací – přičemž jen málo členských států splnilo cíl 3 % HDP –, nedostatečná koordinace politik v oblasti výzkumu a inovací a přetrvávání roztříštěnosti, rozdílů ve výkonnosti a nadměrné administrativní zátěže pro výzkumné pracovníky a univerzity;</w:t>
      </w:r>
    </w:p>
    <w:p w14:paraId="1A0522A5" w14:textId="77777777" w:rsidR="00B53BA5" w:rsidRPr="00E50FE8" w:rsidRDefault="00B53BA5" w:rsidP="00B53BA5">
      <w:pPr>
        <w:pStyle w:val="NormalHanging12a"/>
      </w:pPr>
      <w:r w:rsidRPr="00E50FE8">
        <w:t>E.</w:t>
      </w:r>
      <w:r w:rsidRPr="00E50FE8">
        <w:tab/>
        <w:t xml:space="preserve">vzhledem k tomu, že politický program EVP </w:t>
      </w:r>
      <w:proofErr w:type="gramStart"/>
      <w:r w:rsidRPr="00E50FE8">
        <w:t>slouží</w:t>
      </w:r>
      <w:proofErr w:type="gramEnd"/>
      <w:r w:rsidRPr="00E50FE8">
        <w:t xml:space="preserve"> jako cenný nezávazný rámec, který směruje politiky na vnitrostátní úrovni i na úrovni EU v souladu s cíli článku 179 SFEU a podporuje dobrovolnou koordinaci a spolupráci mezi členskými státy a Unií; vzhledem k tomu, že má-li se pro soudržný a vysoce výkonný EVP poskytnout pevnější základ, musí být v rámci budoucího aktu o EVP doplněny tyto cíle o ustanovení a pobídky a o nástroje, jako je evropský semestr;</w:t>
      </w:r>
    </w:p>
    <w:p w14:paraId="520EC71E" w14:textId="77777777" w:rsidR="00B53BA5" w:rsidRPr="00E50FE8" w:rsidRDefault="00B53BA5" w:rsidP="00B53BA5">
      <w:pPr>
        <w:pStyle w:val="NormalHanging12a"/>
      </w:pPr>
      <w:r w:rsidRPr="00E50FE8">
        <w:t>F.</w:t>
      </w:r>
      <w:r w:rsidRPr="00E50FE8">
        <w:tab/>
        <w:t>vzhledem k tomu, že ústředními hodnotami EVP jsou svoboda vědeckého výzkumu, včetně nezávislosti a institucionální autonomie výzkumných pracovníků, excelence, otevřenost a sociální odpovědnost a že tyto hodnoty mají zásadní význam pro evropskou demokracii, konkurenceschopnost a inovační kapacitu, což z Evropy činí bezpečné útočiště pro výzkumné pracovníky z celého světa;</w:t>
      </w:r>
    </w:p>
    <w:p w14:paraId="1BF9A610" w14:textId="77777777" w:rsidR="00B53BA5" w:rsidRPr="00E50FE8" w:rsidRDefault="00B53BA5" w:rsidP="00B53BA5">
      <w:pPr>
        <w:pStyle w:val="NormalHanging12a"/>
      </w:pPr>
      <w:r w:rsidRPr="00E50FE8">
        <w:t>1.</w:t>
      </w:r>
      <w:r w:rsidRPr="00E50FE8">
        <w:tab/>
        <w:t>podporuje sladění unijních a vnitrostátních priorit v oblasti výzkumu a inovací s cílem zajistit doplňkovost, posílit spolupráci mezi univerzitami, výzkumnými organizacemi, regiony, členskými státy a průmyslovými odvětvími, vytvořit účinný rámec správy, zatraktivnit kariéru ve výzkumu a soukromé investice a splnit cíl Unie v oblasti investic do výzkumu a vývoje ve výši 3 % HDP;</w:t>
      </w:r>
    </w:p>
    <w:p w14:paraId="53647752" w14:textId="77777777" w:rsidR="00B53BA5" w:rsidRPr="00E50FE8" w:rsidRDefault="00B53BA5" w:rsidP="00B53BA5">
      <w:pPr>
        <w:pStyle w:val="NormalHanging12a"/>
      </w:pPr>
      <w:r w:rsidRPr="00E50FE8">
        <w:t>2.</w:t>
      </w:r>
      <w:r w:rsidRPr="00E50FE8">
        <w:tab/>
        <w:t>žádá, aby byl v zájmu zajištění závazného a vymahatelného rámce pro EVP přijat jako součást politického programu EVP na období 2025–2027 dvoukolejný přístup dobrovolné spolupráce v kombinaci s legislativními opatřeními, jako jsou akt o EVP a doplňkové iniciativy;</w:t>
      </w:r>
    </w:p>
    <w:p w14:paraId="504277E1" w14:textId="77777777" w:rsidR="00B53BA5" w:rsidRPr="00E50FE8" w:rsidRDefault="00B53BA5" w:rsidP="00B53BA5">
      <w:pPr>
        <w:pStyle w:val="NormalHanging12a"/>
      </w:pPr>
      <w:r w:rsidRPr="00E50FE8">
        <w:t>3.</w:t>
      </w:r>
      <w:r w:rsidRPr="00E50FE8">
        <w:tab/>
        <w:t>doporučuje, aby se akt o EVP stal nařízením, přímo použitelným ve všech členských státech, kterým se splní cíle článku 179 SFEU, tj. podnítí se soukromé investice do výzkumu a vývoje a volný pohyb výzkumných pracovníků, vědeckých poznatků a technologií a přispěje se ke snížení roztříštěnosti jednotného trhu;</w:t>
      </w:r>
    </w:p>
    <w:p w14:paraId="20FDCC94" w14:textId="77777777" w:rsidR="00B53BA5" w:rsidRPr="00E50FE8" w:rsidRDefault="00B53BA5" w:rsidP="00B53BA5">
      <w:pPr>
        <w:pStyle w:val="NormalHanging12a"/>
      </w:pPr>
      <w:r w:rsidRPr="00E50FE8">
        <w:t>4.</w:t>
      </w:r>
      <w:r w:rsidRPr="00E50FE8">
        <w:tab/>
        <w:t>znovu potvrzuje význam svobody vědeckého výzkumu a institucionální autonomie; žádá, aby návrh aktu o EVP doprovázel oddělený legislativní návrh se samostatným právním základem, jenž bude chránit základní svobody vědeckého výzkumu a bude obsahovat minimální normy pro práva výzkumných pracovníků, etické chování, integritu a institucionální nezávislost, a aby jej podporovaly účinné monitorovací mechanismy;</w:t>
      </w:r>
    </w:p>
    <w:p w14:paraId="439E1B70" w14:textId="77777777" w:rsidR="00B53BA5" w:rsidRPr="00E50FE8" w:rsidRDefault="00B53BA5" w:rsidP="00B53BA5">
      <w:pPr>
        <w:pStyle w:val="NormalHanging12a"/>
      </w:pPr>
      <w:r w:rsidRPr="00E50FE8">
        <w:t>5.</w:t>
      </w:r>
      <w:r w:rsidRPr="00E50FE8">
        <w:tab/>
        <w:t>žádá, aby akt o EVP zahrnoval cíl Unie investovat do roku 2030 nejméně 3 % HDP Unie do výzkumu a vývoje, který budou doplňovat jako příspěvky k cíli Unie vnitrostátní cíle pro celkové výdaje na výzkum a vývoj; vyzývá členské státy, aby prostřednictvím vnitrostátních plánů a cílů zlepšily koordinaci investic do výzkumu a vývoje a zajistily tak doplňkovost veřejného a soukromého financování; uznává, že klíčem k podpoře soukromých investic, dosažení 3% cíle a podpoře kvalitních pracovních míst jsou společnosti a průmyslová odvětví zaměřená na výzkum;</w:t>
      </w:r>
    </w:p>
    <w:p w14:paraId="238F7114" w14:textId="77777777" w:rsidR="00B53BA5" w:rsidRDefault="00B53BA5" w:rsidP="00B53BA5">
      <w:pPr>
        <w:pStyle w:val="NormalHanging12a"/>
      </w:pPr>
      <w:r w:rsidRPr="00E50FE8">
        <w:t>6.</w:t>
      </w:r>
      <w:r w:rsidRPr="00E50FE8">
        <w:tab/>
        <w:t xml:space="preserve">žádá, aby byla přijata ustanovení, jež prostřednictvím užší koordinace a partnerství veřejného a soukromého sektoru posílí účast soukromého sektoru v unijním ekosystému </w:t>
      </w:r>
      <w:r w:rsidRPr="00E50FE8">
        <w:lastRenderedPageBreak/>
        <w:t>výzkumu a inovací, vypořádají se s přetrváváním investiční mezery a roztříštěnosti trhu a </w:t>
      </w:r>
      <w:proofErr w:type="gramStart"/>
      <w:r w:rsidRPr="00E50FE8">
        <w:t>dokončí</w:t>
      </w:r>
      <w:proofErr w:type="gramEnd"/>
      <w:r w:rsidRPr="00E50FE8">
        <w:t xml:space="preserve"> unii kapitálových trhů, a v důsledku toho urychlí zhodnocování znalostí, posílí technologickou suverenitu a podpoří regionální inovační ekosystémy;</w:t>
      </w:r>
    </w:p>
    <w:p w14:paraId="68849CDB" w14:textId="4495E428" w:rsidR="008C121F" w:rsidRPr="00E50FE8" w:rsidRDefault="008C121F" w:rsidP="00B53BA5">
      <w:pPr>
        <w:pStyle w:val="NormalHanging12a"/>
      </w:pPr>
      <w:r>
        <w:t>7</w:t>
      </w:r>
      <w:r w:rsidRPr="008C121F">
        <w:t>.</w:t>
      </w:r>
      <w:r w:rsidRPr="008C121F">
        <w:tab/>
        <w:t>vyzývá k větší podpoře veřejného výzkumu posílením financování evropských programů, jako je Horizont Evropa; vybízí členské státy, aby navýšily finanční zdroje pro univerzity a veřejné výzkumné organizace;</w:t>
      </w:r>
    </w:p>
    <w:p w14:paraId="50F1DA7D" w14:textId="5695FC54" w:rsidR="00B53BA5" w:rsidRPr="00E50FE8" w:rsidRDefault="008C121F" w:rsidP="00B53BA5">
      <w:pPr>
        <w:pStyle w:val="NormalHanging12a"/>
      </w:pPr>
      <w:r>
        <w:t>8</w:t>
      </w:r>
      <w:r w:rsidR="00B53BA5" w:rsidRPr="00E50FE8">
        <w:t>.</w:t>
      </w:r>
      <w:r w:rsidR="00B53BA5" w:rsidRPr="00E50FE8">
        <w:tab/>
        <w:t>vyzývá členské státy, aby provedly reformy, kterými odstraní překážky volného pohybu výzkumných pracovníků a znalostí a </w:t>
      </w:r>
      <w:proofErr w:type="gramStart"/>
      <w:r w:rsidR="00B53BA5" w:rsidRPr="00E50FE8">
        <w:t>zlepší</w:t>
      </w:r>
      <w:proofErr w:type="gramEnd"/>
      <w:r w:rsidR="00B53BA5" w:rsidRPr="00E50FE8">
        <w:t xml:space="preserve"> přeshraniční spolupráci a inovace, aby se z Evropy stalo inkluzivní a atraktivní globální výzkumné společenství;</w:t>
      </w:r>
    </w:p>
    <w:p w14:paraId="6957DF86" w14:textId="52FDFBC1" w:rsidR="00B53BA5" w:rsidRPr="00E50FE8" w:rsidRDefault="008C121F" w:rsidP="00B53BA5">
      <w:pPr>
        <w:pStyle w:val="NormalHanging12a"/>
      </w:pPr>
      <w:r>
        <w:t>9</w:t>
      </w:r>
      <w:r w:rsidR="00B53BA5" w:rsidRPr="00E50FE8">
        <w:t>.</w:t>
      </w:r>
      <w:r w:rsidR="00B53BA5" w:rsidRPr="00E50FE8">
        <w:tab/>
        <w:t>doporučuje, aby akt o EVP využíval plánování, měřitelné metriky a nástroje pro monitorování, podávání zpráv a hodnocení a aby se snažil zajistit rovnováhu mezi oblastmi výzkumu a základním a aplikovaným výzkumem;</w:t>
      </w:r>
    </w:p>
    <w:p w14:paraId="6B270A05" w14:textId="74B001C3" w:rsidR="00B53BA5" w:rsidRPr="00E50FE8" w:rsidRDefault="008C121F" w:rsidP="00B53BA5">
      <w:pPr>
        <w:pStyle w:val="NormalHanging12a"/>
      </w:pPr>
      <w:r>
        <w:t>10</w:t>
      </w:r>
      <w:r w:rsidR="00B53BA5" w:rsidRPr="00E50FE8">
        <w:t>.</w:t>
      </w:r>
      <w:r w:rsidR="00B53BA5" w:rsidRPr="00E50FE8">
        <w:tab/>
        <w:t>žádá, aby bylo posíleno řízení EVP a racionalizovány stávající politické a monitorovací nástroje;</w:t>
      </w:r>
    </w:p>
    <w:p w14:paraId="53B842B3" w14:textId="1F409033" w:rsidR="00B53BA5" w:rsidRPr="00E50FE8" w:rsidRDefault="008C121F" w:rsidP="00B53BA5">
      <w:pPr>
        <w:pStyle w:val="NormalHanging12a"/>
      </w:pPr>
      <w:r w:rsidRPr="00E50FE8">
        <w:t>1</w:t>
      </w:r>
      <w:r>
        <w:t>1</w:t>
      </w:r>
      <w:r w:rsidR="00B53BA5" w:rsidRPr="00E50FE8">
        <w:t>.</w:t>
      </w:r>
      <w:r w:rsidR="00B53BA5" w:rsidRPr="00E50FE8">
        <w:tab/>
        <w:t>vyzývá Komisi a členské státy, aby v zájmu posílení globálního vedoucího postavení Evropy v oblasti vědy a technologií a v souladu se zastřešujícími prioritami EVP zlepšily koordinaci mezi vnitrostátními a unijními iniciativami v oblasti výzkumu a inovací a zajistily součinnost mezi vnitrostátními a unijními nástroji a politikami financování;</w:t>
      </w:r>
    </w:p>
    <w:p w14:paraId="5EE3A19F" w14:textId="0AE8BFD5" w:rsidR="00B53BA5" w:rsidRPr="00E50FE8" w:rsidRDefault="008C121F" w:rsidP="00B53BA5">
      <w:pPr>
        <w:pStyle w:val="NormalHanging12a"/>
      </w:pPr>
      <w:r w:rsidRPr="00E50FE8">
        <w:t>1</w:t>
      </w:r>
      <w:r>
        <w:t>2</w:t>
      </w:r>
      <w:r w:rsidR="00B53BA5" w:rsidRPr="00E50FE8">
        <w:t>.</w:t>
      </w:r>
      <w:r w:rsidR="00B53BA5" w:rsidRPr="00E50FE8">
        <w:tab/>
        <w:t>vyzývá k silnějším a inkluzivnějším evropským inovačním a technologickým ekosystémům, které budou podporovat spolupráci mezi univerzitami, výzkumnými institucemi, začínajícími podniky, malými a středními podniky a průmyslem s cílem zajistit účinné a bezpečné předávání znalostí a lepší využívání výsledků evropskými společnostmi, a dále budou podporovat zvyšování kvalifikace, rekvalifikaci a celoživotní učení; zdůrazňuje, že je třeba řešit rozdíly v oblasti výzkumu a inovací mezi členskými státy, zejména těmi s nižší výkonností v oblasti výzkumu a inovací, a zlepšit účast těchto států v programech Unie;</w:t>
      </w:r>
    </w:p>
    <w:p w14:paraId="5DBC2D5F" w14:textId="1E1416E9" w:rsidR="00B53BA5" w:rsidRPr="00E50FE8" w:rsidRDefault="008C121F" w:rsidP="00B53BA5">
      <w:pPr>
        <w:pStyle w:val="NormalHanging12a"/>
      </w:pPr>
      <w:r w:rsidRPr="00E50FE8">
        <w:t>1</w:t>
      </w:r>
      <w:r>
        <w:t>3</w:t>
      </w:r>
      <w:r w:rsidR="00B53BA5" w:rsidRPr="00E50FE8">
        <w:t>.</w:t>
      </w:r>
      <w:r w:rsidR="00B53BA5" w:rsidRPr="00E50FE8">
        <w:tab/>
        <w:t>zdůrazňuje, že fungující EVP vyžaduje volný pohyb výzkumných pracovníků a znalostí a přeshraniční spolupráci; žádá, aby byla přijata konkrétní opatření, jež usnadní a zjednoduší profesní dráhu výzkumných pracovníků, zejména mladých a začínajících výzkumných pracovníků, zlepší mobilitu a vzájemné uznávání kvalifikací a usnadní postupy udělování víz; znovu opakuje, že podporuje Evropskou chartu pro výzkumné pracovníky; konstatuje, že práce na dálku a hybridní práce vytvářejí pro výzkumné pracovníky příležitosti k tomu, aby mohli pracovat v jiných členských státech, aniž by se museli přemístit;</w:t>
      </w:r>
    </w:p>
    <w:p w14:paraId="172582D6" w14:textId="03BFBBE5" w:rsidR="00B53BA5" w:rsidRPr="00E50FE8" w:rsidRDefault="008C121F" w:rsidP="00B53BA5">
      <w:pPr>
        <w:pStyle w:val="NormalHanging12a"/>
      </w:pPr>
      <w:r w:rsidRPr="00E50FE8">
        <w:t>1</w:t>
      </w:r>
      <w:r>
        <w:t>4</w:t>
      </w:r>
      <w:r w:rsidR="00B53BA5" w:rsidRPr="00E50FE8">
        <w:t>.</w:t>
      </w:r>
      <w:r w:rsidR="00B53BA5" w:rsidRPr="00E50FE8">
        <w:tab/>
        <w:t>naléhavě vyzývá Komisi a členské státy, aby v oblasti výzkumu a inovací, zejména v nedostatečně zastoupených odvětvích, prosazovaly rovnost žen a mužů a rovné příležitosti a současně aby snižovaly rozdíly v odměňování žen a mužů;</w:t>
      </w:r>
    </w:p>
    <w:p w14:paraId="1518FFBF" w14:textId="6D97EC19" w:rsidR="00B53BA5" w:rsidRPr="00E50FE8" w:rsidRDefault="008C121F" w:rsidP="00B53BA5">
      <w:pPr>
        <w:pStyle w:val="NormalHanging12a"/>
      </w:pPr>
      <w:r w:rsidRPr="00E50FE8">
        <w:t>1</w:t>
      </w:r>
      <w:r>
        <w:t>5</w:t>
      </w:r>
      <w:r w:rsidR="00B53BA5" w:rsidRPr="00E50FE8">
        <w:t>.</w:t>
      </w:r>
      <w:r w:rsidR="00B53BA5" w:rsidRPr="00E50FE8">
        <w:tab/>
        <w:t xml:space="preserve">zdůrazňuje, že je třeba zajistit otevřený a bezpečný oběh znalostí, lepší přístupnost výzkumné infrastruktury, zhodnocování znalostí a etické a důvěryhodné využívání vznikajících technologií, včetně umělé inteligence, v souladu s hodnotami a základními právy EU; zdůrazňuje, že je důležité zajistit bezpečnost, integritu a účinné šíření </w:t>
      </w:r>
      <w:r w:rsidR="00B53BA5" w:rsidRPr="00E50FE8">
        <w:lastRenderedPageBreak/>
        <w:t>výzkumu financovaného z veřejných prostředků, mj. v knihovnách, a současně zaručit ochranu práv duševního vlastnictví;</w:t>
      </w:r>
    </w:p>
    <w:p w14:paraId="7B17F81B" w14:textId="784965DA" w:rsidR="00B53BA5" w:rsidRPr="00E50FE8" w:rsidRDefault="008C121F" w:rsidP="00B53BA5">
      <w:pPr>
        <w:pStyle w:val="NormalHanging12a"/>
      </w:pPr>
      <w:r w:rsidRPr="00E50FE8">
        <w:t>1</w:t>
      </w:r>
      <w:r>
        <w:t>6</w:t>
      </w:r>
      <w:r w:rsidR="00B53BA5" w:rsidRPr="00E50FE8">
        <w:t>.</w:t>
      </w:r>
      <w:r w:rsidR="00B53BA5" w:rsidRPr="00E50FE8">
        <w:tab/>
        <w:t>doporučuje, aby byl akt o EVP sladěn se stávajícími i budoucími iniciativami, jako je inovační akt, Pakt pro výzkum a inovace, rámcový program a Evropský prostor vzdělávání, neboť je třeba, aby se reformy při zajišťování zavádění inovací, mobility talentů a financování vzájemně posilovaly;</w:t>
      </w:r>
    </w:p>
    <w:p w14:paraId="61962D13" w14:textId="32D55641" w:rsidR="00E50FE8" w:rsidRPr="00E50FE8" w:rsidRDefault="008C121F" w:rsidP="00E50FE8">
      <w:pPr>
        <w:pStyle w:val="NormalHanging12a"/>
      </w:pPr>
      <w:r w:rsidRPr="00E50FE8">
        <w:t>1</w:t>
      </w:r>
      <w:r>
        <w:t>7</w:t>
      </w:r>
      <w:r w:rsidR="00B53BA5" w:rsidRPr="00E50FE8">
        <w:t>.</w:t>
      </w:r>
      <w:r w:rsidR="00B53BA5" w:rsidRPr="00E50FE8">
        <w:tab/>
        <w:t>pověřuje svou předsedkyni, aby předala toto usnesení Komisi a Radě.</w:t>
      </w:r>
    </w:p>
    <w:p w14:paraId="4679F9D6" w14:textId="1B6BAA76" w:rsidR="00E365E1" w:rsidRPr="00E50FE8" w:rsidRDefault="00E365E1" w:rsidP="00541B02"/>
    <w:sectPr w:rsidR="00E365E1" w:rsidRPr="00E50FE8" w:rsidSect="00E50F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C83CA" w14:textId="77777777" w:rsidR="00541B02" w:rsidRPr="00E50FE8" w:rsidRDefault="00541B02">
      <w:r w:rsidRPr="00E50FE8">
        <w:separator/>
      </w:r>
    </w:p>
  </w:endnote>
  <w:endnote w:type="continuationSeparator" w:id="0">
    <w:p w14:paraId="78DD1D39" w14:textId="77777777" w:rsidR="00541B02" w:rsidRPr="00E50FE8" w:rsidRDefault="00541B02">
      <w:r w:rsidRPr="00E50F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B0AA5" w14:textId="77777777" w:rsidR="00064002" w:rsidRPr="00E50F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E3AEB" w14:textId="77777777" w:rsidR="00064002" w:rsidRPr="00E50F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07198" w14:textId="77777777" w:rsidR="00064002" w:rsidRPr="00E50F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39A14" w14:textId="77777777" w:rsidR="00541B02" w:rsidRPr="00E50FE8" w:rsidRDefault="00541B02">
      <w:r w:rsidRPr="00E50FE8">
        <w:separator/>
      </w:r>
    </w:p>
  </w:footnote>
  <w:footnote w:type="continuationSeparator" w:id="0">
    <w:p w14:paraId="4970F592" w14:textId="77777777" w:rsidR="00541B02" w:rsidRPr="00E50FE8" w:rsidRDefault="00541B02">
      <w:r w:rsidRPr="00E50FE8">
        <w:continuationSeparator/>
      </w:r>
    </w:p>
  </w:footnote>
  <w:footnote w:id="1">
    <w:p w14:paraId="6BC93031" w14:textId="35977652" w:rsidR="00B53BA5" w:rsidRPr="00E50FE8" w:rsidRDefault="00B53BA5" w:rsidP="00E50FE8">
      <w:pPr>
        <w:pStyle w:val="FootnoteText"/>
        <w:ind w:left="567" w:hanging="567"/>
        <w:rPr>
          <w:sz w:val="24"/>
          <w:lang w:val="cs-CZ"/>
        </w:rPr>
      </w:pPr>
      <w:r w:rsidRPr="00E50FE8">
        <w:rPr>
          <w:rStyle w:val="FootnoteReference"/>
          <w:sz w:val="24"/>
          <w:lang w:val="cs-CZ"/>
        </w:rPr>
        <w:footnoteRef/>
      </w:r>
      <w:r w:rsidR="00E50FE8" w:rsidRPr="00E50FE8">
        <w:rPr>
          <w:sz w:val="24"/>
          <w:lang w:val="cs-CZ"/>
        </w:rPr>
        <w:t xml:space="preserve"> </w:t>
      </w:r>
      <w:r w:rsidR="00E50FE8" w:rsidRPr="00E50FE8">
        <w:rPr>
          <w:sz w:val="24"/>
          <w:lang w:val="cs-CZ"/>
        </w:rPr>
        <w:tab/>
      </w:r>
      <w:proofErr w:type="spellStart"/>
      <w:r w:rsidRPr="00E50FE8">
        <w:rPr>
          <w:sz w:val="24"/>
          <w:lang w:val="cs-CZ"/>
        </w:rPr>
        <w:t>Úř</w:t>
      </w:r>
      <w:proofErr w:type="spellEnd"/>
      <w:r w:rsidRPr="00E50FE8">
        <w:rPr>
          <w:sz w:val="24"/>
          <w:lang w:val="cs-CZ"/>
        </w:rPr>
        <w:t xml:space="preserve">. </w:t>
      </w:r>
      <w:proofErr w:type="spellStart"/>
      <w:r w:rsidRPr="00E50FE8">
        <w:rPr>
          <w:sz w:val="24"/>
          <w:lang w:val="cs-CZ"/>
        </w:rPr>
        <w:t>věst</w:t>
      </w:r>
      <w:proofErr w:type="spellEnd"/>
      <w:r w:rsidRPr="00E50FE8">
        <w:rPr>
          <w:sz w:val="24"/>
          <w:lang w:val="cs-CZ"/>
        </w:rPr>
        <w:t xml:space="preserve">. C, C/2025/3593, 30.6.2025, ELI: </w:t>
      </w:r>
      <w:hyperlink r:id="rId1" w:history="1">
        <w:r w:rsidRPr="00E50FE8">
          <w:rPr>
            <w:rStyle w:val="Hyperlink"/>
            <w:sz w:val="24"/>
            <w:lang w:val="cs-CZ"/>
          </w:rPr>
          <w:t>http://data.europa.eu/eli/C/2025/3593/oj</w:t>
        </w:r>
      </w:hyperlink>
      <w:r w:rsidRPr="00E50FE8">
        <w:rPr>
          <w:sz w:val="24"/>
          <w:lang w:val="cs-CZ"/>
        </w:rPr>
        <w:t>.</w:t>
      </w:r>
    </w:p>
  </w:footnote>
  <w:footnote w:id="2">
    <w:p w14:paraId="204AB5CC" w14:textId="1DFE151D" w:rsidR="00B53BA5" w:rsidRPr="00E50FE8" w:rsidRDefault="00B53BA5" w:rsidP="00E50FE8">
      <w:pPr>
        <w:pStyle w:val="FootnoteText"/>
        <w:ind w:left="567" w:hanging="567"/>
        <w:rPr>
          <w:sz w:val="24"/>
          <w:lang w:val="cs-CZ"/>
        </w:rPr>
      </w:pPr>
      <w:r w:rsidRPr="00E50FE8">
        <w:rPr>
          <w:rStyle w:val="FootnoteReference"/>
          <w:sz w:val="24"/>
          <w:lang w:val="cs-CZ"/>
        </w:rPr>
        <w:footnoteRef/>
      </w:r>
      <w:r w:rsidR="00E50FE8" w:rsidRPr="00E50FE8">
        <w:rPr>
          <w:sz w:val="24"/>
          <w:lang w:val="cs-CZ"/>
        </w:rPr>
        <w:t xml:space="preserve"> </w:t>
      </w:r>
      <w:r w:rsidR="00E50FE8" w:rsidRPr="00E50FE8">
        <w:rPr>
          <w:sz w:val="24"/>
          <w:lang w:val="cs-CZ"/>
        </w:rPr>
        <w:tab/>
      </w:r>
      <w:proofErr w:type="spellStart"/>
      <w:r w:rsidRPr="00E50FE8">
        <w:rPr>
          <w:sz w:val="24"/>
          <w:lang w:val="cs-CZ"/>
        </w:rPr>
        <w:t>Úř</w:t>
      </w:r>
      <w:proofErr w:type="spellEnd"/>
      <w:r w:rsidRPr="00E50FE8">
        <w:rPr>
          <w:sz w:val="24"/>
          <w:lang w:val="cs-CZ"/>
        </w:rPr>
        <w:t xml:space="preserve">. </w:t>
      </w:r>
      <w:proofErr w:type="spellStart"/>
      <w:r w:rsidRPr="00E50FE8">
        <w:rPr>
          <w:sz w:val="24"/>
          <w:lang w:val="cs-CZ"/>
        </w:rPr>
        <w:t>věst</w:t>
      </w:r>
      <w:proofErr w:type="spellEnd"/>
      <w:r w:rsidRPr="00E50FE8">
        <w:rPr>
          <w:sz w:val="24"/>
          <w:lang w:val="cs-CZ"/>
        </w:rPr>
        <w:t>. L 431, 2.12.2021, s. 1, ELI: </w:t>
      </w:r>
      <w:hyperlink r:id="rId2" w:tooltip="Umožňuje přístup k tomuto dokumentu prostřednictvím jeho ELI URI." w:history="1">
        <w:r w:rsidRPr="00E50FE8">
          <w:rPr>
            <w:rStyle w:val="Hyperlink"/>
            <w:sz w:val="24"/>
            <w:lang w:val="cs-CZ"/>
          </w:rPr>
          <w:t>http://data.europa.eu/eli/reco/2021/2122/oj</w:t>
        </w:r>
      </w:hyperlink>
      <w:r w:rsidRPr="00E50FE8">
        <w:rPr>
          <w:sz w:val="24"/>
          <w:lang w:val="cs-CZ"/>
        </w:rPr>
        <w:t>.</w:t>
      </w:r>
    </w:p>
  </w:footnote>
  <w:footnote w:id="3">
    <w:p w14:paraId="6D2D1F75" w14:textId="449EA26B" w:rsidR="00B53BA5" w:rsidRPr="00E50FE8" w:rsidRDefault="00B53BA5" w:rsidP="00E50FE8">
      <w:pPr>
        <w:pStyle w:val="FootnoteText"/>
        <w:ind w:left="567" w:hanging="567"/>
        <w:rPr>
          <w:sz w:val="24"/>
          <w:lang w:val="cs-CZ"/>
        </w:rPr>
      </w:pPr>
      <w:r w:rsidRPr="00E50FE8">
        <w:rPr>
          <w:rStyle w:val="FootnoteReference"/>
          <w:sz w:val="24"/>
          <w:lang w:val="cs-CZ"/>
        </w:rPr>
        <w:footnoteRef/>
      </w:r>
      <w:r w:rsidR="00E50FE8" w:rsidRPr="00E50FE8">
        <w:rPr>
          <w:sz w:val="24"/>
          <w:lang w:val="cs-CZ"/>
        </w:rPr>
        <w:t xml:space="preserve"> </w:t>
      </w:r>
      <w:r w:rsidR="00E50FE8" w:rsidRPr="00E50FE8">
        <w:rPr>
          <w:sz w:val="24"/>
          <w:lang w:val="cs-CZ"/>
        </w:rPr>
        <w:tab/>
      </w:r>
      <w:proofErr w:type="spellStart"/>
      <w:r w:rsidRPr="00E50FE8">
        <w:rPr>
          <w:sz w:val="24"/>
          <w:lang w:val="cs-CZ"/>
        </w:rPr>
        <w:t>Úř</w:t>
      </w:r>
      <w:proofErr w:type="spellEnd"/>
      <w:r w:rsidRPr="00E50FE8">
        <w:rPr>
          <w:sz w:val="24"/>
          <w:lang w:val="cs-CZ"/>
        </w:rPr>
        <w:t xml:space="preserve">. </w:t>
      </w:r>
      <w:proofErr w:type="spellStart"/>
      <w:r w:rsidRPr="00E50FE8">
        <w:rPr>
          <w:sz w:val="24"/>
          <w:lang w:val="cs-CZ"/>
        </w:rPr>
        <w:t>věst</w:t>
      </w:r>
      <w:proofErr w:type="spellEnd"/>
      <w:r w:rsidRPr="00E50FE8">
        <w:rPr>
          <w:sz w:val="24"/>
          <w:lang w:val="cs-CZ"/>
        </w:rPr>
        <w:t>. C, C/2024/4183, 2.8.2024, ELI: </w:t>
      </w:r>
      <w:hyperlink r:id="rId3" w:tgtFrame="_blank" w:tooltip="Umožňuje přístup k tomuto dokumentu prostřednictvím jeho ELI URI." w:history="1">
        <w:r w:rsidRPr="00E50FE8">
          <w:rPr>
            <w:rStyle w:val="Hyperlink"/>
            <w:sz w:val="24"/>
            <w:lang w:val="cs-CZ"/>
          </w:rPr>
          <w:t>http://data.europa.eu/eli/C/2024/4183/oj</w:t>
        </w:r>
      </w:hyperlink>
      <w:r w:rsidRPr="00E50FE8">
        <w:rPr>
          <w:sz w:val="24"/>
          <w:lang w:val="cs-CZ"/>
        </w:rPr>
        <w:t>.</w:t>
      </w:r>
    </w:p>
  </w:footnote>
  <w:footnote w:id="4">
    <w:p w14:paraId="771CCF3A" w14:textId="1984AD5D" w:rsidR="00B53BA5" w:rsidRPr="00E50FE8" w:rsidRDefault="00B53BA5" w:rsidP="00E50FE8">
      <w:pPr>
        <w:pStyle w:val="FootnoteText"/>
        <w:ind w:left="567" w:hanging="567"/>
        <w:rPr>
          <w:sz w:val="24"/>
          <w:lang w:val="cs-CZ"/>
        </w:rPr>
      </w:pPr>
      <w:r w:rsidRPr="00E50FE8">
        <w:rPr>
          <w:rStyle w:val="FootnoteReference"/>
          <w:sz w:val="24"/>
          <w:lang w:val="cs-CZ"/>
        </w:rPr>
        <w:footnoteRef/>
      </w:r>
      <w:bookmarkStart w:id="7" w:name="_Hlk223515625"/>
      <w:r w:rsidR="00E50FE8" w:rsidRPr="00E50FE8">
        <w:rPr>
          <w:sz w:val="24"/>
          <w:lang w:val="cs-CZ"/>
        </w:rPr>
        <w:t xml:space="preserve"> </w:t>
      </w:r>
      <w:r w:rsidR="00E50FE8" w:rsidRPr="00E50FE8">
        <w:rPr>
          <w:sz w:val="24"/>
          <w:lang w:val="cs-CZ"/>
        </w:rPr>
        <w:tab/>
      </w:r>
      <w:proofErr w:type="spellStart"/>
      <w:r w:rsidRPr="00E50FE8">
        <w:rPr>
          <w:sz w:val="24"/>
          <w:lang w:val="cs-CZ"/>
        </w:rPr>
        <w:t>Úř</w:t>
      </w:r>
      <w:proofErr w:type="spellEnd"/>
      <w:r w:rsidRPr="00E50FE8">
        <w:rPr>
          <w:sz w:val="24"/>
          <w:lang w:val="cs-CZ"/>
        </w:rPr>
        <w:t xml:space="preserve">. </w:t>
      </w:r>
      <w:proofErr w:type="spellStart"/>
      <w:r w:rsidRPr="00E50FE8">
        <w:rPr>
          <w:sz w:val="24"/>
          <w:lang w:val="cs-CZ"/>
        </w:rPr>
        <w:t>věst</w:t>
      </w:r>
      <w:proofErr w:type="spellEnd"/>
      <w:r w:rsidRPr="00E50FE8">
        <w:rPr>
          <w:sz w:val="24"/>
          <w:lang w:val="cs-CZ"/>
        </w:rPr>
        <w:t>. C, C/2024/5713, 17.10.2024, ELI: </w:t>
      </w:r>
      <w:hyperlink r:id="rId4" w:tgtFrame="_blank" w:tooltip="Umožňuje přístup k tomuto dokumentu prostřednictvím jeho ELI URI." w:history="1">
        <w:r w:rsidRPr="00E50FE8">
          <w:rPr>
            <w:rStyle w:val="Hyperlink"/>
            <w:sz w:val="24"/>
            <w:lang w:val="cs-CZ"/>
          </w:rPr>
          <w:t>http://data.europa.eu/eli/C/2024/5713/oj</w:t>
        </w:r>
      </w:hyperlink>
      <w:r w:rsidRPr="00E50FE8">
        <w:rPr>
          <w:sz w:val="24"/>
          <w:lang w:val="cs-CZ"/>
        </w:rPr>
        <w:t>.</w:t>
      </w:r>
      <w:bookmarkEnd w:id="7"/>
    </w:p>
  </w:footnote>
  <w:footnote w:id="5">
    <w:p w14:paraId="2746CA80" w14:textId="777EEC26" w:rsidR="00B53BA5" w:rsidRPr="00E50FE8" w:rsidRDefault="00B53BA5" w:rsidP="00E50FE8">
      <w:pPr>
        <w:pStyle w:val="FootnoteText"/>
        <w:ind w:left="567" w:hanging="567"/>
        <w:rPr>
          <w:sz w:val="24"/>
          <w:lang w:val="cs-CZ"/>
        </w:rPr>
      </w:pPr>
      <w:r w:rsidRPr="00E50FE8">
        <w:rPr>
          <w:rStyle w:val="FootnoteReference"/>
          <w:sz w:val="24"/>
          <w:lang w:val="cs-CZ"/>
        </w:rPr>
        <w:footnoteRef/>
      </w:r>
      <w:bookmarkStart w:id="8" w:name="_Hlk223515698"/>
      <w:r w:rsidR="00E50FE8" w:rsidRPr="00E50FE8">
        <w:rPr>
          <w:sz w:val="24"/>
          <w:lang w:val="cs-CZ"/>
        </w:rPr>
        <w:t xml:space="preserve"> </w:t>
      </w:r>
      <w:r w:rsidR="00E50FE8" w:rsidRPr="00E50FE8">
        <w:rPr>
          <w:sz w:val="24"/>
          <w:lang w:val="cs-CZ"/>
        </w:rPr>
        <w:tab/>
      </w:r>
      <w:proofErr w:type="spellStart"/>
      <w:r w:rsidRPr="00E50FE8">
        <w:rPr>
          <w:sz w:val="24"/>
          <w:lang w:val="cs-CZ"/>
        </w:rPr>
        <w:t>Úř</w:t>
      </w:r>
      <w:proofErr w:type="spellEnd"/>
      <w:r w:rsidRPr="00E50FE8">
        <w:rPr>
          <w:sz w:val="24"/>
          <w:lang w:val="cs-CZ"/>
        </w:rPr>
        <w:t xml:space="preserve">. </w:t>
      </w:r>
      <w:proofErr w:type="spellStart"/>
      <w:r w:rsidRPr="00E50FE8">
        <w:rPr>
          <w:sz w:val="24"/>
          <w:lang w:val="cs-CZ"/>
        </w:rPr>
        <w:t>věst</w:t>
      </w:r>
      <w:proofErr w:type="spellEnd"/>
      <w:r w:rsidRPr="00E50FE8">
        <w:rPr>
          <w:sz w:val="24"/>
          <w:lang w:val="cs-CZ"/>
        </w:rPr>
        <w:t>. L 75, 22.3.2005, s. 67, ELI: </w:t>
      </w:r>
      <w:hyperlink r:id="rId5" w:tooltip="Umožňuje přístup k tomuto dokumentu prostřednictvím jeho ELI URI." w:history="1">
        <w:r w:rsidRPr="00E50FE8">
          <w:rPr>
            <w:rStyle w:val="Hyperlink"/>
            <w:sz w:val="24"/>
            <w:lang w:val="cs-CZ"/>
          </w:rPr>
          <w:t>http://data.europa.eu/eli/reco/2005/251/oj</w:t>
        </w:r>
      </w:hyperlink>
      <w:r w:rsidRPr="00E50FE8">
        <w:rPr>
          <w:sz w:val="24"/>
          <w:lang w:val="cs-CZ"/>
        </w:rPr>
        <w:t>.</w:t>
      </w:r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58A6D" w14:textId="77777777" w:rsidR="00064002" w:rsidRPr="00E50F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6C26" w14:textId="77777777" w:rsidR="00064002" w:rsidRPr="00E50F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3DE4" w14:textId="77777777" w:rsidR="00064002" w:rsidRPr="00E50F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45069635">
    <w:abstractNumId w:val="9"/>
  </w:num>
  <w:num w:numId="2" w16cid:durableId="366880280">
    <w:abstractNumId w:val="9"/>
  </w:num>
  <w:num w:numId="3" w16cid:durableId="1666205184">
    <w:abstractNumId w:val="7"/>
  </w:num>
  <w:num w:numId="4" w16cid:durableId="599752159">
    <w:abstractNumId w:val="7"/>
  </w:num>
  <w:num w:numId="5" w16cid:durableId="1991786550">
    <w:abstractNumId w:val="6"/>
  </w:num>
  <w:num w:numId="6" w16cid:durableId="1289244029">
    <w:abstractNumId w:val="6"/>
  </w:num>
  <w:num w:numId="7" w16cid:durableId="409736482">
    <w:abstractNumId w:val="5"/>
  </w:num>
  <w:num w:numId="8" w16cid:durableId="551232526">
    <w:abstractNumId w:val="5"/>
  </w:num>
  <w:num w:numId="9" w16cid:durableId="1553038543">
    <w:abstractNumId w:val="4"/>
  </w:num>
  <w:num w:numId="10" w16cid:durableId="890770304">
    <w:abstractNumId w:val="4"/>
  </w:num>
  <w:num w:numId="11" w16cid:durableId="363990659">
    <w:abstractNumId w:val="8"/>
  </w:num>
  <w:num w:numId="12" w16cid:durableId="671028751">
    <w:abstractNumId w:val="8"/>
  </w:num>
  <w:num w:numId="13" w16cid:durableId="1326081521">
    <w:abstractNumId w:val="3"/>
  </w:num>
  <w:num w:numId="14" w16cid:durableId="2012097512">
    <w:abstractNumId w:val="3"/>
  </w:num>
  <w:num w:numId="15" w16cid:durableId="113060659">
    <w:abstractNumId w:val="2"/>
  </w:num>
  <w:num w:numId="16" w16cid:durableId="1470828340">
    <w:abstractNumId w:val="2"/>
  </w:num>
  <w:num w:numId="17" w16cid:durableId="489633904">
    <w:abstractNumId w:val="1"/>
  </w:num>
  <w:num w:numId="18" w16cid:durableId="1368750210">
    <w:abstractNumId w:val="1"/>
  </w:num>
  <w:num w:numId="19" w16cid:durableId="29305660">
    <w:abstractNumId w:val="0"/>
  </w:num>
  <w:num w:numId="20" w16cid:durableId="1162156892">
    <w:abstractNumId w:val="0"/>
  </w:num>
  <w:num w:numId="21" w16cid:durableId="1088116519">
    <w:abstractNumId w:val="9"/>
  </w:num>
  <w:num w:numId="22" w16cid:durableId="818885007">
    <w:abstractNumId w:val="7"/>
  </w:num>
  <w:num w:numId="23" w16cid:durableId="355235988">
    <w:abstractNumId w:val="6"/>
  </w:num>
  <w:num w:numId="24" w16cid:durableId="645597326">
    <w:abstractNumId w:val="5"/>
  </w:num>
  <w:num w:numId="25" w16cid:durableId="1786263831">
    <w:abstractNumId w:val="4"/>
  </w:num>
  <w:num w:numId="26" w16cid:durableId="360011823">
    <w:abstractNumId w:val="8"/>
  </w:num>
  <w:num w:numId="27" w16cid:durableId="1232696047">
    <w:abstractNumId w:val="3"/>
  </w:num>
  <w:num w:numId="28" w16cid:durableId="789083626">
    <w:abstractNumId w:val="2"/>
  </w:num>
  <w:num w:numId="29" w16cid:durableId="555506588">
    <w:abstractNumId w:val="1"/>
  </w:num>
  <w:num w:numId="30" w16cid:durableId="949320751">
    <w:abstractNumId w:val="0"/>
  </w:num>
  <w:num w:numId="31" w16cid:durableId="2106267849">
    <w:abstractNumId w:val="9"/>
  </w:num>
  <w:num w:numId="32" w16cid:durableId="96947562">
    <w:abstractNumId w:val="7"/>
  </w:num>
  <w:num w:numId="33" w16cid:durableId="834145530">
    <w:abstractNumId w:val="6"/>
  </w:num>
  <w:num w:numId="34" w16cid:durableId="2011714480">
    <w:abstractNumId w:val="5"/>
  </w:num>
  <w:num w:numId="35" w16cid:durableId="959798593">
    <w:abstractNumId w:val="4"/>
  </w:num>
  <w:num w:numId="36" w16cid:durableId="1749495128">
    <w:abstractNumId w:val="8"/>
  </w:num>
  <w:num w:numId="37" w16cid:durableId="1431312657">
    <w:abstractNumId w:val="3"/>
  </w:num>
  <w:num w:numId="38" w16cid:durableId="1338996263">
    <w:abstractNumId w:val="2"/>
  </w:num>
  <w:num w:numId="39" w16cid:durableId="2130199989">
    <w:abstractNumId w:val="1"/>
  </w:num>
  <w:num w:numId="40" w16cid:durableId="1219827705">
    <w:abstractNumId w:val="0"/>
  </w:num>
  <w:num w:numId="41" w16cid:durableId="2025545768">
    <w:abstractNumId w:val="10"/>
  </w:num>
  <w:num w:numId="42" w16cid:durableId="1975672989">
    <w:abstractNumId w:val="10"/>
  </w:num>
  <w:num w:numId="43" w16cid:durableId="1411004786">
    <w:abstractNumId w:val="10"/>
  </w:num>
  <w:num w:numId="44" w16cid:durableId="14380204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6/2026"/>
    <w:docVar w:name="dvlangue" w:val="CS"/>
    <w:docVar w:name="dvnumam" w:val="0"/>
    <w:docVar w:name="dvpe" w:val="784.264"/>
    <w:docVar w:name="dvtitre" w:val="Usnesení Evropského parlamentu ze dne.... 2026 o připravovaném aktu o Evropském výzkumném prostoru (EVP)(2025/2951(RSP))"/>
  </w:docVars>
  <w:rsids>
    <w:rsidRoot w:val="00541B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208B"/>
    <w:rsid w:val="002B18FE"/>
    <w:rsid w:val="002B5493"/>
    <w:rsid w:val="002E46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F37"/>
    <w:rsid w:val="00514517"/>
    <w:rsid w:val="00541B02"/>
    <w:rsid w:val="00545827"/>
    <w:rsid w:val="00560270"/>
    <w:rsid w:val="005A601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21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BA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FE8"/>
    <w:rsid w:val="00E54D2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62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DA3FC2"/>
  <w15:chartTrackingRefBased/>
  <w15:docId w15:val="{8F2A2E0F-5107-4737-B959-EB506D50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3BA5"/>
    <w:pPr>
      <w:spacing w:before="480" w:after="240"/>
    </w:pPr>
  </w:style>
  <w:style w:type="paragraph" w:customStyle="1" w:styleId="NormalHanging12a">
    <w:name w:val="NormalHanging12a"/>
    <w:basedOn w:val="Normal"/>
    <w:rsid w:val="00B53BA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53BA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54D2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183/oj" TargetMode="External"/><Relationship Id="rId2" Type="http://schemas.openxmlformats.org/officeDocument/2006/relationships/hyperlink" Target="http://data.europa.eu/eli/reco/2021/2122/oj" TargetMode="External"/><Relationship Id="rId1" Type="http://schemas.openxmlformats.org/officeDocument/2006/relationships/hyperlink" Target="http://data.europa.eu/eli/C/2025/3593/oj" TargetMode="External"/><Relationship Id="rId5" Type="http://schemas.openxmlformats.org/officeDocument/2006/relationships/hyperlink" Target="http://data.europa.eu/eli/reco/2005/251/oj" TargetMode="External"/><Relationship Id="rId4" Type="http://schemas.openxmlformats.org/officeDocument/2006/relationships/hyperlink" Target="http://data.europa.eu/eli/C/2024/57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1536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2026-03-10T14:38:00Z</dcterms:created>
  <dcterms:modified xsi:type="dcterms:W3CDTF">2026-03-10T14:38:00Z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B10-0156/2026</vt:lpwstr>
  </property>
  <property fmtid="{D5CDD505-2E9C-101B-9397-08002B2CF9AE}" pid="4" name="&lt;Type&gt;">
    <vt:lpwstr>RR</vt:lpwstr>
  </property>
</Properties>
</file>