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038C" w14:paraId="2CBD7A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EC73A3" w14:textId="77777777" w:rsidR="00751A4A" w:rsidRPr="00C4038C" w:rsidRDefault="00EF38F3" w:rsidP="0010095E">
            <w:pPr>
              <w:pStyle w:val="EPName"/>
            </w:pPr>
            <w:r w:rsidRPr="00C4038C">
              <w:t>Europski parlament</w:t>
            </w:r>
          </w:p>
          <w:p w14:paraId="5C1D2248" w14:textId="77777777" w:rsidR="00751A4A" w:rsidRPr="00C403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038C">
              <w:t>2024</w:t>
            </w:r>
            <w:r w:rsidR="00817416" w:rsidRPr="00C4038C">
              <w:t>-202</w:t>
            </w:r>
            <w:r w:rsidRPr="00C4038C">
              <w:t>9</w:t>
            </w:r>
          </w:p>
        </w:tc>
        <w:tc>
          <w:tcPr>
            <w:tcW w:w="2268" w:type="dxa"/>
            <w:shd w:val="clear" w:color="auto" w:fill="auto"/>
          </w:tcPr>
          <w:p w14:paraId="64B91DEA" w14:textId="77777777" w:rsidR="00751A4A" w:rsidRPr="00C4038C" w:rsidRDefault="00187494" w:rsidP="0010095E">
            <w:pPr>
              <w:pStyle w:val="EPLogo"/>
            </w:pPr>
            <w:r w:rsidRPr="00C4038C">
              <w:rPr>
                <w:noProof/>
                <w:lang w:eastAsia="ja-JP"/>
              </w:rPr>
              <w:drawing>
                <wp:inline distT="0" distB="0" distL="0" distR="0" wp14:anchorId="5CBF1F77" wp14:editId="2B26F7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067282" w14:textId="77777777" w:rsidR="00D058B8" w:rsidRPr="00C4038C" w:rsidRDefault="00D058B8" w:rsidP="004C5D52">
      <w:pPr>
        <w:pStyle w:val="LineTop"/>
      </w:pPr>
    </w:p>
    <w:p w14:paraId="1E63DFF6" w14:textId="77777777" w:rsidR="00680577" w:rsidRPr="00C4038C" w:rsidRDefault="00EF38F3" w:rsidP="00680577">
      <w:pPr>
        <w:pStyle w:val="EPBodyTA1"/>
      </w:pPr>
      <w:r w:rsidRPr="00C4038C">
        <w:t>USVOJENI TEKSTOVI</w:t>
      </w:r>
    </w:p>
    <w:p w14:paraId="7893A838" w14:textId="77777777" w:rsidR="00D058B8" w:rsidRPr="00C4038C" w:rsidRDefault="00D058B8" w:rsidP="00D058B8">
      <w:pPr>
        <w:pStyle w:val="LineBottom"/>
      </w:pPr>
    </w:p>
    <w:p w14:paraId="53A973F7" w14:textId="56CCC80E" w:rsidR="00EF38F3" w:rsidRPr="00C4038C" w:rsidRDefault="00EF38F3" w:rsidP="00EF38F3">
      <w:pPr>
        <w:pStyle w:val="ATHeading1"/>
      </w:pPr>
      <w:bookmarkStart w:id="0" w:name="TANumber"/>
      <w:r w:rsidRPr="00C4038C">
        <w:t>P10_TA(2026)00</w:t>
      </w:r>
      <w:bookmarkEnd w:id="0"/>
      <w:r w:rsidR="000B1386">
        <w:t>68</w:t>
      </w:r>
    </w:p>
    <w:p w14:paraId="26D29BE1" w14:textId="77777777" w:rsidR="00EF38F3" w:rsidRPr="00C4038C" w:rsidRDefault="00EF38F3" w:rsidP="00EF38F3">
      <w:pPr>
        <w:pStyle w:val="ATHeading2"/>
      </w:pPr>
      <w:bookmarkStart w:id="1" w:name="title"/>
      <w:r w:rsidRPr="00C4038C">
        <w:t>Predstojeći Akt o europskom istraživačkom prostoru</w:t>
      </w:r>
      <w:bookmarkEnd w:id="1"/>
    </w:p>
    <w:p w14:paraId="78B2D5B6" w14:textId="77777777" w:rsidR="00EF38F3" w:rsidRPr="00C4038C" w:rsidRDefault="00EF38F3" w:rsidP="00EF38F3">
      <w:pPr>
        <w:rPr>
          <w:i/>
          <w:vanish/>
        </w:rPr>
      </w:pPr>
      <w:r w:rsidRPr="00C4038C">
        <w:rPr>
          <w:i/>
        </w:rPr>
        <w:fldChar w:fldCharType="begin"/>
      </w:r>
      <w:r w:rsidRPr="00C4038C">
        <w:rPr>
          <w:i/>
        </w:rPr>
        <w:instrText xml:space="preserve"> TC"(</w:instrText>
      </w:r>
      <w:bookmarkStart w:id="2" w:name="DocNumber"/>
      <w:r w:rsidRPr="00C4038C">
        <w:rPr>
          <w:i/>
        </w:rPr>
        <w:instrText>B10-0156/2026</w:instrText>
      </w:r>
      <w:bookmarkEnd w:id="2"/>
      <w:r w:rsidRPr="00C4038C">
        <w:rPr>
          <w:i/>
        </w:rPr>
        <w:instrText xml:space="preserve">)"\l3 \n&gt; \* MERGEFORMAT </w:instrText>
      </w:r>
      <w:r w:rsidRPr="00C4038C">
        <w:rPr>
          <w:i/>
        </w:rPr>
        <w:fldChar w:fldCharType="end"/>
      </w:r>
    </w:p>
    <w:p w14:paraId="7FBD9230" w14:textId="77777777" w:rsidR="00EF38F3" w:rsidRPr="00C4038C" w:rsidRDefault="00EF38F3" w:rsidP="00EF38F3">
      <w:pPr>
        <w:rPr>
          <w:vanish/>
        </w:rPr>
      </w:pPr>
      <w:bookmarkStart w:id="3" w:name="PE"/>
      <w:r w:rsidRPr="00C4038C">
        <w:rPr>
          <w:vanish/>
        </w:rPr>
        <w:t>PE784.264</w:t>
      </w:r>
      <w:bookmarkEnd w:id="3"/>
    </w:p>
    <w:p w14:paraId="269E2B02" w14:textId="3E5BB56E" w:rsidR="00EF38F3" w:rsidRPr="00C4038C" w:rsidRDefault="00EF38F3" w:rsidP="00EF38F3">
      <w:pPr>
        <w:pStyle w:val="ATHeading3"/>
      </w:pPr>
      <w:bookmarkStart w:id="4" w:name="Sujet"/>
      <w:r w:rsidRPr="00C4038C">
        <w:t xml:space="preserve">Rezolucija Europskog parlamenta od </w:t>
      </w:r>
      <w:r w:rsidR="0035434E">
        <w:t>10. ožujka</w:t>
      </w:r>
      <w:r w:rsidRPr="00C4038C">
        <w:t xml:space="preserve"> 2026. o predstojećem Aktu o europskom istraživačkom prostoru (EIP)</w:t>
      </w:r>
      <w:bookmarkEnd w:id="4"/>
      <w:r w:rsidRPr="00C4038C">
        <w:t xml:space="preserve"> </w:t>
      </w:r>
      <w:bookmarkStart w:id="5" w:name="References"/>
      <w:r w:rsidRPr="00C4038C">
        <w:t>(2025/2951(RSP))</w:t>
      </w:r>
      <w:bookmarkEnd w:id="5"/>
    </w:p>
    <w:p w14:paraId="27946E0A" w14:textId="77777777" w:rsidR="00743891" w:rsidRPr="00C4038C" w:rsidRDefault="00743891" w:rsidP="00743891">
      <w:pPr>
        <w:tabs>
          <w:tab w:val="left" w:pos="-1104"/>
          <w:tab w:val="left" w:pos="-96"/>
          <w:tab w:val="left" w:pos="240"/>
          <w:tab w:val="left" w:pos="624"/>
          <w:tab w:val="left" w:pos="1200"/>
          <w:tab w:val="left" w:pos="1824"/>
          <w:tab w:val="left" w:pos="2400"/>
          <w:tab w:val="left" w:pos="3024"/>
          <w:tab w:val="left" w:pos="3600"/>
          <w:tab w:val="left" w:pos="4224"/>
          <w:tab w:val="left" w:pos="4800"/>
          <w:tab w:val="left" w:pos="5424"/>
          <w:tab w:val="left" w:pos="6000"/>
          <w:tab w:val="left" w:pos="6624"/>
          <w:tab w:val="left" w:pos="7200"/>
          <w:tab w:val="left" w:pos="7824"/>
          <w:tab w:val="left" w:pos="8400"/>
          <w:tab w:val="left" w:pos="9024"/>
        </w:tabs>
        <w:suppressAutoHyphens/>
        <w:spacing w:before="480" w:after="240"/>
        <w:jc w:val="both"/>
        <w:rPr>
          <w:spacing w:val="-2"/>
        </w:rPr>
      </w:pPr>
      <w:bookmarkStart w:id="6" w:name="TextBodyBegin"/>
      <w:bookmarkEnd w:id="6"/>
      <w:r w:rsidRPr="00C4038C">
        <w:rPr>
          <w:i/>
          <w:iCs/>
        </w:rPr>
        <w:t>Europski parlament,</w:t>
      </w:r>
    </w:p>
    <w:p w14:paraId="044E5086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Ugovor o funkcioniranju Europske unije (UFEU), a posebno njegov članak 179.,</w:t>
      </w:r>
    </w:p>
    <w:p w14:paraId="4B73E4D1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mandatno pismo predsjednice Komisije od 1. prosinca 2024. upućeno povjerenici za start-</w:t>
      </w:r>
      <w:proofErr w:type="spellStart"/>
      <w:r w:rsidRPr="00C4038C">
        <w:t>up</w:t>
      </w:r>
      <w:proofErr w:type="spellEnd"/>
      <w:r w:rsidRPr="00C4038C">
        <w:t xml:space="preserve"> poduzeća, istraživanje i inovacije,</w:t>
      </w:r>
    </w:p>
    <w:p w14:paraId="381E1259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program rada Komisije za 2026. (COM(2025)0870),</w:t>
      </w:r>
    </w:p>
    <w:p w14:paraId="74B2B3CD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Prijedlog Komisije za preporuku Vijeća o programu politike europskog istraživačkog prostora za razdoblje 2025. – 2027. od 28. veljače 2025. (COM(2025)0062),</w:t>
      </w:r>
    </w:p>
    <w:p w14:paraId="06A8A6A7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tablicu pokazatelja Europskog istraživačkog prostora (EIP) za 2024., koju je izradila Komisija,</w:t>
      </w:r>
    </w:p>
    <w:p w14:paraId="0F0E0CCB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 xml:space="preserve">uzimajući u obzir izvješće Marija </w:t>
      </w:r>
      <w:proofErr w:type="spellStart"/>
      <w:r w:rsidRPr="00C4038C">
        <w:t>Draghija</w:t>
      </w:r>
      <w:proofErr w:type="spellEnd"/>
      <w:r w:rsidRPr="00C4038C">
        <w:t xml:space="preserve"> iz rujna 2024. naslovljeno „On </w:t>
      </w:r>
      <w:proofErr w:type="spellStart"/>
      <w:r w:rsidRPr="00C4038C">
        <w:t>the</w:t>
      </w:r>
      <w:proofErr w:type="spellEnd"/>
      <w:r w:rsidRPr="00C4038C">
        <w:t xml:space="preserve"> future </w:t>
      </w:r>
      <w:proofErr w:type="spellStart"/>
      <w:r w:rsidRPr="00C4038C">
        <w:t>of</w:t>
      </w:r>
      <w:proofErr w:type="spellEnd"/>
      <w:r w:rsidRPr="00C4038C">
        <w:t xml:space="preserve"> European </w:t>
      </w:r>
      <w:proofErr w:type="spellStart"/>
      <w:r w:rsidRPr="00C4038C">
        <w:t>competitiveness</w:t>
      </w:r>
      <w:proofErr w:type="spellEnd"/>
      <w:r w:rsidRPr="00C4038C">
        <w:t>” (Budućnost europske konkurentnosti),</w:t>
      </w:r>
    </w:p>
    <w:p w14:paraId="290D7D19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 xml:space="preserve">uzimajući u obzir izvješće Enrica </w:t>
      </w:r>
      <w:proofErr w:type="spellStart"/>
      <w:r w:rsidRPr="00C4038C">
        <w:t>Lette</w:t>
      </w:r>
      <w:proofErr w:type="spellEnd"/>
      <w:r w:rsidRPr="00C4038C">
        <w:t xml:space="preserve"> iz travnja 2024. naslovljeno „</w:t>
      </w:r>
      <w:proofErr w:type="spellStart"/>
      <w:r w:rsidRPr="00C4038C">
        <w:t>Much</w:t>
      </w:r>
      <w:proofErr w:type="spellEnd"/>
      <w:r w:rsidRPr="00C4038C">
        <w:t xml:space="preserve"> more </w:t>
      </w:r>
      <w:proofErr w:type="spellStart"/>
      <w:r w:rsidRPr="00C4038C">
        <w:t>than</w:t>
      </w:r>
      <w:proofErr w:type="spellEnd"/>
      <w:r w:rsidRPr="00C4038C">
        <w:t xml:space="preserve"> a market” (Više od tržišta),</w:t>
      </w:r>
    </w:p>
    <w:p w14:paraId="0584E826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 xml:space="preserve">uzimajući u obzir izvješće iz listopada 2024. koje je sastavila neovisna stručna skupina, kojom predsjeda Manuel </w:t>
      </w:r>
      <w:proofErr w:type="spellStart"/>
      <w:r w:rsidRPr="00C4038C">
        <w:t>Heitor</w:t>
      </w:r>
      <w:proofErr w:type="spellEnd"/>
      <w:r w:rsidRPr="00C4038C">
        <w:t>, naslovljeno „</w:t>
      </w:r>
      <w:proofErr w:type="spellStart"/>
      <w:r w:rsidRPr="00C4038C">
        <w:t>Align</w:t>
      </w:r>
      <w:proofErr w:type="spellEnd"/>
      <w:r w:rsidRPr="00C4038C">
        <w:t xml:space="preserve">, </w:t>
      </w:r>
      <w:proofErr w:type="spellStart"/>
      <w:r w:rsidRPr="00C4038C">
        <w:t>act</w:t>
      </w:r>
      <w:proofErr w:type="spellEnd"/>
      <w:r w:rsidRPr="00C4038C">
        <w:t xml:space="preserve">, </w:t>
      </w:r>
      <w:proofErr w:type="spellStart"/>
      <w:r w:rsidRPr="00C4038C">
        <w:t>accelerate</w:t>
      </w:r>
      <w:proofErr w:type="spellEnd"/>
      <w:r w:rsidRPr="00C4038C">
        <w:t xml:space="preserve"> – Research, </w:t>
      </w:r>
      <w:proofErr w:type="spellStart"/>
      <w:r w:rsidRPr="00C4038C">
        <w:t>technology</w:t>
      </w:r>
      <w:proofErr w:type="spellEnd"/>
      <w:r w:rsidRPr="00C4038C">
        <w:t xml:space="preserve"> </w:t>
      </w:r>
      <w:proofErr w:type="spellStart"/>
      <w:r w:rsidRPr="00C4038C">
        <w:t>and</w:t>
      </w:r>
      <w:proofErr w:type="spellEnd"/>
      <w:r w:rsidRPr="00C4038C">
        <w:t xml:space="preserve"> </w:t>
      </w:r>
      <w:proofErr w:type="spellStart"/>
      <w:r w:rsidRPr="00C4038C">
        <w:t>innovation</w:t>
      </w:r>
      <w:proofErr w:type="spellEnd"/>
      <w:r w:rsidRPr="00C4038C">
        <w:t xml:space="preserve"> to </w:t>
      </w:r>
      <w:proofErr w:type="spellStart"/>
      <w:r w:rsidRPr="00C4038C">
        <w:t>boost</w:t>
      </w:r>
      <w:proofErr w:type="spellEnd"/>
      <w:r w:rsidRPr="00C4038C">
        <w:t xml:space="preserve"> European </w:t>
      </w:r>
      <w:proofErr w:type="spellStart"/>
      <w:r w:rsidRPr="00C4038C">
        <w:t>competitiveness</w:t>
      </w:r>
      <w:proofErr w:type="spellEnd"/>
      <w:r w:rsidRPr="00C4038C">
        <w:t>” (Usklađivanje, djelovanje, ubrzavanje – istraživanje, tehnologija i inovacije za poticanje europske konkurentnosti),</w:t>
      </w:r>
    </w:p>
    <w:p w14:paraId="56CAB8E5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komunikaciju Komisije od 22. listopada 2024. naslovljenu „Provedba europskog istraživačkog prostora (EIP) – Jačanje istraživanja i inovacija u Europi: dosadašnji i budući razvoj EIP-a” (COM(2024)0490),</w:t>
      </w:r>
    </w:p>
    <w:p w14:paraId="3A2400C9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 xml:space="preserve">uzimajući u obzir Preporuku Vijeća od 24. lipnja 2025. o programu politike europskog </w:t>
      </w:r>
      <w:r w:rsidRPr="00C4038C">
        <w:lastRenderedPageBreak/>
        <w:t>istraživačkog prostora za razdoblje 2025. – 2027.</w:t>
      </w:r>
      <w:r w:rsidRPr="00C4038C">
        <w:rPr>
          <w:rStyle w:val="FootnoteReference"/>
        </w:rPr>
        <w:footnoteReference w:id="1"/>
      </w:r>
      <w:r w:rsidRPr="00C4038C">
        <w:t>,</w:t>
      </w:r>
    </w:p>
    <w:p w14:paraId="123EDF76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komunikaciju Komisije od 30. rujna 2020. naslovljenu „Novi EIP za istraživanje i inovacije” (COM(2020)0628),</w:t>
      </w:r>
    </w:p>
    <w:p w14:paraId="110F6D70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Preporuku Vijeća (EU) 2021/2122 od 26. studenoga 2021. o Paktu za istraživanje i inovacije u Europi</w:t>
      </w:r>
      <w:r w:rsidRPr="00C4038C">
        <w:rPr>
          <w:rStyle w:val="FootnoteReference"/>
        </w:rPr>
        <w:footnoteReference w:id="2"/>
      </w:r>
      <w:r w:rsidRPr="00C4038C">
        <w:t>,</w:t>
      </w:r>
    </w:p>
    <w:p w14:paraId="17E624AD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program politike Europskog istraživačkog prostora 2022. – 2024.,</w:t>
      </w:r>
    </w:p>
    <w:p w14:paraId="7319C328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program politike Europskog istraživačkog prostora 2025. – 2027.,</w:t>
      </w:r>
    </w:p>
    <w:p w14:paraId="3E60CC38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uzimajući u obzir Deklaraciju iz Bonna o slobodi znanstvenog istraživanja,</w:t>
      </w:r>
    </w:p>
    <w:p w14:paraId="22874F65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svoju rezoluciju od 14. prosinca 2023. o mladim istraživačima</w:t>
      </w:r>
      <w:r w:rsidRPr="00C4038C">
        <w:rPr>
          <w:rStyle w:val="FootnoteReference"/>
        </w:rPr>
        <w:footnoteReference w:id="3"/>
      </w:r>
      <w:r w:rsidRPr="00C4038C">
        <w:t>,</w:t>
      </w:r>
    </w:p>
    <w:p w14:paraId="3BFDA15F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svoju rezoluciju od 17. siječnja 2024. s preporukama Komisiji naslovljenu „Promicanje slobode znanstvenog istraživanja u EU-u”</w:t>
      </w:r>
      <w:r w:rsidRPr="00C4038C">
        <w:rPr>
          <w:rStyle w:val="FootnoteReference"/>
        </w:rPr>
        <w:footnoteReference w:id="4"/>
      </w:r>
      <w:r w:rsidRPr="00C4038C">
        <w:t>,</w:t>
      </w:r>
    </w:p>
    <w:p w14:paraId="0C247E86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Preporuku Komisije od 11. ožujka 2005. o Europskoj povelji za istraživače i Kodeksu ponašanja pri zapošljavanju znanstvenika</w:t>
      </w:r>
      <w:r w:rsidRPr="00C4038C">
        <w:rPr>
          <w:rStyle w:val="FootnoteReference"/>
        </w:rPr>
        <w:footnoteReference w:id="5"/>
      </w:r>
      <w:r w:rsidRPr="00C4038C">
        <w:t>,</w:t>
      </w:r>
    </w:p>
    <w:p w14:paraId="6F169951" w14:textId="6F741B1C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pitanja upućena Vijeću i Komisiji o predstojećem Aktu o europskom istraživačkom prostoru (O-000007/2026 – B10-000</w:t>
      </w:r>
      <w:r w:rsidR="00C70DF0">
        <w:t>6</w:t>
      </w:r>
      <w:r w:rsidRPr="00C4038C">
        <w:t xml:space="preserve">/2026 i O-000008/2026 – </w:t>
      </w:r>
      <w:r w:rsidR="00045046" w:rsidRPr="00045046">
        <w:t>B10-0007</w:t>
      </w:r>
      <w:r w:rsidRPr="00C4038C">
        <w:t>/2026),</w:t>
      </w:r>
    </w:p>
    <w:p w14:paraId="5104B2EF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članak 142. stavak 5. i članak 136. stavak 2. Poslovnika,</w:t>
      </w:r>
    </w:p>
    <w:p w14:paraId="3C515410" w14:textId="77777777" w:rsidR="00743891" w:rsidRPr="00C4038C" w:rsidRDefault="00743891" w:rsidP="00743891">
      <w:pPr>
        <w:pStyle w:val="NormalHanging12a"/>
      </w:pPr>
      <w:r w:rsidRPr="00C4038C">
        <w:t>–</w:t>
      </w:r>
      <w:r w:rsidRPr="00C4038C">
        <w:tab/>
        <w:t>uzimajući u obzir Prijedlog rezolucije Odbora za industriju, istraživanje i energetiku,</w:t>
      </w:r>
    </w:p>
    <w:p w14:paraId="1712D078" w14:textId="77777777" w:rsidR="00743891" w:rsidRPr="00C4038C" w:rsidRDefault="00743891" w:rsidP="00743891">
      <w:pPr>
        <w:pStyle w:val="NormalHanging12a"/>
      </w:pPr>
      <w:r w:rsidRPr="00C4038C">
        <w:t>A.</w:t>
      </w:r>
      <w:r w:rsidRPr="00C4038C">
        <w:tab/>
        <w:t>budući da se člankom 179. UFEU-a utvrđuje cilj jačanja znanstvenih i tehnoloških temelja Unije u okviru europskog istraživačkog prostora (EIP), kojim se omogućuje slobodno kretanje istraživača, znanstvenih spoznaja i tehnologije, povećava konkurentnost i podupiru sve istraživačke aktivnosti;</w:t>
      </w:r>
    </w:p>
    <w:p w14:paraId="47D4393A" w14:textId="77777777" w:rsidR="00743891" w:rsidRPr="00C4038C" w:rsidRDefault="00743891" w:rsidP="00743891">
      <w:pPr>
        <w:pStyle w:val="NormalHanging12a"/>
      </w:pPr>
      <w:r w:rsidRPr="00C4038C">
        <w:t>B.</w:t>
      </w:r>
      <w:r w:rsidRPr="00C4038C">
        <w:tab/>
        <w:t>budući da Akt o EIP-u predstavlja ključnu priliku za unapređenje europskih istraživanja reagiranjem na strukturne izazove koji utječu na ekosustav istraživanja i inovacija u EU-u, što uključuje nedovoljnu koordinaciju i suradnju, fragmentaciju sustava i nejednake rezultate;</w:t>
      </w:r>
    </w:p>
    <w:p w14:paraId="33A4314D" w14:textId="77777777" w:rsidR="00743891" w:rsidRPr="00C4038C" w:rsidRDefault="00743891" w:rsidP="00743891">
      <w:pPr>
        <w:pStyle w:val="NormalHanging12a"/>
      </w:pPr>
      <w:r w:rsidRPr="00C4038C">
        <w:t>C.</w:t>
      </w:r>
      <w:r w:rsidRPr="00C4038C">
        <w:tab/>
        <w:t>budući da Akt o EIP-u može pomoći u ostvarivanju slobodnog protoka znanja (tzv. „pete slobode”) utvrđivanjem zajedničkih standarda, osiguravanjem dosljedne primjene pravila i doprinosom Planu za jedinstveno tržište do 2028. te otvaranjem kvalitetnih radnih mjesta;</w:t>
      </w:r>
    </w:p>
    <w:p w14:paraId="3D041889" w14:textId="77777777" w:rsidR="00743891" w:rsidRPr="00C4038C" w:rsidRDefault="00743891" w:rsidP="00743891">
      <w:pPr>
        <w:pStyle w:val="NormalHanging12a"/>
      </w:pPr>
      <w:r w:rsidRPr="00C4038C">
        <w:t>D.</w:t>
      </w:r>
      <w:r w:rsidRPr="00C4038C">
        <w:tab/>
        <w:t xml:space="preserve">budući da Uniji i dalje nedostaje integrirani EIP, koji privlači i zadržava talente, i to zbog prepreka kao što su nedovoljno davanje prednosti ulaganjima u istraživanje i </w:t>
      </w:r>
      <w:r w:rsidRPr="00C4038C">
        <w:lastRenderedPageBreak/>
        <w:t>inovacije, s obzirom na to da samo mali broj država članica ispunjava cilj od 3 % BDP-a ulaganja u istraživanje i razvoj, ali i nedovoljna koordinacija politika u području istraživanja i inovacija, kontinuirana fragmentacija, razlike u uspješnosti i prekomjerno administrativno opterećenje za istraživače i sveučilišta;</w:t>
      </w:r>
    </w:p>
    <w:p w14:paraId="612E1722" w14:textId="77777777" w:rsidR="00743891" w:rsidRPr="00C4038C" w:rsidRDefault="00743891" w:rsidP="00743891">
      <w:pPr>
        <w:pStyle w:val="NormalHanging12a"/>
      </w:pPr>
      <w:r w:rsidRPr="00C4038C">
        <w:t>E.</w:t>
      </w:r>
      <w:r w:rsidRPr="00C4038C">
        <w:tab/>
        <w:t>budući da program politike EIP-a služi kao važan neobvezujući okvir kojim se nacionalne politike i politike na razini EU-a usmjeravaju u skladu s ciljevima članka 179. UFEU-a i kojim se promiču dobrovoljna koordinacija i suradnja između država članica i Unije; budući da se ti ciljevi moraju dopuniti odredbama i poticajima u okviru budućeg Akta o EIP-u te alatima kao što je europski semestar kako bi se pružio snažniji temelj za dosljedan i visokoučinkovit EIP;</w:t>
      </w:r>
    </w:p>
    <w:p w14:paraId="403A6B9D" w14:textId="77777777" w:rsidR="00743891" w:rsidRPr="00C4038C" w:rsidRDefault="00743891" w:rsidP="00743891">
      <w:pPr>
        <w:pStyle w:val="NormalHanging12a"/>
      </w:pPr>
      <w:r w:rsidRPr="00C4038C">
        <w:t>F.</w:t>
      </w:r>
      <w:r w:rsidRPr="00C4038C">
        <w:tab/>
        <w:t>budući da su sloboda znanstvenog istraživanja, što uključuje neovisnost i institucionalnu autonomiju istraživača, izvrsnost, otvorenost i društvenu odgovornost, temeljne vrijednosti EIP-a i da su ključne za europsku demokraciju, konkurentnost i inovacijski kapacitet, čime Europa postaje sigurno utočište za istraživače iz cijelog svijeta;</w:t>
      </w:r>
    </w:p>
    <w:p w14:paraId="1C3F2DF8" w14:textId="77777777" w:rsidR="00743891" w:rsidRPr="00C4038C" w:rsidRDefault="00743891" w:rsidP="00743891">
      <w:pPr>
        <w:pStyle w:val="NormalHanging12a"/>
      </w:pPr>
      <w:r w:rsidRPr="00C4038C">
        <w:t>1.</w:t>
      </w:r>
      <w:r w:rsidRPr="00C4038C">
        <w:tab/>
        <w:t>podupire usklađivanje prioriteta Unije i nacionalnih prioriteta u području istraživanja i inovacija kako bi se osigurala komplementarnost, intenzivirala suradnja među sveučilištima, istraživačkim organizacijama, regijama, državama članicama i industrijama, stvorio učinkovit okvir upravljanja, povećala privlačnost istraživačkih karijera i privatnih ulaganja te postigao cilj Unije u pogledu ulaganja u istraživanje i razvoj od 3 % BDP-a;</w:t>
      </w:r>
    </w:p>
    <w:p w14:paraId="3ED344F5" w14:textId="77777777" w:rsidR="00743891" w:rsidRPr="00C4038C" w:rsidRDefault="00743891" w:rsidP="00743891">
      <w:pPr>
        <w:pStyle w:val="NormalHanging12a"/>
      </w:pPr>
      <w:r w:rsidRPr="00C4038C">
        <w:t>2.</w:t>
      </w:r>
      <w:r w:rsidRPr="00C4038C">
        <w:tab/>
        <w:t>poziva na dvojni pristup dobrovoljnoj suradnji u okviru programa politike EIP-a za razdoblje 2025. – 2027. u kombinaciji sa zakonodavnim mjerama, uključujući Akt o EIP-u i komplementarne inicijative, kako bi se EIP-u pružio obvezujući i provediv okvir;</w:t>
      </w:r>
    </w:p>
    <w:p w14:paraId="4A0937E1" w14:textId="77777777" w:rsidR="00743891" w:rsidRPr="00C4038C" w:rsidRDefault="00743891" w:rsidP="00743891">
      <w:pPr>
        <w:pStyle w:val="NormalHanging12a"/>
      </w:pPr>
      <w:r w:rsidRPr="00C4038C">
        <w:t>3.</w:t>
      </w:r>
      <w:r w:rsidRPr="00C4038C">
        <w:tab/>
        <w:t>preporučuje da Akt o EIP-u bude uredba za postizanje ciljeva iz članka 179. UFEU-a, kojom bi se osigurala izravna primjenjivost u svim državama članicama, potakli privatna ulaganja u istraživanje i razvoj, slobodno kretanje istraživača, znanstvenih spoznaja i tehnologija te kojom bi se doprinijelo smanjenju fragmentacije jedinstvenog tržišta;</w:t>
      </w:r>
    </w:p>
    <w:p w14:paraId="5EB19A83" w14:textId="77777777" w:rsidR="00743891" w:rsidRPr="00C4038C" w:rsidRDefault="00743891" w:rsidP="00743891">
      <w:pPr>
        <w:pStyle w:val="NormalHanging12a"/>
      </w:pPr>
      <w:r w:rsidRPr="00C4038C">
        <w:t>4.</w:t>
      </w:r>
      <w:r w:rsidRPr="00C4038C">
        <w:tab/>
        <w:t>ponovno potvrđuje važnost slobode znanstvenog istraživanja i institucionalne autonomije; poziva na to da se prijedlog Akta o EIP-u poprati zasebnim zakonodavnim prijedlogom sa zasebnom pravnom osnovom kojom se štiti temeljna sloboda znanstvenog istraživanja, uključujući minimalne standarde za prava istraživača, etičko ponašanje, integritet i institucionalnu neovisnost, te da ga se podupre učinkovitim mehanizmima praćenja;</w:t>
      </w:r>
    </w:p>
    <w:p w14:paraId="5E818362" w14:textId="77777777" w:rsidR="00743891" w:rsidRPr="00C4038C" w:rsidRDefault="00743891" w:rsidP="00743891">
      <w:pPr>
        <w:pStyle w:val="NormalHanging12a"/>
      </w:pPr>
      <w:r w:rsidRPr="00C4038C">
        <w:t>5.</w:t>
      </w:r>
      <w:r w:rsidRPr="00C4038C">
        <w:tab/>
        <w:t>poziva na to da se u Akt o EIP-u uključi cilj Unije povezan s ulaganjem najmanje 3 % BDP-a Unije u istraživanje i razvoj do 2030., a dopunjen nacionalnim ciljevima za ukupne rashode za istraživanje i razvoj, čime bi se doprinijelo tom cilju Unije; poziva države članice da poboljšaju koordinaciju ulaganja u istraživanje i razvoj uz pomoć nacionalnih planova i ciljeva kako bi se osigurala komplementarnost javnog i privatnog financiranja; potvrđuje da su poduzeća i industrije usmjereni na istraživanja ključni za poticanje privatnih ulaganja, postizanje cilja od 3 % i poticanje kvalitetnih radnih mjesta;</w:t>
      </w:r>
    </w:p>
    <w:p w14:paraId="299A20BE" w14:textId="77777777" w:rsidR="00743891" w:rsidRDefault="00743891" w:rsidP="00743891">
      <w:pPr>
        <w:pStyle w:val="NormalHanging12a"/>
      </w:pPr>
      <w:r w:rsidRPr="00C4038C">
        <w:t>6.</w:t>
      </w:r>
      <w:r w:rsidRPr="00C4038C">
        <w:tab/>
        <w:t xml:space="preserve">poziva na donošenje odredbi za jačanje privatnog sudjelovanja u ekosustavu istraživanja </w:t>
      </w:r>
      <w:r w:rsidRPr="00C4038C">
        <w:lastRenderedPageBreak/>
        <w:t>i inovacija EU-a uz pomoć bolje koordinacije i javno-privatnih partnerstva kako bi se riješio problem trajnog nedostatka ulaganja i fragmentacije tržišta te dovršila unija tržišta kapitala u cilju bržeg vrednovanja znanja, jačanja tehnološke suverenosti i podupiranja regionalnih inovacijskih ekosustava;</w:t>
      </w:r>
    </w:p>
    <w:p w14:paraId="261CCDB8" w14:textId="0F32B53A" w:rsidR="00C3310F" w:rsidRPr="00C3310F" w:rsidRDefault="00A92226" w:rsidP="00743891">
      <w:pPr>
        <w:pStyle w:val="NormalHanging12a"/>
        <w:rPr>
          <w:bCs/>
          <w:iCs/>
        </w:rPr>
      </w:pPr>
      <w:r>
        <w:rPr>
          <w:bCs/>
          <w:iCs/>
        </w:rPr>
        <w:t>7</w:t>
      </w:r>
      <w:r w:rsidR="00C3310F" w:rsidRPr="00C3310F">
        <w:rPr>
          <w:bCs/>
          <w:iCs/>
        </w:rPr>
        <w:t>.</w:t>
      </w:r>
      <w:r w:rsidR="00C3310F" w:rsidRPr="00C3310F">
        <w:rPr>
          <w:bCs/>
          <w:iCs/>
        </w:rPr>
        <w:tab/>
        <w:t>poziva na veću potporu javnim istraživanjima jačanjem financiranja europskih programa kao što je Obzor Europa; potiče države članice da povećaju financijska sredstva za sveučilišta i javne istraživačke organizacije;</w:t>
      </w:r>
    </w:p>
    <w:p w14:paraId="18E6E035" w14:textId="275F35BB" w:rsidR="00743891" w:rsidRPr="00C4038C" w:rsidRDefault="00A92226" w:rsidP="00743891">
      <w:pPr>
        <w:pStyle w:val="NormalHanging12a"/>
      </w:pPr>
      <w:r>
        <w:t>8</w:t>
      </w:r>
      <w:r w:rsidR="00743891" w:rsidRPr="00C4038C">
        <w:t>.</w:t>
      </w:r>
      <w:r w:rsidR="00743891" w:rsidRPr="00C4038C">
        <w:tab/>
        <w:t xml:space="preserve">poziva države članice da poduzmu reforme za uklanjanje prepreka slobodnom kretanju istraživača i znanja te da unaprijede prekograničnu suradnju i inovacije kako bi Europa postala </w:t>
      </w:r>
      <w:proofErr w:type="spellStart"/>
      <w:r w:rsidR="00743891" w:rsidRPr="00C4038C">
        <w:t>uključiva</w:t>
      </w:r>
      <w:proofErr w:type="spellEnd"/>
      <w:r w:rsidR="00743891" w:rsidRPr="00C4038C">
        <w:t xml:space="preserve"> i privlačna globalna istraživačka zajednica;</w:t>
      </w:r>
    </w:p>
    <w:p w14:paraId="6C341A28" w14:textId="0A9D219A" w:rsidR="00743891" w:rsidRPr="00C4038C" w:rsidRDefault="00A92226" w:rsidP="00743891">
      <w:pPr>
        <w:pStyle w:val="NormalHanging12a"/>
      </w:pPr>
      <w:r>
        <w:t>9</w:t>
      </w:r>
      <w:r w:rsidR="00743891" w:rsidRPr="00C4038C">
        <w:t>.</w:t>
      </w:r>
      <w:r w:rsidR="00743891" w:rsidRPr="00C4038C">
        <w:tab/>
        <w:t>preporučuje da se u Aktu o EIP-u koriste planiranje, mjerljivi parametri i alati za praćenje, izvješćivanje i evaluacija te da se nastoji osigurati ravnoteža između istraživačkih područja te osnovnog i primijenjenog istraživanja;</w:t>
      </w:r>
    </w:p>
    <w:p w14:paraId="25DC669F" w14:textId="491EBC2E" w:rsidR="00743891" w:rsidRPr="00C4038C" w:rsidRDefault="00A92226" w:rsidP="00743891">
      <w:pPr>
        <w:pStyle w:val="NormalHanging12a"/>
      </w:pPr>
      <w:r>
        <w:t>10</w:t>
      </w:r>
      <w:r w:rsidR="00743891" w:rsidRPr="00C4038C">
        <w:t>.</w:t>
      </w:r>
      <w:r w:rsidR="00743891" w:rsidRPr="00C4038C">
        <w:tab/>
        <w:t>poziva na snažnije upravljanje EIP-om i racionalizaciju postojećih instrumenata politike i praćenja;</w:t>
      </w:r>
    </w:p>
    <w:p w14:paraId="13599F6E" w14:textId="3B260322" w:rsidR="00743891" w:rsidRPr="00C4038C" w:rsidRDefault="00A92226" w:rsidP="00743891">
      <w:pPr>
        <w:pStyle w:val="NormalHanging12a"/>
      </w:pPr>
      <w:r>
        <w:t>11</w:t>
      </w:r>
      <w:r w:rsidR="00743891" w:rsidRPr="00C4038C">
        <w:t>.</w:t>
      </w:r>
      <w:r w:rsidR="00743891" w:rsidRPr="00C4038C">
        <w:tab/>
        <w:t>poziva Komisiju i države članice da povećaju koordinaciju između nacionalnih inicijativa i inicijativa EU-a u području istraživanja i inovacija u skladu sa sveobuhvatnim prioritetima EIP-a te da osiguraju sinergije među instrumentima i politikama financiranja država članica i Unije kako bi se ojačala vodeća znanstvena i tehnološka uloga Europe u svijetu;</w:t>
      </w:r>
    </w:p>
    <w:p w14:paraId="7046053E" w14:textId="3C5301B3" w:rsidR="00743891" w:rsidRPr="00C4038C" w:rsidRDefault="00A92226" w:rsidP="00743891">
      <w:pPr>
        <w:pStyle w:val="NormalHanging12a"/>
      </w:pPr>
      <w:r>
        <w:t>12</w:t>
      </w:r>
      <w:r w:rsidR="00743891" w:rsidRPr="00C4038C">
        <w:t>.</w:t>
      </w:r>
      <w:r w:rsidR="00743891" w:rsidRPr="00C4038C">
        <w:tab/>
        <w:t xml:space="preserve">poziva na snažnije i </w:t>
      </w:r>
      <w:proofErr w:type="spellStart"/>
      <w:r w:rsidR="00743891" w:rsidRPr="00C4038C">
        <w:t>inkluzivnije</w:t>
      </w:r>
      <w:proofErr w:type="spellEnd"/>
      <w:r w:rsidR="00743891" w:rsidRPr="00C4038C">
        <w:t xml:space="preserve"> europske inovacijske i tehnološke ekosustave s ciljem promicanja suradnje između sveučilišta, istraživačkih institucija, start-</w:t>
      </w:r>
      <w:proofErr w:type="spellStart"/>
      <w:r w:rsidR="00743891" w:rsidRPr="00C4038C">
        <w:t>up</w:t>
      </w:r>
      <w:proofErr w:type="spellEnd"/>
      <w:r w:rsidR="00743891" w:rsidRPr="00C4038C">
        <w:t xml:space="preserve"> poduzeća, MSP-ova i industrije kako bi se osigurao učinkovit i siguran prijenos znanja i bolja primjena rezultata u europskim poduzećima te kako bi se promicalo usavršavanje i prekvalifikacija kao i cjeloživotno učenje; ističe potrebu za uklanjanjem razlika u istraživanju i inovacijama među državama članicama, posebno onima sa slabijim rezultatima u tom području, kako bi se povećalo njihovo sudjelovanje u programima Unije;</w:t>
      </w:r>
    </w:p>
    <w:p w14:paraId="494403E6" w14:textId="5774FB67" w:rsidR="00743891" w:rsidRPr="00C4038C" w:rsidRDefault="00A92226" w:rsidP="00743891">
      <w:pPr>
        <w:pStyle w:val="NormalHanging12a"/>
      </w:pPr>
      <w:r>
        <w:t>13</w:t>
      </w:r>
      <w:r w:rsidR="00743891" w:rsidRPr="00C4038C">
        <w:t>.</w:t>
      </w:r>
      <w:r w:rsidR="00743891" w:rsidRPr="00C4038C">
        <w:tab/>
        <w:t>naglašava da je za funkcionalan europski istraživački prostor potreban slobodan protok istraživača i znanja te prekogranična suradnja; poziva na konkretne mjere za olakšavanje i pojednostavnjenje karijera istraživača, posebno mladih istraživača i istraživača na početku karijere, te na poboljšanje mobilnosti, uzajamno priznavanje kvalifikacija i pojednostavnjenje postupaka izdavanja viza; ponavlja svoju potporu Europskoj povelji za istraživače; napominje da rad na daljinu i hibridni rad istraživačima otvaraju mogućnosti za rad u drugim državama članicama bez potrebe za preseljenjem;</w:t>
      </w:r>
    </w:p>
    <w:p w14:paraId="51566971" w14:textId="3DDD9448" w:rsidR="00743891" w:rsidRPr="00C4038C" w:rsidRDefault="00A92226" w:rsidP="00743891">
      <w:pPr>
        <w:pStyle w:val="NormalHanging12a"/>
      </w:pPr>
      <w:r>
        <w:t>14</w:t>
      </w:r>
      <w:r w:rsidR="00743891" w:rsidRPr="00C4038C">
        <w:t>.</w:t>
      </w:r>
      <w:r w:rsidR="00743891" w:rsidRPr="00C4038C">
        <w:tab/>
        <w:t>potiče Komisiju i države članice da unaprijede rodnu ravnopravnost i jednake mogućnosti u području istraživanja i inovacija, osobito u nedovoljno zastupljenim sektorima, uz istodobno smanjenje razlike u plaćama između spolova;</w:t>
      </w:r>
    </w:p>
    <w:p w14:paraId="7B17FA8D" w14:textId="788E5D47" w:rsidR="00743891" w:rsidRPr="00C4038C" w:rsidRDefault="00A92226" w:rsidP="00743891">
      <w:pPr>
        <w:pStyle w:val="NormalHanging12a"/>
      </w:pPr>
      <w:r>
        <w:t>15</w:t>
      </w:r>
      <w:r w:rsidR="00743891" w:rsidRPr="00C4038C">
        <w:t>.</w:t>
      </w:r>
      <w:r w:rsidR="00743891" w:rsidRPr="00C4038C">
        <w:tab/>
        <w:t xml:space="preserve">ističe da treba osigurati otvoren i siguran protok znanja, bolju dostupnost istraživačke infrastrukture, vrednovanje znanja te etičku i pouzdanu upotrebu novih tehnologija, uključujući umjetnu inteligenciju, u skladu s vrijednostima i temeljnim pravima EU-a; naglašava važnost sigurnosti i integriteta istraživanja te učinkovitog širenja javno </w:t>
      </w:r>
      <w:r w:rsidR="00743891" w:rsidRPr="00C4038C">
        <w:lastRenderedPageBreak/>
        <w:t>financiranih istraživanja, među ostalim u knjižnicama, uz istodobno osiguravanje zaštite prava intelektualnog vlasništva;</w:t>
      </w:r>
    </w:p>
    <w:p w14:paraId="61F3DFA4" w14:textId="089D65CE" w:rsidR="00743891" w:rsidRPr="00C4038C" w:rsidRDefault="00A92226" w:rsidP="00743891">
      <w:pPr>
        <w:pStyle w:val="NormalHanging12a"/>
      </w:pPr>
      <w:r>
        <w:t>16</w:t>
      </w:r>
      <w:r w:rsidR="00743891" w:rsidRPr="00C4038C">
        <w:t>.</w:t>
      </w:r>
      <w:r w:rsidR="00743891" w:rsidRPr="00C4038C">
        <w:tab/>
        <w:t>preporučuje da se Akt o EIP-u uskladi s postojećim i budućim inicijativama, kao što su Europski akt o inovacijama, Pakt za istraživanje i inovacije, Okvirni program i europski prostor obrazovanja, kako bi se osigurale reforme koje se međusobno nadopunjuju, uvođenje inovacija, mobilnost talenata i financiranje;</w:t>
      </w:r>
    </w:p>
    <w:p w14:paraId="63D7907C" w14:textId="195750CD" w:rsidR="00C4038C" w:rsidRPr="00C4038C" w:rsidRDefault="00A92226" w:rsidP="00C4038C">
      <w:pPr>
        <w:pStyle w:val="NormalHanging12a"/>
      </w:pPr>
      <w:r>
        <w:t>17</w:t>
      </w:r>
      <w:r w:rsidR="00743891" w:rsidRPr="00C4038C">
        <w:t>.</w:t>
      </w:r>
      <w:r w:rsidR="00743891" w:rsidRPr="00C4038C">
        <w:tab/>
        <w:t>nalaže svojoj predsjednici da ovu Rezoluciju proslijedi Komisiji i Vijeću.</w:t>
      </w:r>
    </w:p>
    <w:p w14:paraId="202162AF" w14:textId="137F4CC2" w:rsidR="00E365E1" w:rsidRPr="00C4038C" w:rsidRDefault="00E365E1" w:rsidP="00EF38F3"/>
    <w:sectPr w:rsidR="00E365E1" w:rsidRPr="00C4038C" w:rsidSect="00C4038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D0F44" w14:textId="77777777" w:rsidR="00EF38F3" w:rsidRPr="00C4038C" w:rsidRDefault="00EF38F3">
      <w:r w:rsidRPr="00C4038C">
        <w:separator/>
      </w:r>
    </w:p>
  </w:endnote>
  <w:endnote w:type="continuationSeparator" w:id="0">
    <w:p w14:paraId="7A521BA3" w14:textId="77777777" w:rsidR="00EF38F3" w:rsidRPr="00C4038C" w:rsidRDefault="00EF38F3">
      <w:r w:rsidRPr="00C403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5453F" w14:textId="77777777" w:rsidR="00EF38F3" w:rsidRPr="00C4038C" w:rsidRDefault="00EF38F3">
      <w:r w:rsidRPr="00C4038C">
        <w:separator/>
      </w:r>
    </w:p>
  </w:footnote>
  <w:footnote w:type="continuationSeparator" w:id="0">
    <w:p w14:paraId="5860E898" w14:textId="77777777" w:rsidR="00EF38F3" w:rsidRPr="00C4038C" w:rsidRDefault="00EF38F3">
      <w:r w:rsidRPr="00C4038C">
        <w:continuationSeparator/>
      </w:r>
    </w:p>
  </w:footnote>
  <w:footnote w:id="1">
    <w:p w14:paraId="1C88D918" w14:textId="591B1C78" w:rsidR="00743891" w:rsidRPr="00C4038C" w:rsidRDefault="00743891" w:rsidP="00C4038C">
      <w:pPr>
        <w:pStyle w:val="FootnoteText"/>
        <w:ind w:left="567" w:hanging="567"/>
        <w:rPr>
          <w:sz w:val="24"/>
          <w:lang w:val="hr-HR"/>
        </w:rPr>
      </w:pPr>
      <w:r w:rsidRPr="00C4038C">
        <w:rPr>
          <w:rStyle w:val="FootnoteReference"/>
          <w:sz w:val="24"/>
          <w:lang w:val="hr-HR"/>
        </w:rPr>
        <w:footnoteRef/>
      </w:r>
      <w:r w:rsidR="00C4038C" w:rsidRPr="00C4038C">
        <w:rPr>
          <w:sz w:val="24"/>
          <w:lang w:val="hr-HR"/>
        </w:rPr>
        <w:t xml:space="preserve"> </w:t>
      </w:r>
      <w:r w:rsidR="00C4038C" w:rsidRPr="00C4038C">
        <w:rPr>
          <w:sz w:val="24"/>
          <w:lang w:val="hr-HR"/>
        </w:rPr>
        <w:tab/>
      </w:r>
      <w:r w:rsidRPr="00C4038C">
        <w:rPr>
          <w:sz w:val="24"/>
          <w:lang w:val="hr-HR"/>
        </w:rPr>
        <w:t xml:space="preserve">SL C, C/2025/3593, 30.6.2025., ELI: </w:t>
      </w:r>
      <w:hyperlink r:id="rId1" w:history="1">
        <w:r w:rsidRPr="00C4038C">
          <w:rPr>
            <w:rStyle w:val="Hyperlink"/>
            <w:sz w:val="24"/>
            <w:lang w:val="hr-HR"/>
          </w:rPr>
          <w:t>http://data.europa.eu/eli/C/2025/3593/oj</w:t>
        </w:r>
      </w:hyperlink>
      <w:r w:rsidRPr="00C4038C">
        <w:rPr>
          <w:sz w:val="24"/>
          <w:lang w:val="hr-HR"/>
        </w:rPr>
        <w:t>.</w:t>
      </w:r>
    </w:p>
  </w:footnote>
  <w:footnote w:id="2">
    <w:p w14:paraId="48FD1C79" w14:textId="690038AE" w:rsidR="00743891" w:rsidRPr="00C4038C" w:rsidRDefault="00743891" w:rsidP="00C4038C">
      <w:pPr>
        <w:pStyle w:val="FootnoteText"/>
        <w:ind w:left="567" w:hanging="567"/>
        <w:rPr>
          <w:sz w:val="24"/>
          <w:lang w:val="hr-HR"/>
        </w:rPr>
      </w:pPr>
      <w:r w:rsidRPr="00C4038C">
        <w:rPr>
          <w:rStyle w:val="FootnoteReference"/>
          <w:sz w:val="24"/>
          <w:lang w:val="hr-HR"/>
        </w:rPr>
        <w:footnoteRef/>
      </w:r>
      <w:r w:rsidR="00C4038C" w:rsidRPr="00C4038C">
        <w:rPr>
          <w:sz w:val="24"/>
          <w:lang w:val="hr-HR"/>
        </w:rPr>
        <w:t xml:space="preserve"> </w:t>
      </w:r>
      <w:r w:rsidR="00C4038C" w:rsidRPr="00C4038C">
        <w:rPr>
          <w:sz w:val="24"/>
          <w:lang w:val="hr-HR"/>
        </w:rPr>
        <w:tab/>
      </w:r>
      <w:r w:rsidRPr="00C4038C">
        <w:rPr>
          <w:sz w:val="24"/>
          <w:lang w:val="hr-HR"/>
        </w:rPr>
        <w:t>SL L 431, 2.12.2021., str. 1., ELI: </w:t>
      </w:r>
      <w:hyperlink r:id="rId2" w:tooltip="ELI URI za pristup dokumentu." w:history="1">
        <w:r w:rsidRPr="00C4038C">
          <w:rPr>
            <w:rStyle w:val="Hyperlink"/>
            <w:sz w:val="24"/>
            <w:lang w:val="hr-HR"/>
          </w:rPr>
          <w:t>http://data.europa.eu/eli/reco/2021/2122/oj</w:t>
        </w:r>
      </w:hyperlink>
      <w:r w:rsidRPr="00C4038C">
        <w:rPr>
          <w:sz w:val="24"/>
          <w:lang w:val="hr-HR"/>
        </w:rPr>
        <w:t>.</w:t>
      </w:r>
    </w:p>
  </w:footnote>
  <w:footnote w:id="3">
    <w:p w14:paraId="313A34FC" w14:textId="2673EF47" w:rsidR="00743891" w:rsidRPr="00C4038C" w:rsidRDefault="00743891" w:rsidP="00C4038C">
      <w:pPr>
        <w:pStyle w:val="FootnoteText"/>
        <w:ind w:left="567" w:hanging="567"/>
        <w:rPr>
          <w:sz w:val="24"/>
          <w:lang w:val="hr-HR"/>
        </w:rPr>
      </w:pPr>
      <w:r w:rsidRPr="00C4038C">
        <w:rPr>
          <w:rStyle w:val="FootnoteReference"/>
          <w:sz w:val="24"/>
          <w:lang w:val="hr-HR"/>
        </w:rPr>
        <w:footnoteRef/>
      </w:r>
      <w:r w:rsidR="00C4038C" w:rsidRPr="00C4038C">
        <w:rPr>
          <w:sz w:val="24"/>
          <w:lang w:val="hr-HR"/>
        </w:rPr>
        <w:t xml:space="preserve"> </w:t>
      </w:r>
      <w:r w:rsidR="00C4038C" w:rsidRPr="00C4038C">
        <w:rPr>
          <w:sz w:val="24"/>
          <w:lang w:val="hr-HR"/>
        </w:rPr>
        <w:tab/>
      </w:r>
      <w:r w:rsidRPr="00C4038C">
        <w:rPr>
          <w:sz w:val="24"/>
          <w:lang w:val="hr-HR"/>
        </w:rPr>
        <w:t>SL C, C/2024/4183, 2.8.2024., ELI: </w:t>
      </w:r>
      <w:hyperlink r:id="rId3" w:tgtFrame="_blank" w:tooltip="ELI URI za pristup dokumentu." w:history="1">
        <w:r w:rsidRPr="00C4038C">
          <w:rPr>
            <w:rStyle w:val="Hyperlink"/>
            <w:sz w:val="24"/>
            <w:lang w:val="hr-HR"/>
          </w:rPr>
          <w:t>http://data.europa.eu/eli/C/2024/4183/oj</w:t>
        </w:r>
      </w:hyperlink>
      <w:r w:rsidRPr="00C4038C">
        <w:rPr>
          <w:sz w:val="24"/>
          <w:lang w:val="hr-HR"/>
        </w:rPr>
        <w:t>.</w:t>
      </w:r>
    </w:p>
  </w:footnote>
  <w:footnote w:id="4">
    <w:p w14:paraId="210F7806" w14:textId="04655A30" w:rsidR="00743891" w:rsidRPr="00C4038C" w:rsidRDefault="00743891" w:rsidP="00C4038C">
      <w:pPr>
        <w:pStyle w:val="FootnoteText"/>
        <w:ind w:left="567" w:hanging="567"/>
        <w:rPr>
          <w:sz w:val="24"/>
          <w:lang w:val="hr-HR"/>
        </w:rPr>
      </w:pPr>
      <w:r w:rsidRPr="00C4038C">
        <w:rPr>
          <w:rStyle w:val="FootnoteReference"/>
          <w:sz w:val="24"/>
          <w:lang w:val="hr-HR"/>
        </w:rPr>
        <w:footnoteRef/>
      </w:r>
      <w:bookmarkStart w:id="7" w:name="_Hlk223515625"/>
      <w:r w:rsidR="00C4038C" w:rsidRPr="00C4038C">
        <w:rPr>
          <w:sz w:val="24"/>
          <w:lang w:val="hr-HR"/>
        </w:rPr>
        <w:t xml:space="preserve"> </w:t>
      </w:r>
      <w:r w:rsidR="00C4038C" w:rsidRPr="00C4038C">
        <w:rPr>
          <w:sz w:val="24"/>
          <w:lang w:val="hr-HR"/>
        </w:rPr>
        <w:tab/>
      </w:r>
      <w:r w:rsidRPr="00C4038C">
        <w:rPr>
          <w:sz w:val="24"/>
          <w:lang w:val="hr-HR"/>
        </w:rPr>
        <w:t>SL C, C/2024/5713, 17.10.2024., ELI: </w:t>
      </w:r>
      <w:hyperlink r:id="rId4" w:tgtFrame="_blank" w:tooltip="ELI URI za pristup dokumentu." w:history="1">
        <w:r w:rsidRPr="00C4038C">
          <w:rPr>
            <w:rStyle w:val="Hyperlink"/>
            <w:sz w:val="24"/>
            <w:lang w:val="hr-HR"/>
          </w:rPr>
          <w:t>http://data.europa.eu/eli/C/2024/5713/oj</w:t>
        </w:r>
      </w:hyperlink>
      <w:r w:rsidRPr="00C4038C">
        <w:rPr>
          <w:sz w:val="24"/>
          <w:lang w:val="hr-HR"/>
        </w:rPr>
        <w:t>.</w:t>
      </w:r>
      <w:bookmarkEnd w:id="7"/>
    </w:p>
  </w:footnote>
  <w:footnote w:id="5">
    <w:p w14:paraId="697C34CD" w14:textId="53A610E7" w:rsidR="00743891" w:rsidRPr="00C4038C" w:rsidRDefault="00743891" w:rsidP="00C4038C">
      <w:pPr>
        <w:pStyle w:val="FootnoteText"/>
        <w:ind w:left="567" w:hanging="567"/>
        <w:rPr>
          <w:sz w:val="24"/>
          <w:lang w:val="hr-HR"/>
        </w:rPr>
      </w:pPr>
      <w:r w:rsidRPr="00C4038C">
        <w:rPr>
          <w:rStyle w:val="FootnoteReference"/>
          <w:sz w:val="24"/>
          <w:lang w:val="hr-HR"/>
        </w:rPr>
        <w:footnoteRef/>
      </w:r>
      <w:bookmarkStart w:id="8" w:name="_Hlk223515698"/>
      <w:r w:rsidR="00C4038C" w:rsidRPr="00C4038C">
        <w:rPr>
          <w:sz w:val="24"/>
          <w:lang w:val="hr-HR"/>
        </w:rPr>
        <w:t xml:space="preserve"> </w:t>
      </w:r>
      <w:r w:rsidR="00C4038C" w:rsidRPr="00C4038C">
        <w:rPr>
          <w:sz w:val="24"/>
          <w:lang w:val="hr-HR"/>
        </w:rPr>
        <w:tab/>
      </w:r>
      <w:r w:rsidRPr="00C4038C">
        <w:rPr>
          <w:sz w:val="24"/>
          <w:lang w:val="hr-HR"/>
        </w:rPr>
        <w:t>SL L 75, 22.3.2005., str. 67., ELI: </w:t>
      </w:r>
      <w:hyperlink r:id="rId5" w:tooltip="ELI URI za pristup dokumentu." w:history="1">
        <w:r w:rsidRPr="00C4038C">
          <w:rPr>
            <w:rStyle w:val="Hyperlink"/>
            <w:sz w:val="24"/>
            <w:lang w:val="hr-HR"/>
          </w:rPr>
          <w:t>http://data.europa.eu/eli/reco/2005/251/oj</w:t>
        </w:r>
      </w:hyperlink>
      <w:r w:rsidRPr="00C4038C">
        <w:rPr>
          <w:sz w:val="24"/>
          <w:lang w:val="hr-HR"/>
        </w:rPr>
        <w:t>.</w:t>
      </w:r>
      <w:bookmarkEnd w:id="8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4785978">
    <w:abstractNumId w:val="9"/>
  </w:num>
  <w:num w:numId="2" w16cid:durableId="1969503310">
    <w:abstractNumId w:val="9"/>
  </w:num>
  <w:num w:numId="3" w16cid:durableId="845704719">
    <w:abstractNumId w:val="7"/>
  </w:num>
  <w:num w:numId="4" w16cid:durableId="627277062">
    <w:abstractNumId w:val="7"/>
  </w:num>
  <w:num w:numId="5" w16cid:durableId="872115728">
    <w:abstractNumId w:val="6"/>
  </w:num>
  <w:num w:numId="6" w16cid:durableId="1648778292">
    <w:abstractNumId w:val="6"/>
  </w:num>
  <w:num w:numId="7" w16cid:durableId="22637532">
    <w:abstractNumId w:val="5"/>
  </w:num>
  <w:num w:numId="8" w16cid:durableId="688412488">
    <w:abstractNumId w:val="5"/>
  </w:num>
  <w:num w:numId="9" w16cid:durableId="1489444407">
    <w:abstractNumId w:val="4"/>
  </w:num>
  <w:num w:numId="10" w16cid:durableId="1051539249">
    <w:abstractNumId w:val="4"/>
  </w:num>
  <w:num w:numId="11" w16cid:durableId="439225591">
    <w:abstractNumId w:val="8"/>
  </w:num>
  <w:num w:numId="12" w16cid:durableId="1375816089">
    <w:abstractNumId w:val="8"/>
  </w:num>
  <w:num w:numId="13" w16cid:durableId="244923933">
    <w:abstractNumId w:val="3"/>
  </w:num>
  <w:num w:numId="14" w16cid:durableId="1938246605">
    <w:abstractNumId w:val="3"/>
  </w:num>
  <w:num w:numId="15" w16cid:durableId="817960346">
    <w:abstractNumId w:val="2"/>
  </w:num>
  <w:num w:numId="16" w16cid:durableId="33582761">
    <w:abstractNumId w:val="2"/>
  </w:num>
  <w:num w:numId="17" w16cid:durableId="184709763">
    <w:abstractNumId w:val="1"/>
  </w:num>
  <w:num w:numId="18" w16cid:durableId="888304651">
    <w:abstractNumId w:val="1"/>
  </w:num>
  <w:num w:numId="19" w16cid:durableId="1527987380">
    <w:abstractNumId w:val="0"/>
  </w:num>
  <w:num w:numId="20" w16cid:durableId="486240200">
    <w:abstractNumId w:val="0"/>
  </w:num>
  <w:num w:numId="21" w16cid:durableId="1909460145">
    <w:abstractNumId w:val="9"/>
  </w:num>
  <w:num w:numId="22" w16cid:durableId="2069650129">
    <w:abstractNumId w:val="7"/>
  </w:num>
  <w:num w:numId="23" w16cid:durableId="81610891">
    <w:abstractNumId w:val="6"/>
  </w:num>
  <w:num w:numId="24" w16cid:durableId="1951862824">
    <w:abstractNumId w:val="5"/>
  </w:num>
  <w:num w:numId="25" w16cid:durableId="1601836506">
    <w:abstractNumId w:val="4"/>
  </w:num>
  <w:num w:numId="26" w16cid:durableId="1547910214">
    <w:abstractNumId w:val="8"/>
  </w:num>
  <w:num w:numId="27" w16cid:durableId="1075475433">
    <w:abstractNumId w:val="3"/>
  </w:num>
  <w:num w:numId="28" w16cid:durableId="1882135390">
    <w:abstractNumId w:val="2"/>
  </w:num>
  <w:num w:numId="29" w16cid:durableId="986978012">
    <w:abstractNumId w:val="1"/>
  </w:num>
  <w:num w:numId="30" w16cid:durableId="1940404256">
    <w:abstractNumId w:val="0"/>
  </w:num>
  <w:num w:numId="31" w16cid:durableId="135034560">
    <w:abstractNumId w:val="9"/>
  </w:num>
  <w:num w:numId="32" w16cid:durableId="493567783">
    <w:abstractNumId w:val="7"/>
  </w:num>
  <w:num w:numId="33" w16cid:durableId="270673822">
    <w:abstractNumId w:val="6"/>
  </w:num>
  <w:num w:numId="34" w16cid:durableId="1418482101">
    <w:abstractNumId w:val="5"/>
  </w:num>
  <w:num w:numId="35" w16cid:durableId="1844121750">
    <w:abstractNumId w:val="4"/>
  </w:num>
  <w:num w:numId="36" w16cid:durableId="1814180886">
    <w:abstractNumId w:val="8"/>
  </w:num>
  <w:num w:numId="37" w16cid:durableId="224725700">
    <w:abstractNumId w:val="3"/>
  </w:num>
  <w:num w:numId="38" w16cid:durableId="1148471098">
    <w:abstractNumId w:val="2"/>
  </w:num>
  <w:num w:numId="39" w16cid:durableId="716857609">
    <w:abstractNumId w:val="1"/>
  </w:num>
  <w:num w:numId="40" w16cid:durableId="1088379881">
    <w:abstractNumId w:val="0"/>
  </w:num>
  <w:num w:numId="41" w16cid:durableId="1327442300">
    <w:abstractNumId w:val="10"/>
  </w:num>
  <w:num w:numId="42" w16cid:durableId="2100829537">
    <w:abstractNumId w:val="10"/>
  </w:num>
  <w:num w:numId="43" w16cid:durableId="1687242882">
    <w:abstractNumId w:val="10"/>
  </w:num>
  <w:num w:numId="44" w16cid:durableId="12500457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6/2026"/>
    <w:docVar w:name="dvlangue" w:val="HR"/>
    <w:docVar w:name="dvnumam" w:val="0"/>
    <w:docVar w:name="dvpe" w:val="784.264"/>
    <w:docVar w:name="dvtitre" w:val="Rezolucija Europskog parlamenta od .... 2026. o predstojećem Aktu o europskom istraživačkom prostoru (EIP)(2025/2951(RSP))"/>
  </w:docVars>
  <w:rsids>
    <w:rsidRoot w:val="00EF38F3"/>
    <w:rsid w:val="00002272"/>
    <w:rsid w:val="00045046"/>
    <w:rsid w:val="00064002"/>
    <w:rsid w:val="000677B9"/>
    <w:rsid w:val="000831BA"/>
    <w:rsid w:val="000A42CC"/>
    <w:rsid w:val="000B138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434E"/>
    <w:rsid w:val="00361C00"/>
    <w:rsid w:val="00377281"/>
    <w:rsid w:val="00395FA1"/>
    <w:rsid w:val="003E15D4"/>
    <w:rsid w:val="00411CCE"/>
    <w:rsid w:val="0041666E"/>
    <w:rsid w:val="00421060"/>
    <w:rsid w:val="00471C19"/>
    <w:rsid w:val="004867E3"/>
    <w:rsid w:val="00494A28"/>
    <w:rsid w:val="004B44A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43EB"/>
    <w:rsid w:val="006F74FA"/>
    <w:rsid w:val="00731ADD"/>
    <w:rsid w:val="00734777"/>
    <w:rsid w:val="0074389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22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10F"/>
    <w:rsid w:val="00C4038C"/>
    <w:rsid w:val="00C61C0C"/>
    <w:rsid w:val="00C70DF0"/>
    <w:rsid w:val="00C941CB"/>
    <w:rsid w:val="00CC2357"/>
    <w:rsid w:val="00CF071A"/>
    <w:rsid w:val="00D058B8"/>
    <w:rsid w:val="00D43540"/>
    <w:rsid w:val="00D56C11"/>
    <w:rsid w:val="00D8234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8F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56F8B"/>
  <w15:chartTrackingRefBased/>
  <w15:docId w15:val="{8021B625-8F67-424E-A79F-61A0C534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43891"/>
    <w:pPr>
      <w:spacing w:before="480" w:after="240"/>
    </w:pPr>
  </w:style>
  <w:style w:type="paragraph" w:customStyle="1" w:styleId="NormalHanging12a">
    <w:name w:val="NormalHanging12a"/>
    <w:basedOn w:val="Normal"/>
    <w:rsid w:val="0074389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74389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70D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183/oj" TargetMode="External"/><Relationship Id="rId2" Type="http://schemas.openxmlformats.org/officeDocument/2006/relationships/hyperlink" Target="http://data.europa.eu/eli/reco/2021/2122/oj" TargetMode="External"/><Relationship Id="rId1" Type="http://schemas.openxmlformats.org/officeDocument/2006/relationships/hyperlink" Target="http://data.europa.eu/eli/C/2025/3593/oj" TargetMode="External"/><Relationship Id="rId5" Type="http://schemas.openxmlformats.org/officeDocument/2006/relationships/hyperlink" Target="http://data.europa.eu/eli/reco/2005/251/oj" TargetMode="External"/><Relationship Id="rId4" Type="http://schemas.openxmlformats.org/officeDocument/2006/relationships/hyperlink" Target="http://data.europa.eu/eli/C/2024/57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1504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MEMIĆ Samir</cp:lastModifiedBy>
  <cp:revision>2</cp:revision>
  <cp:lastPrinted>2004-11-19T15:42:00Z</cp:lastPrinted>
  <dcterms:created xsi:type="dcterms:W3CDTF">2026-04-22T07:02:00Z</dcterms:created>
  <dcterms:modified xsi:type="dcterms:W3CDTF">2026-04-22T07:02:00Z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B10-0156/2026</vt:lpwstr>
  </property>
  <property fmtid="{D5CDD505-2E9C-101B-9397-08002B2CF9AE}" pid="4" name="&lt;Type&gt;">
    <vt:lpwstr>RR</vt:lpwstr>
  </property>
</Properties>
</file>