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743B" w14:paraId="750096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318142" w14:textId="77777777" w:rsidR="00751A4A" w:rsidRPr="0090743B" w:rsidRDefault="00DA4FC3" w:rsidP="0010095E">
            <w:pPr>
              <w:pStyle w:val="EPName"/>
            </w:pPr>
            <w:r w:rsidRPr="0090743B">
              <w:t>Parlament Europejski</w:t>
            </w:r>
          </w:p>
          <w:p w14:paraId="1A389653" w14:textId="77777777" w:rsidR="00751A4A" w:rsidRPr="009074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743B">
              <w:t>2024</w:t>
            </w:r>
            <w:r w:rsidR="00817416" w:rsidRPr="0090743B">
              <w:t>-202</w:t>
            </w:r>
            <w:r w:rsidRPr="0090743B">
              <w:t>9</w:t>
            </w:r>
          </w:p>
        </w:tc>
        <w:tc>
          <w:tcPr>
            <w:tcW w:w="2268" w:type="dxa"/>
            <w:shd w:val="clear" w:color="auto" w:fill="auto"/>
          </w:tcPr>
          <w:p w14:paraId="07EB9D5C" w14:textId="77777777" w:rsidR="00751A4A" w:rsidRPr="0090743B" w:rsidRDefault="00187494" w:rsidP="0010095E">
            <w:pPr>
              <w:pStyle w:val="EPLogo"/>
            </w:pPr>
            <w:r w:rsidRPr="0090743B">
              <w:rPr>
                <w:noProof/>
                <w:lang w:eastAsia="ja-JP"/>
              </w:rPr>
              <w:drawing>
                <wp:inline distT="0" distB="0" distL="0" distR="0" wp14:anchorId="3C5F7E2C" wp14:editId="367832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9BBD84" w14:textId="77777777" w:rsidR="00D058B8" w:rsidRPr="0090743B" w:rsidRDefault="00D058B8" w:rsidP="004C5D52">
      <w:pPr>
        <w:pStyle w:val="LineTop"/>
      </w:pPr>
    </w:p>
    <w:p w14:paraId="1BC25031" w14:textId="77777777" w:rsidR="00680577" w:rsidRPr="0090743B" w:rsidRDefault="00DA4FC3" w:rsidP="00680577">
      <w:pPr>
        <w:pStyle w:val="EPBodyTA1"/>
      </w:pPr>
      <w:r w:rsidRPr="0090743B">
        <w:t>TEKSTY PRZYJĘTE</w:t>
      </w:r>
    </w:p>
    <w:p w14:paraId="088B161C" w14:textId="77777777" w:rsidR="00D058B8" w:rsidRPr="0090743B" w:rsidRDefault="00D058B8" w:rsidP="00D058B8">
      <w:pPr>
        <w:pStyle w:val="LineBottom"/>
      </w:pPr>
    </w:p>
    <w:p w14:paraId="5ADBED63" w14:textId="06ACE09C" w:rsidR="00DA4FC3" w:rsidRPr="0090743B" w:rsidRDefault="00DA4FC3" w:rsidP="00DA4FC3">
      <w:pPr>
        <w:pStyle w:val="ATHeading1"/>
      </w:pPr>
      <w:bookmarkStart w:id="0" w:name="TANumber"/>
      <w:r w:rsidRPr="0090743B">
        <w:t>P10_</w:t>
      </w:r>
      <w:proofErr w:type="gramStart"/>
      <w:r w:rsidRPr="0090743B">
        <w:t>TA(</w:t>
      </w:r>
      <w:proofErr w:type="gramEnd"/>
      <w:r w:rsidRPr="0090743B">
        <w:t>2026)00</w:t>
      </w:r>
      <w:bookmarkEnd w:id="0"/>
      <w:r w:rsidR="000A7B7D">
        <w:t>68</w:t>
      </w:r>
    </w:p>
    <w:p w14:paraId="422ED82A" w14:textId="31F70798" w:rsidR="00DA4FC3" w:rsidRPr="0090743B" w:rsidRDefault="00FF6314" w:rsidP="00DA4FC3">
      <w:pPr>
        <w:pStyle w:val="ATHeading2"/>
      </w:pPr>
      <w:r>
        <w:t>Przyszły akt o europejskiej przestrzeni badawczej (akt o EPB)</w:t>
      </w:r>
    </w:p>
    <w:p w14:paraId="1A279E00" w14:textId="77777777" w:rsidR="00DA4FC3" w:rsidRPr="0090743B" w:rsidRDefault="00DA4FC3" w:rsidP="00DA4FC3">
      <w:pPr>
        <w:rPr>
          <w:i/>
          <w:vanish/>
        </w:rPr>
      </w:pPr>
      <w:r w:rsidRPr="0090743B">
        <w:rPr>
          <w:i/>
        </w:rPr>
        <w:fldChar w:fldCharType="begin"/>
      </w:r>
      <w:r w:rsidRPr="0090743B">
        <w:rPr>
          <w:i/>
        </w:rPr>
        <w:instrText xml:space="preserve"> TC"(</w:instrText>
      </w:r>
      <w:bookmarkStart w:id="1" w:name="DocNumber"/>
      <w:r w:rsidRPr="0090743B">
        <w:rPr>
          <w:i/>
        </w:rPr>
        <w:instrText>B10-0156/2026</w:instrText>
      </w:r>
      <w:bookmarkEnd w:id="1"/>
      <w:r w:rsidRPr="0090743B">
        <w:rPr>
          <w:i/>
        </w:rPr>
        <w:instrText xml:space="preserve">)"\l3 \n&gt; \* MERGEFORMAT </w:instrText>
      </w:r>
      <w:r w:rsidRPr="0090743B">
        <w:rPr>
          <w:i/>
        </w:rPr>
        <w:fldChar w:fldCharType="end"/>
      </w:r>
    </w:p>
    <w:p w14:paraId="7CE51833" w14:textId="77777777" w:rsidR="00DA4FC3" w:rsidRPr="0090743B" w:rsidRDefault="00DA4FC3" w:rsidP="00DA4FC3">
      <w:pPr>
        <w:rPr>
          <w:vanish/>
        </w:rPr>
      </w:pPr>
      <w:bookmarkStart w:id="2" w:name="PE"/>
      <w:r w:rsidRPr="0090743B">
        <w:rPr>
          <w:vanish/>
        </w:rPr>
        <w:t>PE784.264</w:t>
      </w:r>
      <w:bookmarkEnd w:id="2"/>
    </w:p>
    <w:p w14:paraId="7BDE5130" w14:textId="0CF537F7" w:rsidR="00DA4FC3" w:rsidRPr="0090743B" w:rsidRDefault="00DA4FC3" w:rsidP="00DA4FC3">
      <w:pPr>
        <w:pStyle w:val="ATHeading3"/>
      </w:pPr>
      <w:bookmarkStart w:id="3" w:name="Sujet"/>
      <w:r w:rsidRPr="0090743B">
        <w:t xml:space="preserve">Rezolucja Parlamentu Europejskiego z dnia </w:t>
      </w:r>
      <w:r w:rsidR="00FF6314">
        <w:t>10 marca</w:t>
      </w:r>
      <w:r w:rsidRPr="0090743B">
        <w:t xml:space="preserve"> 2026 r. w sprawie przyszłego aktu o europejskiej przestrzeni badawczej (EPB)</w:t>
      </w:r>
      <w:bookmarkEnd w:id="3"/>
      <w:r w:rsidRPr="0090743B">
        <w:t xml:space="preserve"> </w:t>
      </w:r>
      <w:bookmarkStart w:id="4" w:name="References"/>
      <w:r w:rsidRPr="0090743B">
        <w:t>(2025/2951(RSP))</w:t>
      </w:r>
      <w:bookmarkEnd w:id="4"/>
    </w:p>
    <w:p w14:paraId="1ADD9799" w14:textId="77777777" w:rsidR="00DA4FC3" w:rsidRPr="0090743B" w:rsidRDefault="00DA4FC3" w:rsidP="00DA4FC3"/>
    <w:p w14:paraId="7F1EEE0C" w14:textId="77777777" w:rsidR="009D2891" w:rsidRPr="0090743B" w:rsidRDefault="009D2891" w:rsidP="009D2891">
      <w:pPr>
        <w:tabs>
          <w:tab w:val="left" w:pos="-1104"/>
          <w:tab w:val="left" w:pos="-96"/>
          <w:tab w:val="left" w:pos="240"/>
          <w:tab w:val="left" w:pos="624"/>
          <w:tab w:val="left" w:pos="1200"/>
          <w:tab w:val="left" w:pos="1824"/>
          <w:tab w:val="left" w:pos="2400"/>
          <w:tab w:val="left" w:pos="3024"/>
          <w:tab w:val="left" w:pos="3600"/>
          <w:tab w:val="left" w:pos="4224"/>
          <w:tab w:val="left" w:pos="4800"/>
          <w:tab w:val="left" w:pos="5424"/>
          <w:tab w:val="left" w:pos="6000"/>
          <w:tab w:val="left" w:pos="6624"/>
          <w:tab w:val="left" w:pos="7200"/>
          <w:tab w:val="left" w:pos="7824"/>
          <w:tab w:val="left" w:pos="8400"/>
          <w:tab w:val="left" w:pos="9024"/>
        </w:tabs>
        <w:suppressAutoHyphens/>
        <w:spacing w:before="480" w:after="240"/>
        <w:jc w:val="both"/>
        <w:rPr>
          <w:spacing w:val="-2"/>
        </w:rPr>
      </w:pPr>
      <w:bookmarkStart w:id="5" w:name="TextBodyBegin"/>
      <w:bookmarkEnd w:id="5"/>
      <w:r w:rsidRPr="0090743B">
        <w:rPr>
          <w:i/>
        </w:rPr>
        <w:t>Parlament Europejski</w:t>
      </w:r>
      <w:r w:rsidRPr="0090743B">
        <w:t>,</w:t>
      </w:r>
    </w:p>
    <w:p w14:paraId="609F3573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Traktat o funkcjonowaniu Unii Europejskiej (TFUE), w szczególności jego art. 179,</w:t>
      </w:r>
    </w:p>
    <w:p w14:paraId="56D2569E" w14:textId="02312CE5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pismo przewodniczącej Komisji z </w:t>
      </w:r>
      <w:r w:rsidR="00FF6314">
        <w:t xml:space="preserve">dnia </w:t>
      </w:r>
      <w:r w:rsidRPr="0090743B">
        <w:t>1 grudnia 2024 r. określające zadania komisarza odpowiedzialnego za start-</w:t>
      </w:r>
      <w:proofErr w:type="spellStart"/>
      <w:r w:rsidRPr="0090743B">
        <w:t>upy</w:t>
      </w:r>
      <w:proofErr w:type="spellEnd"/>
      <w:r w:rsidRPr="0090743B">
        <w:t>, badania i innowacje,</w:t>
      </w:r>
    </w:p>
    <w:p w14:paraId="5E51BD12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program prac Komisji na 2026 r. (</w:t>
      </w:r>
      <w:proofErr w:type="gramStart"/>
      <w:r w:rsidRPr="0090743B">
        <w:t>COM(</w:t>
      </w:r>
      <w:proofErr w:type="gramEnd"/>
      <w:r w:rsidRPr="0090743B">
        <w:t>2025)0870),</w:t>
      </w:r>
    </w:p>
    <w:p w14:paraId="00CF34EF" w14:textId="3C6721E4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wniosek Komisji z </w:t>
      </w:r>
      <w:r w:rsidR="00FF6314">
        <w:t>dnia</w:t>
      </w:r>
      <w:r w:rsidRPr="0090743B">
        <w:t>28 lutego 2025 r. dotyczący zalecenia Rady w sprawie programu polityki w zakresie europejskiej przestrzeni badawczej na lata 2025–2027 (</w:t>
      </w:r>
      <w:proofErr w:type="gramStart"/>
      <w:r w:rsidRPr="0090743B">
        <w:t>COM(</w:t>
      </w:r>
      <w:proofErr w:type="gramEnd"/>
      <w:r w:rsidRPr="0090743B">
        <w:t>2025)0062),</w:t>
      </w:r>
    </w:p>
    <w:p w14:paraId="282E5CB0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opracowaną przez Komisję tablicę wyników europejskiej przestrzeni badawczej (EPB) za 2024 r.,</w:t>
      </w:r>
    </w:p>
    <w:p w14:paraId="15A697B2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sprawozdanie Maria </w:t>
      </w:r>
      <w:proofErr w:type="spellStart"/>
      <w:r w:rsidRPr="0090743B">
        <w:t>Draghiego</w:t>
      </w:r>
      <w:proofErr w:type="spellEnd"/>
      <w:r w:rsidRPr="0090743B">
        <w:t xml:space="preserve"> z września 2024 r. na temat przyszłości europejskiej konkurencyjności,</w:t>
      </w:r>
    </w:p>
    <w:p w14:paraId="331638C8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sprawozdanie Enrica </w:t>
      </w:r>
      <w:proofErr w:type="spellStart"/>
      <w:r w:rsidRPr="0090743B">
        <w:t>Letty</w:t>
      </w:r>
      <w:proofErr w:type="spellEnd"/>
      <w:r w:rsidRPr="0090743B">
        <w:t xml:space="preserve"> z kwietnia 2024 r. pt. „Much </w:t>
      </w:r>
      <w:proofErr w:type="spellStart"/>
      <w:r w:rsidRPr="0090743B">
        <w:t>more</w:t>
      </w:r>
      <w:proofErr w:type="spellEnd"/>
      <w:r w:rsidRPr="0090743B">
        <w:t xml:space="preserve"> </w:t>
      </w:r>
      <w:proofErr w:type="spellStart"/>
      <w:r w:rsidRPr="0090743B">
        <w:t>than</w:t>
      </w:r>
      <w:proofErr w:type="spellEnd"/>
      <w:r w:rsidRPr="0090743B">
        <w:t xml:space="preserve"> a market” [Znacznie więcej niż rynek],</w:t>
      </w:r>
    </w:p>
    <w:p w14:paraId="768D19D2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sprawozdanie niezależnej grupy ekspertów pod przewodnictwem Manuela Heitora z października 2024 r. pt. „</w:t>
      </w:r>
      <w:proofErr w:type="spellStart"/>
      <w:r w:rsidRPr="0090743B">
        <w:t>Align</w:t>
      </w:r>
      <w:proofErr w:type="spellEnd"/>
      <w:r w:rsidRPr="0090743B">
        <w:t xml:space="preserve">, </w:t>
      </w:r>
      <w:proofErr w:type="spellStart"/>
      <w:r w:rsidRPr="0090743B">
        <w:t>act</w:t>
      </w:r>
      <w:proofErr w:type="spellEnd"/>
      <w:r w:rsidRPr="0090743B">
        <w:t xml:space="preserve">, </w:t>
      </w:r>
      <w:proofErr w:type="spellStart"/>
      <w:r w:rsidRPr="0090743B">
        <w:t>accelerate</w:t>
      </w:r>
      <w:proofErr w:type="spellEnd"/>
      <w:r w:rsidRPr="0090743B">
        <w:t xml:space="preserve"> – </w:t>
      </w:r>
      <w:proofErr w:type="spellStart"/>
      <w:r w:rsidRPr="0090743B">
        <w:t>Research</w:t>
      </w:r>
      <w:proofErr w:type="spellEnd"/>
      <w:r w:rsidRPr="0090743B">
        <w:t xml:space="preserve">, </w:t>
      </w:r>
      <w:proofErr w:type="spellStart"/>
      <w:r w:rsidRPr="0090743B">
        <w:t>technology</w:t>
      </w:r>
      <w:proofErr w:type="spellEnd"/>
      <w:r w:rsidRPr="0090743B">
        <w:t xml:space="preserve"> and </w:t>
      </w:r>
      <w:proofErr w:type="spellStart"/>
      <w:r w:rsidRPr="0090743B">
        <w:t>innovation</w:t>
      </w:r>
      <w:proofErr w:type="spellEnd"/>
      <w:r w:rsidRPr="0090743B">
        <w:t xml:space="preserve"> to </w:t>
      </w:r>
      <w:proofErr w:type="spellStart"/>
      <w:r w:rsidRPr="0090743B">
        <w:t>boost</w:t>
      </w:r>
      <w:proofErr w:type="spellEnd"/>
      <w:r w:rsidRPr="0090743B">
        <w:t xml:space="preserve"> </w:t>
      </w:r>
      <w:proofErr w:type="spellStart"/>
      <w:r w:rsidRPr="0090743B">
        <w:t>European</w:t>
      </w:r>
      <w:proofErr w:type="spellEnd"/>
      <w:r w:rsidRPr="0090743B">
        <w:t xml:space="preserve"> </w:t>
      </w:r>
      <w:proofErr w:type="spellStart"/>
      <w:r w:rsidRPr="0090743B">
        <w:t>competitiveness</w:t>
      </w:r>
      <w:proofErr w:type="spellEnd"/>
      <w:r w:rsidRPr="0090743B">
        <w:t>” [Dostosowywać, działać, przyspieszać – badania, technologie i innowacje w celu zwiększenia konkurencyjności Europy],</w:t>
      </w:r>
    </w:p>
    <w:p w14:paraId="1E248896" w14:textId="0A677CCA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komunikat Komisji z </w:t>
      </w:r>
      <w:r w:rsidR="00FF6314">
        <w:t xml:space="preserve">dnia </w:t>
      </w:r>
      <w:r w:rsidRPr="0090743B">
        <w:t>22 października 2024 r. pt. „Realizacja europejskiej przestrzeni badawczej (EPB) – Wzmocnienie europejskich badań naukowych i innowacji: historia EPB i przyszłe kierunki rozwoju” (</w:t>
      </w:r>
      <w:proofErr w:type="gramStart"/>
      <w:r w:rsidRPr="0090743B">
        <w:t>COM(</w:t>
      </w:r>
      <w:proofErr w:type="gramEnd"/>
      <w:r w:rsidRPr="0090743B">
        <w:t>2024)0490),</w:t>
      </w:r>
    </w:p>
    <w:p w14:paraId="7A98A4F3" w14:textId="64F303E9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zalecenie Rady z </w:t>
      </w:r>
      <w:r w:rsidR="00FF6314">
        <w:t xml:space="preserve">dnia </w:t>
      </w:r>
      <w:r w:rsidRPr="0090743B">
        <w:t xml:space="preserve">24 czerwca 2025 r. w sprawie programu polityki </w:t>
      </w:r>
      <w:r w:rsidRPr="0090743B">
        <w:lastRenderedPageBreak/>
        <w:t>w zakresie europejskiej przestrzeni badawczej na lata 2025–2027</w:t>
      </w:r>
      <w:r w:rsidRPr="0090743B">
        <w:rPr>
          <w:rStyle w:val="FootnoteReference"/>
        </w:rPr>
        <w:footnoteReference w:id="1"/>
      </w:r>
      <w:r w:rsidRPr="0090743B">
        <w:t>,</w:t>
      </w:r>
    </w:p>
    <w:p w14:paraId="4CFD02E6" w14:textId="6E64A501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komunikat Komisji z </w:t>
      </w:r>
      <w:r w:rsidR="00FF6314">
        <w:t xml:space="preserve">dnia </w:t>
      </w:r>
      <w:r w:rsidRPr="0090743B">
        <w:t>30 września 2020 r. pt. „Nowa europejska przestrzeń badawcza na rzecz badań naukowych i innowacji” (</w:t>
      </w:r>
      <w:proofErr w:type="gramStart"/>
      <w:r w:rsidRPr="0090743B">
        <w:t>COM(</w:t>
      </w:r>
      <w:proofErr w:type="gramEnd"/>
      <w:r w:rsidRPr="0090743B">
        <w:t>2020)0628),</w:t>
      </w:r>
    </w:p>
    <w:p w14:paraId="21651EE1" w14:textId="74BA2B4C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zalecenie Rady (UE) 2021/2122 z </w:t>
      </w:r>
      <w:r w:rsidR="00FF6314">
        <w:t xml:space="preserve">dnia </w:t>
      </w:r>
      <w:r w:rsidRPr="0090743B">
        <w:t>26 listopada 2021 r. w sprawie Paktu na rzecz badań naukowych i innowacji w Europie</w:t>
      </w:r>
      <w:r w:rsidRPr="0090743B">
        <w:rPr>
          <w:rStyle w:val="FootnoteReference"/>
        </w:rPr>
        <w:footnoteReference w:id="2"/>
      </w:r>
      <w:r w:rsidRPr="0090743B">
        <w:t>,</w:t>
      </w:r>
    </w:p>
    <w:p w14:paraId="3F5E51BD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program polityki w zakresie EPB na lata 2022–2024,</w:t>
      </w:r>
    </w:p>
    <w:p w14:paraId="20729BC0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program polityki w zakresie EPB na lata 2025–2027,</w:t>
      </w:r>
    </w:p>
    <w:p w14:paraId="67CDD14A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deklarację z Bonn o wolności badań naukowych,</w:t>
      </w:r>
    </w:p>
    <w:p w14:paraId="5DE2FB18" w14:textId="469B7E9E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swoją rezolucję z </w:t>
      </w:r>
      <w:r w:rsidR="00FF6314">
        <w:t xml:space="preserve">dnia </w:t>
      </w:r>
      <w:r w:rsidRPr="0090743B">
        <w:t>14 grudnia 2023 r. w sprawie młodych naukowców</w:t>
      </w:r>
      <w:r w:rsidRPr="0090743B">
        <w:rPr>
          <w:rStyle w:val="FootnoteReference"/>
        </w:rPr>
        <w:footnoteReference w:id="3"/>
      </w:r>
      <w:r w:rsidRPr="0090743B">
        <w:t>,</w:t>
      </w:r>
    </w:p>
    <w:p w14:paraId="67C7A12E" w14:textId="28444639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swoją rezolucję z </w:t>
      </w:r>
      <w:r w:rsidR="00FF6314">
        <w:t xml:space="preserve">dnia </w:t>
      </w:r>
      <w:r w:rsidRPr="0090743B">
        <w:t>17 stycznia 2024 r. zawierającą zalecenia dla Komisji w sprawie promowania wolności badań naukowych w UE</w:t>
      </w:r>
      <w:r w:rsidRPr="0090743B">
        <w:rPr>
          <w:rStyle w:val="FootnoteReference"/>
        </w:rPr>
        <w:footnoteReference w:id="4"/>
      </w:r>
      <w:r w:rsidRPr="0090743B">
        <w:t>,</w:t>
      </w:r>
    </w:p>
    <w:p w14:paraId="707F5D44" w14:textId="3286C751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 xml:space="preserve">uwzględniając zalecenie Komisji z </w:t>
      </w:r>
      <w:r w:rsidR="00FF6314">
        <w:t xml:space="preserve">dnia </w:t>
      </w:r>
      <w:r w:rsidRPr="0090743B">
        <w:t>11 marca 2005 r. w sprawie Europejskiej Karty Naukowca oraz Kodeksu postępowania przy rekrutacji pracowników naukowych</w:t>
      </w:r>
      <w:r w:rsidRPr="0090743B">
        <w:rPr>
          <w:rStyle w:val="FootnoteReference"/>
        </w:rPr>
        <w:footnoteReference w:id="5"/>
      </w:r>
      <w:r w:rsidRPr="0090743B">
        <w:t>,</w:t>
      </w:r>
    </w:p>
    <w:p w14:paraId="6129E7B2" w14:textId="6B1F4F68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pytania do Rady i Komisji w sprawie przyszłego aktu o europejskiej przestrzeni badawczej (EPB) (O-000007/2026 – B10-000</w:t>
      </w:r>
      <w:r w:rsidR="00FF6314">
        <w:t>6</w:t>
      </w:r>
      <w:r w:rsidRPr="0090743B">
        <w:t xml:space="preserve">/2026 </w:t>
      </w:r>
      <w:r w:rsidR="00194BAB">
        <w:t>oraz</w:t>
      </w:r>
      <w:r w:rsidRPr="0090743B">
        <w:t xml:space="preserve"> O-000008/2026 – B10</w:t>
      </w:r>
      <w:r w:rsidR="001F7A7E">
        <w:t>-</w:t>
      </w:r>
      <w:r w:rsidRPr="0090743B">
        <w:t>000</w:t>
      </w:r>
      <w:r w:rsidR="00FF6314">
        <w:t>7</w:t>
      </w:r>
      <w:r w:rsidRPr="0090743B">
        <w:t>/2026),</w:t>
      </w:r>
    </w:p>
    <w:p w14:paraId="1FAA8A62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art. 142 ust. 5 i art. 136 ust. 2 Regulaminu</w:t>
      </w:r>
    </w:p>
    <w:p w14:paraId="6C8B8899" w14:textId="77777777" w:rsidR="009D2891" w:rsidRPr="0090743B" w:rsidRDefault="009D2891" w:rsidP="009D2891">
      <w:pPr>
        <w:pStyle w:val="NormalHanging12a"/>
      </w:pPr>
      <w:r w:rsidRPr="0090743B">
        <w:t>–</w:t>
      </w:r>
      <w:r w:rsidRPr="0090743B">
        <w:tab/>
        <w:t>uwzględniając projekt rezolucji Komisji Przemysłu, Badań Naukowych i Energii,</w:t>
      </w:r>
    </w:p>
    <w:p w14:paraId="40043BDC" w14:textId="77777777" w:rsidR="009D2891" w:rsidRPr="0090743B" w:rsidRDefault="009D2891" w:rsidP="009D2891">
      <w:pPr>
        <w:pStyle w:val="NormalHanging12a"/>
      </w:pPr>
      <w:r w:rsidRPr="0090743B">
        <w:t>A.</w:t>
      </w:r>
      <w:r w:rsidRPr="0090743B">
        <w:tab/>
        <w:t>mając na uwadze, że w art. 179 TFUE określono cel wzmocnienia bazy naukowej i technologicznej Unii za pośrednictwem europejskiej przestrzeni badawczej (EPB), która umożliwia swobodny przepływ naukowców, wiedzy naukowej i technologii, zwiększa konkurencyjność i wspiera wszelkiego rodzaju działalność badawczą;</w:t>
      </w:r>
    </w:p>
    <w:p w14:paraId="7D793E82" w14:textId="77777777" w:rsidR="009D2891" w:rsidRPr="0090743B" w:rsidRDefault="009D2891" w:rsidP="009D2891">
      <w:pPr>
        <w:pStyle w:val="NormalHanging12a"/>
      </w:pPr>
      <w:r w:rsidRPr="0090743B">
        <w:t>B.</w:t>
      </w:r>
      <w:r w:rsidRPr="0090743B">
        <w:tab/>
        <w:t>mając na uwadze, że akt o EPB stanowi doskonałą okazję, by podnieść rangę europejskich badań naukowych dzięki rozwiązaniu problemów strukturalnych, które wpływają na ekosystem badań naukowych i innowacji w UE, włącznie z niewystarczającą koordynacją i współpracą, fragmentacją systemu i nierównomiernymi wynikami;</w:t>
      </w:r>
    </w:p>
    <w:p w14:paraId="2F600E65" w14:textId="77777777" w:rsidR="009D2891" w:rsidRPr="0090743B" w:rsidRDefault="009D2891" w:rsidP="009D2891">
      <w:pPr>
        <w:pStyle w:val="NormalHanging12a"/>
      </w:pPr>
      <w:r w:rsidRPr="0090743B">
        <w:t>C.</w:t>
      </w:r>
      <w:r w:rsidRPr="0090743B">
        <w:tab/>
        <w:t>mając na uwadze, że akt o EPB może pomóc w urzeczywistnieniu „piątej swobody” dzięki ustanowieniu wspólnych norm, zapewnieniu spójnego stosowania przepisów i wkładowi w realizację planu działania w sprawie rozwoju jednolitego rynku do 2028 r., a także w tworzeniu wysokiej jakości miejsc pracy;</w:t>
      </w:r>
    </w:p>
    <w:p w14:paraId="1314F443" w14:textId="77777777" w:rsidR="009D2891" w:rsidRPr="0090743B" w:rsidRDefault="009D2891" w:rsidP="009D2891">
      <w:pPr>
        <w:pStyle w:val="NormalHanging12a"/>
      </w:pPr>
      <w:r w:rsidRPr="0090743B">
        <w:lastRenderedPageBreak/>
        <w:t>D.</w:t>
      </w:r>
      <w:r w:rsidRPr="0090743B">
        <w:tab/>
        <w:t>mając na uwadze, że w Unii nadal brakuje zintegrowanej EPB, która przyciąga i zatrzymuje talenty, ze względu na takie bariery jak nieodpowiednie uszeregowanie ważności inwestycji w badania naukowe i innowacje (niewiele państw członkowskich osiągnęło cel 3 % PKB), niewystarczająca koordynacja polityki w dziedzinie badań i innowacji, utrzymujące się rozdrobnienie, różnice w wynikach oraz nadmierne obciążenia administracyjne dla naukowców i uniwersytetów;</w:t>
      </w:r>
    </w:p>
    <w:p w14:paraId="25EB7154" w14:textId="77777777" w:rsidR="009D2891" w:rsidRPr="0090743B" w:rsidRDefault="009D2891" w:rsidP="009D2891">
      <w:pPr>
        <w:pStyle w:val="NormalHanging12a"/>
      </w:pPr>
      <w:r w:rsidRPr="0090743B">
        <w:t>E.</w:t>
      </w:r>
      <w:r w:rsidRPr="0090743B">
        <w:tab/>
        <w:t>mając na uwadze, że promując dobrowolną koordynację i współpracę między państwami członkowskimi a Unią, program polityki w zakresie EPB służy jako przydatne niewiążące ramy, które wyznaczają kierunki polityki na szczeblu krajowym i unijnym zgodnie z celami art. 179 TFUE; mając na uwadze, że cele te należy uzupełnić przepisami i zachętami w ramach przyszłego aktu o EPB oraz takimi narzędziami jak europejski semestr, aby zapewnić solidniejsze podstawy spójnej EPB o wysokiej wydajności;</w:t>
      </w:r>
    </w:p>
    <w:p w14:paraId="546765D4" w14:textId="77777777" w:rsidR="009D2891" w:rsidRPr="0090743B" w:rsidRDefault="009D2891" w:rsidP="009D2891">
      <w:pPr>
        <w:pStyle w:val="NormalHanging12a"/>
      </w:pPr>
      <w:r w:rsidRPr="0090743B">
        <w:t>F.</w:t>
      </w:r>
      <w:r w:rsidRPr="0090743B">
        <w:tab/>
        <w:t>mając na uwadze, że wolność badań naukowych, w tym niezależność i autonomia instytucjonalna naukowców, doskonałość, otwartość i odpowiedzialność społeczna, są podstawowymi wartościami EPB i mają zasadnicze znaczenie dla demokracji, konkurencyjności i zdolności innowacyjnych Europy, dzięki czemu staje się ona bezpieczną przystanią dla naukowców z całego świata;</w:t>
      </w:r>
    </w:p>
    <w:p w14:paraId="1DBA4657" w14:textId="77777777" w:rsidR="009D2891" w:rsidRPr="0090743B" w:rsidRDefault="009D2891" w:rsidP="009D2891">
      <w:pPr>
        <w:pStyle w:val="NormalHanging12a"/>
      </w:pPr>
      <w:r w:rsidRPr="0090743B">
        <w:t>1.</w:t>
      </w:r>
      <w:r w:rsidRPr="0090743B">
        <w:tab/>
        <w:t>popiera dostosowanie unijnych i krajowych priorytetów badań naukowych i innowacji, aby zapewnić komplementarność, zacieśnić współpracę między uniwersytetami, organizacjami badawczymi, regionami, państwami członkowskimi i przemysłem, stworzyć skuteczne ramy zarządzania, zwiększyć atrakcyjność karier naukowych i inwestycji prywatnych oraz osiągnąć unijny cel inwestycyjny w zakresie badań i rozwoju wynoszący 3 % PKB;</w:t>
      </w:r>
    </w:p>
    <w:p w14:paraId="0E2946A8" w14:textId="77777777" w:rsidR="009D2891" w:rsidRPr="0090743B" w:rsidRDefault="009D2891" w:rsidP="009D2891">
      <w:pPr>
        <w:pStyle w:val="NormalHanging12a"/>
      </w:pPr>
      <w:r w:rsidRPr="0090743B">
        <w:t>2.</w:t>
      </w:r>
      <w:r w:rsidRPr="0090743B">
        <w:tab/>
        <w:t>apeluje o dwutorowe podejście do dobrowolnej współpracy na podstawie programu polityki w zakresie EPB na lata 2025–2027 w połączeniu ze środkami ustawodawczymi, w tym aktem o EPB i inicjatywami uzupełniającymi, aby zapewnić EPB wiążące i możliwe do wyegzekwowania ramy;</w:t>
      </w:r>
    </w:p>
    <w:p w14:paraId="608866B5" w14:textId="77777777" w:rsidR="009D2891" w:rsidRPr="0090743B" w:rsidRDefault="009D2891" w:rsidP="009D2891">
      <w:pPr>
        <w:pStyle w:val="NormalHanging12a"/>
      </w:pPr>
      <w:r w:rsidRPr="0090743B">
        <w:t>3.</w:t>
      </w:r>
      <w:r w:rsidRPr="0090743B">
        <w:tab/>
        <w:t>zaleca, aby akt o EPB był rozporządzeniem służącym osiągnięciu celów art. 179 TFUE, zapewniającym bezpośrednie stosowanie we wszystkich państwach członkowskich, stymulującym prywatne inwestycje w badania i rozwój, swobodny przepływ naukowców, wiedzy naukowej i technologii oraz przyczyniającym się do zmniejszenia fragmentacji jednolitego rynku;</w:t>
      </w:r>
    </w:p>
    <w:p w14:paraId="6BD91920" w14:textId="77777777" w:rsidR="009D2891" w:rsidRPr="0090743B" w:rsidRDefault="009D2891" w:rsidP="009D2891">
      <w:pPr>
        <w:pStyle w:val="NormalHanging12a"/>
      </w:pPr>
      <w:r w:rsidRPr="0090743B">
        <w:t>4.</w:t>
      </w:r>
      <w:r w:rsidRPr="0090743B">
        <w:tab/>
        <w:t>potwierdza znaczenie wolności badań naukowych i autonomii instytucjonalnej; apeluje, aby wnioskowi dotyczącemu aktu o EPB towarzyszył odrębny wniosek ustawodawczy z odrębną podstawą prawną chroniącą podstawową wolność badań naukowych, w tym minimalne normy dotyczące praw naukowców, etycznego postępowania, uczciwości i niezależności instytucjonalnej, oraz aby uzupełniały go skuteczne mechanizmy monitorowania;</w:t>
      </w:r>
    </w:p>
    <w:p w14:paraId="02A5C5A2" w14:textId="77777777" w:rsidR="009D2891" w:rsidRPr="0090743B" w:rsidRDefault="009D2891" w:rsidP="009D2891">
      <w:pPr>
        <w:pStyle w:val="NormalHanging12a"/>
      </w:pPr>
      <w:r w:rsidRPr="0090743B">
        <w:t>5.</w:t>
      </w:r>
      <w:r w:rsidRPr="0090743B">
        <w:tab/>
        <w:t xml:space="preserve">wzywa do uwzględnienia w akcie o EPB unijnego celu inwestowania co najmniej 3 % PKB Unii w badania i rozwój do 2030 r., uzupełnionego krajowymi celami dotyczącymi całkowitych wydatków na badania i rozwój, co przyczyni się do osiągnięcia celu UE; apeluje do państw członkowskich o poprawę koordynacji inwestycji w badania i rozwój za pomocą krajowych planów działania i celów, aby </w:t>
      </w:r>
      <w:r w:rsidRPr="0090743B">
        <w:lastRenderedPageBreak/>
        <w:t>zapewnić komplementarność finansowania publicznego i prywatnego; uznaje, że przedsiębiorstwa i przemysł ukierunkowane na badania naukowe mają kluczowe znaczenie dla stymulowania inwestycji prywatnych, osiągnięcia celu 3 % i wspierania wysokiej jakości miejsc pracy;</w:t>
      </w:r>
    </w:p>
    <w:p w14:paraId="2C9B85A2" w14:textId="77777777" w:rsidR="009D2891" w:rsidRDefault="009D2891" w:rsidP="009D2891">
      <w:pPr>
        <w:pStyle w:val="NormalHanging12a"/>
      </w:pPr>
      <w:r w:rsidRPr="0090743B">
        <w:t>6.</w:t>
      </w:r>
      <w:r w:rsidRPr="0090743B">
        <w:tab/>
        <w:t>apeluje o przepisy służące zwiększeniu udziału sektora prywatnego w unijnym ekosystemie badań naukowych i innowacji dzięki ściślejszej koordynacji i partnerstwom publiczno-prywatnym, aby usunąć utrzymujące się luki inwestycyjne i fragmentację rynku oraz dokończyć budowę unii rynków kapitałowych oraz przyspieszyć waloryzację wiedzy, wzmocnić suwerenność technologiczną i wspierać regionalne ekosystemy innowacji;</w:t>
      </w:r>
    </w:p>
    <w:p w14:paraId="6C7C4CEA" w14:textId="7B99384F" w:rsidR="000A7B7D" w:rsidRPr="000A7B7D" w:rsidRDefault="000A7B7D" w:rsidP="009D2891">
      <w:pPr>
        <w:pStyle w:val="NormalHanging12a"/>
        <w:rPr>
          <w:bCs/>
          <w:iCs/>
        </w:rPr>
      </w:pPr>
      <w:r>
        <w:rPr>
          <w:bCs/>
          <w:iCs/>
        </w:rPr>
        <w:t>7</w:t>
      </w:r>
      <w:r w:rsidRPr="00E17C1C">
        <w:rPr>
          <w:bCs/>
          <w:iCs/>
        </w:rPr>
        <w:t>.</w:t>
      </w:r>
      <w:r w:rsidRPr="00E17C1C">
        <w:rPr>
          <w:bCs/>
          <w:iCs/>
        </w:rPr>
        <w:tab/>
        <w:t>wzywa, by zwiększyć wsparcie badań publicznych przez zwiększenie finansowania programów europejskich, np. „Horyzont Europa”; zachęca państwa członkowskie, by zwiększyły środki finansowe dla uniwersytetów i publicznych organizacji badawczych;</w:t>
      </w:r>
    </w:p>
    <w:p w14:paraId="65627104" w14:textId="62F6BD0E" w:rsidR="009D2891" w:rsidRPr="0090743B" w:rsidRDefault="000A7B7D" w:rsidP="009D2891">
      <w:pPr>
        <w:pStyle w:val="NormalHanging12a"/>
      </w:pPr>
      <w:r>
        <w:t>8</w:t>
      </w:r>
      <w:r w:rsidR="009D2891" w:rsidRPr="0090743B">
        <w:t>.</w:t>
      </w:r>
      <w:r w:rsidR="009D2891" w:rsidRPr="0090743B">
        <w:tab/>
        <w:t>wzywa państwa członkowskie do reform, aby usunąć przeszkody dla swobodnego przepływu naukowców i wiedzy, oraz do wzmocnienia współpracy transgranicznej i innowacji, aby uczynić Europę integracyjną i atrakcyjną światową społecznością badawczą;</w:t>
      </w:r>
    </w:p>
    <w:p w14:paraId="0C969D25" w14:textId="2EBFB5ED" w:rsidR="009D2891" w:rsidRPr="0090743B" w:rsidRDefault="000A7B7D" w:rsidP="009D2891">
      <w:pPr>
        <w:pStyle w:val="NormalHanging12a"/>
      </w:pPr>
      <w:r>
        <w:t>9</w:t>
      </w:r>
      <w:r w:rsidR="009D2891" w:rsidRPr="0090743B">
        <w:t>.</w:t>
      </w:r>
      <w:r w:rsidR="009D2891" w:rsidRPr="0090743B">
        <w:tab/>
        <w:t>zaleca, aby w akcie o EPB wykorzystać narzędzia planowania, mierzalne wskaźniki oraz narzędzia monitorowania, sprawozdawczości i oceny, a ponadto dążyć do zapewnienia równowagi między dziedzinami badań a badaniami podstawowymi i stosowanymi;</w:t>
      </w:r>
    </w:p>
    <w:p w14:paraId="09173D22" w14:textId="0BB317E6" w:rsidR="009D2891" w:rsidRPr="0090743B" w:rsidRDefault="000A7B7D" w:rsidP="009D2891">
      <w:pPr>
        <w:pStyle w:val="NormalHanging12a"/>
      </w:pPr>
      <w:r>
        <w:t>10</w:t>
      </w:r>
      <w:r w:rsidR="009D2891" w:rsidRPr="0090743B">
        <w:t>.</w:t>
      </w:r>
      <w:r w:rsidR="009D2891" w:rsidRPr="0090743B">
        <w:tab/>
        <w:t>apeluje, aby wzmocnić zarządzanie EPB oraz zracjonalizować istniejące instrumenty polityki i monitorowania;</w:t>
      </w:r>
    </w:p>
    <w:p w14:paraId="5B90E6AA" w14:textId="70A87B03" w:rsidR="009D2891" w:rsidRPr="0090743B" w:rsidRDefault="009D2891" w:rsidP="009D2891">
      <w:pPr>
        <w:pStyle w:val="NormalHanging12a"/>
      </w:pPr>
      <w:r w:rsidRPr="0090743B">
        <w:t>1</w:t>
      </w:r>
      <w:r w:rsidR="000A7B7D">
        <w:t>1</w:t>
      </w:r>
      <w:r w:rsidRPr="0090743B">
        <w:t>.</w:t>
      </w:r>
      <w:r w:rsidRPr="0090743B">
        <w:tab/>
        <w:t>wzywa Komisję i państwa członkowskie do lepszej koordynacji krajowych i unijnych inicjatyw w dziedzinie badań naukowych i innowacji zgodnie z nadrzędnymi priorytetami EPB, zapewniając synergię między krajowymi i unijnymi instrumentami finansowania i strategiami politycznymi, aby wzmocnić wiodącą pozycję Europy w dziedzinie nauki i technologii na świecie;</w:t>
      </w:r>
    </w:p>
    <w:p w14:paraId="60EDF321" w14:textId="0A842598" w:rsidR="009D2891" w:rsidRPr="0090743B" w:rsidRDefault="009D2891" w:rsidP="009D2891">
      <w:pPr>
        <w:pStyle w:val="NormalHanging12a"/>
      </w:pPr>
      <w:r w:rsidRPr="0090743B">
        <w:t>1</w:t>
      </w:r>
      <w:r w:rsidR="000A7B7D">
        <w:t>2</w:t>
      </w:r>
      <w:r w:rsidRPr="0090743B">
        <w:t>.</w:t>
      </w:r>
      <w:r w:rsidRPr="0090743B">
        <w:tab/>
        <w:t xml:space="preserve">apeluje o silniejsze i bardziej </w:t>
      </w:r>
      <w:proofErr w:type="spellStart"/>
      <w:r w:rsidRPr="0090743B">
        <w:t>inkluzywne</w:t>
      </w:r>
      <w:proofErr w:type="spellEnd"/>
      <w:r w:rsidRPr="0090743B">
        <w:t xml:space="preserve"> europejskie ekosystemy innowacji i technologii, aby promować współpracę między uniwersytetami, instytucjami badawczymi, przedsiębiorstwami typu start-</w:t>
      </w:r>
      <w:proofErr w:type="spellStart"/>
      <w:r w:rsidRPr="0090743B">
        <w:t>up</w:t>
      </w:r>
      <w:proofErr w:type="spellEnd"/>
      <w:r w:rsidRPr="0090743B">
        <w:t>, MŚP i przemysłem, zapewnić skuteczny i bezpieczny transfer wiedzy i lepsze wykorzystanie wyników przez europejskie przedsiębiorstwa, promować podnoszenie i zmianę kwalifikacji oraz uczenie się przez całe życie; podkreśla, że należy zająć się różnicami w badaniach naukowych i innowacjach między państwami członkowskimi, zwłaszcza tymi o słabszych wynikach, aby zwiększyć ich udział w programach unijnych;</w:t>
      </w:r>
    </w:p>
    <w:p w14:paraId="23951DFE" w14:textId="0AA2E34E" w:rsidR="009D2891" w:rsidRPr="0090743B" w:rsidRDefault="009D2891" w:rsidP="009D2891">
      <w:pPr>
        <w:pStyle w:val="NormalHanging12a"/>
      </w:pPr>
      <w:r w:rsidRPr="0090743B">
        <w:t>1</w:t>
      </w:r>
      <w:r w:rsidR="000A7B7D">
        <w:t>3</w:t>
      </w:r>
      <w:r w:rsidRPr="0090743B">
        <w:t>.</w:t>
      </w:r>
      <w:r w:rsidRPr="0090743B">
        <w:tab/>
        <w:t>podkreśla, że dobrze funkcjonująca EPB wymaga swobodnego przepływu naukowców i wiedzy oraz współpracy transgranicznej; domaga się konkretnych działań, aby ułatwić i uprościć ścieżki kariery naukowców, zwłaszcza młodych naukowców i naukowców znajdujących się na wczesnym etapie kariery, poprawić mobilność i wzajemne uznawanie kwalifikacji oraz ułatwić procedury wizowe; ponownie wyraża poparcie dla Europejskiej karty naukowca; zauważa, że praca zdalna i hybrydowa umożliwia naukowcom pracę w innych państwach członkowskich bez potrzeby przenoszenia się;</w:t>
      </w:r>
    </w:p>
    <w:p w14:paraId="2AAC6D6B" w14:textId="25F6EBD3" w:rsidR="009D2891" w:rsidRPr="0090743B" w:rsidRDefault="009D2891" w:rsidP="009D2891">
      <w:pPr>
        <w:pStyle w:val="NormalHanging12a"/>
      </w:pPr>
      <w:r w:rsidRPr="0090743B">
        <w:lastRenderedPageBreak/>
        <w:t>1</w:t>
      </w:r>
      <w:r w:rsidR="000A7B7D">
        <w:t>4</w:t>
      </w:r>
      <w:r w:rsidRPr="0090743B">
        <w:t>.</w:t>
      </w:r>
      <w:r w:rsidRPr="0090743B">
        <w:tab/>
        <w:t>wzywa Komisję i państwa członkowskie, by wspierały równouprawnienie płci i równe szanse w dziedzinie badań naukowych i innowacji, zwłaszcza w sektorach niedostatecznie reprezentowanych, a jednocześnie by dążyły do zmniejszenia luki płacowej między kobietami a mężczyznami;</w:t>
      </w:r>
    </w:p>
    <w:p w14:paraId="33EE7B09" w14:textId="0CC1B1E1" w:rsidR="009D2891" w:rsidRPr="0090743B" w:rsidRDefault="009D2891" w:rsidP="009D2891">
      <w:pPr>
        <w:pStyle w:val="NormalHanging12a"/>
      </w:pPr>
      <w:r w:rsidRPr="0090743B">
        <w:t>1</w:t>
      </w:r>
      <w:r w:rsidR="000A7B7D">
        <w:t>5</w:t>
      </w:r>
      <w:r w:rsidRPr="0090743B">
        <w:t>.</w:t>
      </w:r>
      <w:r w:rsidRPr="0090743B">
        <w:tab/>
        <w:t>zaznacza, że należy zapewnić otwarty i bezpieczny obieg wiedzy, lepszą dostępność infrastruktury badawczej, waloryzację wiedzy oraz etyczne i wiarygodne wykorzystanie powstających technologii, w tym AI, zgodnie z wartościami i prawami podstawowymi UE; podkreśla, jak ważne są bezpieczeństwo, rzetelność i skuteczne rozpowszechnianie badań naukowych finansowanych ze środków publicznych, w tym w bibliotekach, a jednocześnie zapewnienie ochrony praw własności intelektualnej;</w:t>
      </w:r>
    </w:p>
    <w:p w14:paraId="5EF2E7F4" w14:textId="7DD1CF5D" w:rsidR="009D2891" w:rsidRPr="0090743B" w:rsidRDefault="009D2891" w:rsidP="009D2891">
      <w:pPr>
        <w:pStyle w:val="NormalHanging12a"/>
      </w:pPr>
      <w:r w:rsidRPr="0090743B">
        <w:t>1</w:t>
      </w:r>
      <w:r w:rsidR="000A7B7D">
        <w:t>6</w:t>
      </w:r>
      <w:r w:rsidRPr="0090743B">
        <w:t>.</w:t>
      </w:r>
      <w:r w:rsidRPr="0090743B">
        <w:tab/>
        <w:t>zaleca dostosowanie aktu o EPB do istniejących i przyszłych inicjatyw, np. aktu o innowacjach, paktu na rzecz badań naukowych i innowacji, programu ramowego i europejskiego obszaru edukacji, aby zapewnić wzajemnie wzmacniające się reformy, absorpcję innowacji, mobilność i finansowanie talentów;</w:t>
      </w:r>
    </w:p>
    <w:p w14:paraId="1E792DCA" w14:textId="750D1FB0" w:rsidR="00E365E1" w:rsidRPr="0090743B" w:rsidRDefault="009D2891" w:rsidP="00FF6314">
      <w:pPr>
        <w:ind w:left="567" w:hanging="567"/>
      </w:pPr>
      <w:r w:rsidRPr="0090743B">
        <w:t>1</w:t>
      </w:r>
      <w:r w:rsidR="000A7B7D">
        <w:t>7</w:t>
      </w:r>
      <w:r w:rsidRPr="0090743B">
        <w:t>.</w:t>
      </w:r>
      <w:r w:rsidRPr="0090743B">
        <w:tab/>
        <w:t>zobowiązuje swoją przewodniczącą do przekazania niniejszej rezolucji Komisji i Radzie.</w:t>
      </w:r>
    </w:p>
    <w:sectPr w:rsidR="00E365E1" w:rsidRPr="0090743B" w:rsidSect="009074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2132" w14:textId="77777777" w:rsidR="00DA4FC3" w:rsidRPr="0090743B" w:rsidRDefault="00DA4FC3">
      <w:r w:rsidRPr="0090743B">
        <w:separator/>
      </w:r>
    </w:p>
  </w:endnote>
  <w:endnote w:type="continuationSeparator" w:id="0">
    <w:p w14:paraId="0310F814" w14:textId="77777777" w:rsidR="00DA4FC3" w:rsidRPr="0090743B" w:rsidRDefault="00DA4FC3">
      <w:r w:rsidRPr="00907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58632" w14:textId="77777777" w:rsidR="00064002" w:rsidRPr="009074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6F857" w14:textId="77777777" w:rsidR="00064002" w:rsidRPr="009074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7532" w14:textId="77777777" w:rsidR="00064002" w:rsidRPr="009074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19E15" w14:textId="77777777" w:rsidR="00DA4FC3" w:rsidRPr="0090743B" w:rsidRDefault="00DA4FC3">
      <w:r w:rsidRPr="0090743B">
        <w:separator/>
      </w:r>
    </w:p>
  </w:footnote>
  <w:footnote w:type="continuationSeparator" w:id="0">
    <w:p w14:paraId="5975BA7F" w14:textId="77777777" w:rsidR="00DA4FC3" w:rsidRPr="0090743B" w:rsidRDefault="00DA4FC3">
      <w:r w:rsidRPr="0090743B">
        <w:continuationSeparator/>
      </w:r>
    </w:p>
  </w:footnote>
  <w:footnote w:id="1">
    <w:p w14:paraId="0BCF0455" w14:textId="6E829D80" w:rsidR="009D2891" w:rsidRPr="000A7B7D" w:rsidRDefault="009D2891" w:rsidP="0090743B">
      <w:pPr>
        <w:pStyle w:val="FootnoteText"/>
        <w:ind w:left="567" w:hanging="567"/>
        <w:rPr>
          <w:sz w:val="24"/>
          <w:lang w:val="fi-FI"/>
        </w:rPr>
      </w:pPr>
      <w:r w:rsidRPr="0090743B">
        <w:rPr>
          <w:rStyle w:val="FootnoteReference"/>
          <w:sz w:val="24"/>
          <w:lang w:val="pl-PL"/>
        </w:rPr>
        <w:footnoteRef/>
      </w:r>
      <w:r w:rsidR="0090743B" w:rsidRPr="000A7B7D">
        <w:rPr>
          <w:sz w:val="24"/>
          <w:lang w:val="fi-FI"/>
        </w:rPr>
        <w:t xml:space="preserve"> </w:t>
      </w:r>
      <w:r w:rsidR="0090743B" w:rsidRPr="000A7B7D">
        <w:rPr>
          <w:sz w:val="24"/>
          <w:lang w:val="fi-FI"/>
        </w:rPr>
        <w:tab/>
      </w:r>
      <w:r w:rsidRPr="000A7B7D">
        <w:rPr>
          <w:sz w:val="24"/>
          <w:lang w:val="fi-FI"/>
        </w:rPr>
        <w:t xml:space="preserve">Dz.U. C, C/2025/3593, 30.6.2025, ELI: </w:t>
      </w:r>
      <w:hyperlink r:id="rId1" w:history="1">
        <w:r w:rsidRPr="000A7B7D">
          <w:rPr>
            <w:rStyle w:val="Hyperlink"/>
            <w:sz w:val="24"/>
            <w:lang w:val="fi-FI"/>
          </w:rPr>
          <w:t>http://data.europa.eu/eli/C/2025/3593/oj</w:t>
        </w:r>
      </w:hyperlink>
      <w:r w:rsidRPr="000A7B7D">
        <w:rPr>
          <w:sz w:val="24"/>
          <w:lang w:val="fi-FI"/>
        </w:rPr>
        <w:t>.</w:t>
      </w:r>
    </w:p>
  </w:footnote>
  <w:footnote w:id="2">
    <w:p w14:paraId="1FE5F5F7" w14:textId="1059BAA1" w:rsidR="009D2891" w:rsidRPr="0090743B" w:rsidRDefault="009D2891" w:rsidP="0090743B">
      <w:pPr>
        <w:pStyle w:val="FootnoteText"/>
        <w:ind w:left="567" w:hanging="567"/>
        <w:rPr>
          <w:sz w:val="24"/>
          <w:lang w:val="pl-PL"/>
        </w:rPr>
      </w:pPr>
      <w:r w:rsidRPr="0090743B">
        <w:rPr>
          <w:rStyle w:val="FootnoteReference"/>
          <w:sz w:val="24"/>
          <w:lang w:val="pl-PL"/>
        </w:rPr>
        <w:footnoteRef/>
      </w:r>
      <w:r w:rsidR="0090743B" w:rsidRPr="0090743B">
        <w:rPr>
          <w:sz w:val="24"/>
          <w:lang w:val="pl-PL"/>
        </w:rPr>
        <w:t xml:space="preserve"> </w:t>
      </w:r>
      <w:r w:rsidR="0090743B" w:rsidRPr="0090743B">
        <w:rPr>
          <w:sz w:val="24"/>
          <w:lang w:val="pl-PL"/>
        </w:rPr>
        <w:tab/>
      </w:r>
      <w:r w:rsidRPr="0090743B">
        <w:rPr>
          <w:sz w:val="24"/>
          <w:lang w:val="pl-PL"/>
        </w:rPr>
        <w:t>Dz.U. L 431 z 2.12.2021, s. 1, ELI: </w:t>
      </w:r>
      <w:hyperlink r:id="rId2" w:tooltip="Dostęp do dokumentu poprzez identyfikator URI w systemie ELI." w:history="1">
        <w:r w:rsidRPr="0090743B">
          <w:rPr>
            <w:rStyle w:val="Hyperlink"/>
            <w:sz w:val="24"/>
            <w:lang w:val="pl-PL"/>
          </w:rPr>
          <w:t>http://data.europa.eu/eli/reco/2021/2122/oj</w:t>
        </w:r>
      </w:hyperlink>
      <w:r w:rsidRPr="0090743B">
        <w:rPr>
          <w:sz w:val="24"/>
          <w:lang w:val="pl-PL"/>
        </w:rPr>
        <w:t>.</w:t>
      </w:r>
    </w:p>
  </w:footnote>
  <w:footnote w:id="3">
    <w:p w14:paraId="5419CA57" w14:textId="4A0E21E0" w:rsidR="009D2891" w:rsidRPr="0090743B" w:rsidRDefault="009D2891" w:rsidP="0090743B">
      <w:pPr>
        <w:pStyle w:val="FootnoteText"/>
        <w:ind w:left="567" w:hanging="567"/>
        <w:rPr>
          <w:sz w:val="24"/>
          <w:lang w:val="pl-PL"/>
        </w:rPr>
      </w:pPr>
      <w:r w:rsidRPr="0090743B">
        <w:rPr>
          <w:rStyle w:val="FootnoteReference"/>
          <w:sz w:val="24"/>
          <w:lang w:val="pl-PL"/>
        </w:rPr>
        <w:footnoteRef/>
      </w:r>
      <w:r w:rsidR="0090743B" w:rsidRPr="0090743B">
        <w:rPr>
          <w:sz w:val="24"/>
          <w:lang w:val="pl-PL"/>
        </w:rPr>
        <w:t xml:space="preserve"> </w:t>
      </w:r>
      <w:r w:rsidR="0090743B" w:rsidRPr="0090743B">
        <w:rPr>
          <w:sz w:val="24"/>
          <w:lang w:val="pl-PL"/>
        </w:rPr>
        <w:tab/>
      </w:r>
      <w:r w:rsidRPr="0090743B">
        <w:rPr>
          <w:sz w:val="24"/>
          <w:lang w:val="pl-PL"/>
        </w:rPr>
        <w:t xml:space="preserve">Dz.U. C, C/2024/4183, </w:t>
      </w:r>
      <w:proofErr w:type="gramStart"/>
      <w:r w:rsidRPr="0090743B">
        <w:rPr>
          <w:sz w:val="24"/>
          <w:lang w:val="pl-PL"/>
        </w:rPr>
        <w:t>2.8.2024</w:t>
      </w:r>
      <w:proofErr w:type="gramEnd"/>
      <w:r w:rsidRPr="0090743B">
        <w:rPr>
          <w:sz w:val="24"/>
          <w:lang w:val="pl-PL"/>
        </w:rPr>
        <w:t>, ELI: </w:t>
      </w:r>
      <w:hyperlink r:id="rId3" w:tgtFrame="_blank" w:tooltip="Dostęp do dokumentu poprzez identyfikator URI w systemie ELI." w:history="1">
        <w:r w:rsidRPr="0090743B">
          <w:rPr>
            <w:rStyle w:val="Hyperlink"/>
            <w:sz w:val="24"/>
            <w:lang w:val="pl-PL"/>
          </w:rPr>
          <w:t>http://data.europa.eu/eli/C/2024/4183/oj</w:t>
        </w:r>
      </w:hyperlink>
      <w:r w:rsidRPr="0090743B">
        <w:rPr>
          <w:sz w:val="24"/>
          <w:lang w:val="pl-PL"/>
        </w:rPr>
        <w:t>.</w:t>
      </w:r>
    </w:p>
  </w:footnote>
  <w:footnote w:id="4">
    <w:p w14:paraId="7C743BA0" w14:textId="12992886" w:rsidR="009D2891" w:rsidRPr="0090743B" w:rsidRDefault="009D2891" w:rsidP="0090743B">
      <w:pPr>
        <w:pStyle w:val="FootnoteText"/>
        <w:ind w:left="567" w:hanging="567"/>
        <w:rPr>
          <w:sz w:val="24"/>
          <w:lang w:val="pl-PL"/>
        </w:rPr>
      </w:pPr>
      <w:r w:rsidRPr="0090743B">
        <w:rPr>
          <w:rStyle w:val="FootnoteReference"/>
          <w:sz w:val="24"/>
          <w:lang w:val="pl-PL"/>
        </w:rPr>
        <w:footnoteRef/>
      </w:r>
      <w:bookmarkStart w:id="6" w:name="_Hlk223515625"/>
      <w:r w:rsidR="0090743B" w:rsidRPr="0090743B">
        <w:rPr>
          <w:sz w:val="24"/>
          <w:lang w:val="pl-PL"/>
        </w:rPr>
        <w:t xml:space="preserve"> </w:t>
      </w:r>
      <w:r w:rsidR="0090743B" w:rsidRPr="0090743B">
        <w:rPr>
          <w:sz w:val="24"/>
          <w:lang w:val="pl-PL"/>
        </w:rPr>
        <w:tab/>
      </w:r>
      <w:r w:rsidRPr="0090743B">
        <w:rPr>
          <w:sz w:val="24"/>
          <w:lang w:val="pl-PL"/>
        </w:rPr>
        <w:t>Dz.U. C, C/2024/5713, 17.10.2024, ELI: </w:t>
      </w:r>
      <w:hyperlink r:id="rId4" w:tgtFrame="_blank" w:tooltip="Dostęp do dokumentu poprzez identyfikator URI w systemie ELI." w:history="1">
        <w:r w:rsidRPr="0090743B">
          <w:rPr>
            <w:rStyle w:val="Hyperlink"/>
            <w:sz w:val="24"/>
            <w:lang w:val="pl-PL"/>
          </w:rPr>
          <w:t>http://data.europa.eu/eli/C/2024/5713/oj</w:t>
        </w:r>
      </w:hyperlink>
      <w:r w:rsidRPr="0090743B">
        <w:rPr>
          <w:sz w:val="24"/>
          <w:lang w:val="pl-PL"/>
        </w:rPr>
        <w:t>.</w:t>
      </w:r>
      <w:bookmarkEnd w:id="6"/>
    </w:p>
  </w:footnote>
  <w:footnote w:id="5">
    <w:p w14:paraId="12206908" w14:textId="5ADDE466" w:rsidR="009D2891" w:rsidRPr="0090743B" w:rsidRDefault="009D2891" w:rsidP="0090743B">
      <w:pPr>
        <w:pStyle w:val="FootnoteText"/>
        <w:ind w:left="567" w:hanging="567"/>
        <w:rPr>
          <w:sz w:val="24"/>
          <w:lang w:val="pl-PL"/>
        </w:rPr>
      </w:pPr>
      <w:r w:rsidRPr="0090743B">
        <w:rPr>
          <w:rStyle w:val="FootnoteReference"/>
          <w:sz w:val="24"/>
          <w:lang w:val="pl-PL"/>
        </w:rPr>
        <w:footnoteRef/>
      </w:r>
      <w:bookmarkStart w:id="7" w:name="_Hlk223515698"/>
      <w:r w:rsidR="0090743B" w:rsidRPr="0090743B">
        <w:rPr>
          <w:sz w:val="24"/>
          <w:lang w:val="pl-PL"/>
        </w:rPr>
        <w:t xml:space="preserve"> </w:t>
      </w:r>
      <w:r w:rsidR="0090743B" w:rsidRPr="0090743B">
        <w:rPr>
          <w:sz w:val="24"/>
          <w:lang w:val="pl-PL"/>
        </w:rPr>
        <w:tab/>
      </w:r>
      <w:r w:rsidRPr="0090743B">
        <w:rPr>
          <w:sz w:val="24"/>
          <w:lang w:val="pl-PL"/>
        </w:rPr>
        <w:t xml:space="preserve">Dz.U. L 75 z </w:t>
      </w:r>
      <w:proofErr w:type="gramStart"/>
      <w:r w:rsidRPr="0090743B">
        <w:rPr>
          <w:sz w:val="24"/>
          <w:lang w:val="pl-PL"/>
        </w:rPr>
        <w:t>22.3.2005</w:t>
      </w:r>
      <w:proofErr w:type="gramEnd"/>
      <w:r w:rsidRPr="0090743B">
        <w:rPr>
          <w:sz w:val="24"/>
          <w:lang w:val="pl-PL"/>
        </w:rPr>
        <w:t>, s. 67, ELI: </w:t>
      </w:r>
      <w:hyperlink r:id="rId5" w:tooltip="Dostęp do dokumentu poprzez identyfikator URI w systemie ELI." w:history="1">
        <w:r w:rsidRPr="0090743B">
          <w:rPr>
            <w:rStyle w:val="Hyperlink"/>
            <w:sz w:val="24"/>
            <w:lang w:val="pl-PL"/>
          </w:rPr>
          <w:t>http://data.europa.eu/eli/reco/2005/251/oj</w:t>
        </w:r>
      </w:hyperlink>
      <w:r w:rsidRPr="0090743B">
        <w:rPr>
          <w:sz w:val="24"/>
          <w:lang w:val="pl-PL"/>
        </w:rPr>
        <w:t>.</w:t>
      </w:r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07BF5" w14:textId="77777777" w:rsidR="00064002" w:rsidRPr="009074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21AF" w14:textId="77777777" w:rsidR="00064002" w:rsidRPr="009074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D42BE" w14:textId="77777777" w:rsidR="00064002" w:rsidRPr="009074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8229979">
    <w:abstractNumId w:val="9"/>
  </w:num>
  <w:num w:numId="2" w16cid:durableId="537425877">
    <w:abstractNumId w:val="9"/>
  </w:num>
  <w:num w:numId="3" w16cid:durableId="1407074865">
    <w:abstractNumId w:val="7"/>
  </w:num>
  <w:num w:numId="4" w16cid:durableId="1292244943">
    <w:abstractNumId w:val="7"/>
  </w:num>
  <w:num w:numId="5" w16cid:durableId="340788740">
    <w:abstractNumId w:val="6"/>
  </w:num>
  <w:num w:numId="6" w16cid:durableId="327101649">
    <w:abstractNumId w:val="6"/>
  </w:num>
  <w:num w:numId="7" w16cid:durableId="2024626785">
    <w:abstractNumId w:val="5"/>
  </w:num>
  <w:num w:numId="8" w16cid:durableId="1654216578">
    <w:abstractNumId w:val="5"/>
  </w:num>
  <w:num w:numId="9" w16cid:durableId="1572078079">
    <w:abstractNumId w:val="4"/>
  </w:num>
  <w:num w:numId="10" w16cid:durableId="694618667">
    <w:abstractNumId w:val="4"/>
  </w:num>
  <w:num w:numId="11" w16cid:durableId="1181968388">
    <w:abstractNumId w:val="8"/>
  </w:num>
  <w:num w:numId="12" w16cid:durableId="1972246636">
    <w:abstractNumId w:val="8"/>
  </w:num>
  <w:num w:numId="13" w16cid:durableId="1161001710">
    <w:abstractNumId w:val="3"/>
  </w:num>
  <w:num w:numId="14" w16cid:durableId="566460339">
    <w:abstractNumId w:val="3"/>
  </w:num>
  <w:num w:numId="15" w16cid:durableId="278266386">
    <w:abstractNumId w:val="2"/>
  </w:num>
  <w:num w:numId="16" w16cid:durableId="590286200">
    <w:abstractNumId w:val="2"/>
  </w:num>
  <w:num w:numId="17" w16cid:durableId="199056869">
    <w:abstractNumId w:val="1"/>
  </w:num>
  <w:num w:numId="18" w16cid:durableId="818887053">
    <w:abstractNumId w:val="1"/>
  </w:num>
  <w:num w:numId="19" w16cid:durableId="321391694">
    <w:abstractNumId w:val="0"/>
  </w:num>
  <w:num w:numId="20" w16cid:durableId="406807643">
    <w:abstractNumId w:val="0"/>
  </w:num>
  <w:num w:numId="21" w16cid:durableId="2006325021">
    <w:abstractNumId w:val="9"/>
  </w:num>
  <w:num w:numId="22" w16cid:durableId="62945852">
    <w:abstractNumId w:val="7"/>
  </w:num>
  <w:num w:numId="23" w16cid:durableId="1246843131">
    <w:abstractNumId w:val="6"/>
  </w:num>
  <w:num w:numId="24" w16cid:durableId="1564176243">
    <w:abstractNumId w:val="5"/>
  </w:num>
  <w:num w:numId="25" w16cid:durableId="500242948">
    <w:abstractNumId w:val="4"/>
  </w:num>
  <w:num w:numId="26" w16cid:durableId="1843231874">
    <w:abstractNumId w:val="8"/>
  </w:num>
  <w:num w:numId="27" w16cid:durableId="1780490450">
    <w:abstractNumId w:val="3"/>
  </w:num>
  <w:num w:numId="28" w16cid:durableId="749084663">
    <w:abstractNumId w:val="2"/>
  </w:num>
  <w:num w:numId="29" w16cid:durableId="214513330">
    <w:abstractNumId w:val="1"/>
  </w:num>
  <w:num w:numId="30" w16cid:durableId="640422558">
    <w:abstractNumId w:val="0"/>
  </w:num>
  <w:num w:numId="31" w16cid:durableId="932738061">
    <w:abstractNumId w:val="9"/>
  </w:num>
  <w:num w:numId="32" w16cid:durableId="536815650">
    <w:abstractNumId w:val="7"/>
  </w:num>
  <w:num w:numId="33" w16cid:durableId="1779906611">
    <w:abstractNumId w:val="6"/>
  </w:num>
  <w:num w:numId="34" w16cid:durableId="2000884104">
    <w:abstractNumId w:val="5"/>
  </w:num>
  <w:num w:numId="35" w16cid:durableId="1951007745">
    <w:abstractNumId w:val="4"/>
  </w:num>
  <w:num w:numId="36" w16cid:durableId="1244217135">
    <w:abstractNumId w:val="8"/>
  </w:num>
  <w:num w:numId="37" w16cid:durableId="455679847">
    <w:abstractNumId w:val="3"/>
  </w:num>
  <w:num w:numId="38" w16cid:durableId="1998606165">
    <w:abstractNumId w:val="2"/>
  </w:num>
  <w:num w:numId="39" w16cid:durableId="1114398215">
    <w:abstractNumId w:val="1"/>
  </w:num>
  <w:num w:numId="40" w16cid:durableId="2120290374">
    <w:abstractNumId w:val="0"/>
  </w:num>
  <w:num w:numId="41" w16cid:durableId="1927880065">
    <w:abstractNumId w:val="10"/>
  </w:num>
  <w:num w:numId="42" w16cid:durableId="732390537">
    <w:abstractNumId w:val="10"/>
  </w:num>
  <w:num w:numId="43" w16cid:durableId="1522864546">
    <w:abstractNumId w:val="10"/>
  </w:num>
  <w:num w:numId="44" w16cid:durableId="68624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6/2026"/>
    <w:docVar w:name="dvlangue" w:val="PL"/>
    <w:docVar w:name="dvnumam" w:val="0"/>
    <w:docVar w:name="dvpe" w:val="784.264"/>
    <w:docVar w:name="dvtitre" w:val="Rezolucja Parlamentu Europejskiego z dnia  2026 r. w sprawie przyszłego aktu o europejskiej przestrzeni badawczej (EPB)(2025/2951(RSP))"/>
  </w:docVars>
  <w:rsids>
    <w:rsidRoot w:val="00DA4FC3"/>
    <w:rsid w:val="00002272"/>
    <w:rsid w:val="00064002"/>
    <w:rsid w:val="000677B9"/>
    <w:rsid w:val="000831BA"/>
    <w:rsid w:val="000A42CC"/>
    <w:rsid w:val="000A7B7D"/>
    <w:rsid w:val="000E7DD9"/>
    <w:rsid w:val="0010095E"/>
    <w:rsid w:val="00125B37"/>
    <w:rsid w:val="00187494"/>
    <w:rsid w:val="00194BAB"/>
    <w:rsid w:val="001F32AE"/>
    <w:rsid w:val="001F7A7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A0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43B"/>
    <w:rsid w:val="00927478"/>
    <w:rsid w:val="00930C23"/>
    <w:rsid w:val="0093193B"/>
    <w:rsid w:val="009509D8"/>
    <w:rsid w:val="00950B64"/>
    <w:rsid w:val="00981893"/>
    <w:rsid w:val="009D289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FC3"/>
    <w:rsid w:val="00DA7FCD"/>
    <w:rsid w:val="00E17C1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C14E1"/>
  <w15:chartTrackingRefBased/>
  <w15:docId w15:val="{11103319-C3FB-4087-AC72-0474A06F7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D289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D289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A7B7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83/oj" TargetMode="External"/><Relationship Id="rId2" Type="http://schemas.openxmlformats.org/officeDocument/2006/relationships/hyperlink" Target="http://data.europa.eu/eli/reco/2021/2122/oj" TargetMode="External"/><Relationship Id="rId1" Type="http://schemas.openxmlformats.org/officeDocument/2006/relationships/hyperlink" Target="http://data.europa.eu/eli/C/2025/3593/oj" TargetMode="External"/><Relationship Id="rId5" Type="http://schemas.openxmlformats.org/officeDocument/2006/relationships/hyperlink" Target="http://data.europa.eu/eli/reco/2005/251/oj" TargetMode="External"/><Relationship Id="rId4" Type="http://schemas.openxmlformats.org/officeDocument/2006/relationships/hyperlink" Target="http://data.europa.eu/eli/C/2024/57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1476</Words>
  <Characters>9951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2026-04-20T08:35:00Z</dcterms:created>
  <dcterms:modified xsi:type="dcterms:W3CDTF">2026-04-20T08:35:00Z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B10-0156/2026</vt:lpwstr>
  </property>
  <property fmtid="{D5CDD505-2E9C-101B-9397-08002B2CF9AE}" pid="4" name="&lt;Type&gt;">
    <vt:lpwstr>RR</vt:lpwstr>
  </property>
</Properties>
</file>