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2FF9" w14:paraId="4C5ED3B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A962FC" w14:textId="77777777" w:rsidR="00751A4A" w:rsidRPr="002C2FF9" w:rsidRDefault="000D718E" w:rsidP="0010095E">
            <w:pPr>
              <w:pStyle w:val="EPName"/>
            </w:pPr>
            <w:r w:rsidRPr="002C2FF9">
              <w:t>Parlamento Europeu</w:t>
            </w:r>
          </w:p>
          <w:p w14:paraId="5E475368" w14:textId="77777777" w:rsidR="00751A4A" w:rsidRPr="002C2FF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2FF9">
              <w:t>2024</w:t>
            </w:r>
            <w:r w:rsidR="00817416" w:rsidRPr="002C2FF9">
              <w:t>-202</w:t>
            </w:r>
            <w:r w:rsidRPr="002C2FF9">
              <w:t>9</w:t>
            </w:r>
          </w:p>
        </w:tc>
        <w:tc>
          <w:tcPr>
            <w:tcW w:w="2268" w:type="dxa"/>
            <w:shd w:val="clear" w:color="auto" w:fill="auto"/>
          </w:tcPr>
          <w:p w14:paraId="7157B244" w14:textId="77777777" w:rsidR="00751A4A" w:rsidRPr="002C2FF9" w:rsidRDefault="00187494" w:rsidP="0010095E">
            <w:pPr>
              <w:pStyle w:val="EPLogo"/>
            </w:pPr>
            <w:r w:rsidRPr="002C2FF9">
              <w:rPr>
                <w:noProof/>
                <w:lang w:eastAsia="ja-JP"/>
              </w:rPr>
              <w:drawing>
                <wp:inline distT="0" distB="0" distL="0" distR="0" wp14:anchorId="3CFFD6C8" wp14:editId="3DDF7D1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ECD471" w14:textId="77777777" w:rsidR="00D058B8" w:rsidRPr="002C2FF9" w:rsidRDefault="00D058B8" w:rsidP="004C5D52">
      <w:pPr>
        <w:pStyle w:val="LineTop"/>
      </w:pPr>
    </w:p>
    <w:p w14:paraId="549EDF65" w14:textId="77777777" w:rsidR="00680577" w:rsidRPr="002C2FF9" w:rsidRDefault="000D718E" w:rsidP="00680577">
      <w:pPr>
        <w:pStyle w:val="EPBodyTA1"/>
      </w:pPr>
      <w:r w:rsidRPr="002C2FF9">
        <w:t>TEXTOS APROVADOS</w:t>
      </w:r>
    </w:p>
    <w:p w14:paraId="6DED18B4" w14:textId="77777777" w:rsidR="00D058B8" w:rsidRPr="002C2FF9" w:rsidRDefault="00D058B8" w:rsidP="00D058B8">
      <w:pPr>
        <w:pStyle w:val="LineBottom"/>
      </w:pPr>
    </w:p>
    <w:p w14:paraId="3BD9AAA0" w14:textId="534F220D" w:rsidR="000D718E" w:rsidRPr="002C2FF9" w:rsidRDefault="000D718E" w:rsidP="000D718E">
      <w:pPr>
        <w:pStyle w:val="ATHeading1"/>
      </w:pPr>
      <w:bookmarkStart w:id="0" w:name="TANumber"/>
      <w:r w:rsidRPr="002C2FF9">
        <w:t>P10_TA(2026)00</w:t>
      </w:r>
      <w:r w:rsidR="004D252B" w:rsidRPr="002C2FF9">
        <w:t>68</w:t>
      </w:r>
      <w:bookmarkEnd w:id="0"/>
    </w:p>
    <w:p w14:paraId="28739212" w14:textId="77777777" w:rsidR="000D718E" w:rsidRPr="002C2FF9" w:rsidRDefault="000D718E" w:rsidP="000D718E">
      <w:pPr>
        <w:pStyle w:val="ATHeading2"/>
      </w:pPr>
      <w:bookmarkStart w:id="1" w:name="title"/>
      <w:r w:rsidRPr="002C2FF9">
        <w:t>Futuro ato legislativo sobre o Espaço Europeu da Investigação (EEI)</w:t>
      </w:r>
      <w:bookmarkEnd w:id="1"/>
    </w:p>
    <w:p w14:paraId="74B77D20" w14:textId="77777777" w:rsidR="000D718E" w:rsidRPr="002C2FF9" w:rsidRDefault="000D718E" w:rsidP="000D718E">
      <w:pPr>
        <w:rPr>
          <w:i/>
          <w:vanish/>
        </w:rPr>
      </w:pPr>
      <w:r w:rsidRPr="002C2FF9">
        <w:rPr>
          <w:i/>
        </w:rPr>
        <w:fldChar w:fldCharType="begin"/>
      </w:r>
      <w:r w:rsidRPr="002C2FF9">
        <w:rPr>
          <w:i/>
        </w:rPr>
        <w:instrText xml:space="preserve"> TC"(</w:instrText>
      </w:r>
      <w:bookmarkStart w:id="2" w:name="DocNumber"/>
      <w:r w:rsidRPr="002C2FF9">
        <w:rPr>
          <w:i/>
        </w:rPr>
        <w:instrText>B10-0156/2026</w:instrText>
      </w:r>
      <w:bookmarkEnd w:id="2"/>
      <w:r w:rsidRPr="002C2FF9">
        <w:rPr>
          <w:i/>
        </w:rPr>
        <w:instrText xml:space="preserve">)"\l3 \n&gt; \* MERGEFORMAT </w:instrText>
      </w:r>
      <w:r w:rsidRPr="002C2FF9">
        <w:rPr>
          <w:i/>
        </w:rPr>
        <w:fldChar w:fldCharType="end"/>
      </w:r>
    </w:p>
    <w:p w14:paraId="3E48247E" w14:textId="77777777" w:rsidR="000D718E" w:rsidRPr="002C2FF9" w:rsidRDefault="000D718E" w:rsidP="000D718E">
      <w:pPr>
        <w:rPr>
          <w:vanish/>
        </w:rPr>
      </w:pPr>
      <w:bookmarkStart w:id="3" w:name="PE"/>
      <w:r w:rsidRPr="002C2FF9">
        <w:rPr>
          <w:vanish/>
        </w:rPr>
        <w:t>PE784.264</w:t>
      </w:r>
      <w:bookmarkEnd w:id="3"/>
    </w:p>
    <w:p w14:paraId="31BF3F09" w14:textId="13AB9EE8" w:rsidR="000D718E" w:rsidRPr="002C2FF9" w:rsidRDefault="000D718E" w:rsidP="000D718E">
      <w:pPr>
        <w:pStyle w:val="ATHeading3"/>
      </w:pPr>
      <w:bookmarkStart w:id="4" w:name="Sujet"/>
      <w:r w:rsidRPr="002C2FF9">
        <w:t xml:space="preserve">Resolução do Parlamento Europeu, de </w:t>
      </w:r>
      <w:r w:rsidR="003720C0" w:rsidRPr="002C2FF9">
        <w:t>10</w:t>
      </w:r>
      <w:r w:rsidRPr="002C2FF9">
        <w:t xml:space="preserve"> de </w:t>
      </w:r>
      <w:r w:rsidR="003720C0" w:rsidRPr="002C2FF9">
        <w:t>março</w:t>
      </w:r>
      <w:r w:rsidRPr="002C2FF9">
        <w:t xml:space="preserve"> de 2026, sobre o futuro ato legislativo sobre o Espaço Europeu da Investigação (EEI)</w:t>
      </w:r>
      <w:bookmarkEnd w:id="4"/>
      <w:r w:rsidRPr="002C2FF9">
        <w:t xml:space="preserve"> </w:t>
      </w:r>
      <w:bookmarkStart w:id="5" w:name="References"/>
      <w:r w:rsidRPr="002C2FF9">
        <w:t>(2025/2951(RSP))</w:t>
      </w:r>
      <w:bookmarkEnd w:id="5"/>
    </w:p>
    <w:p w14:paraId="6EC9F662" w14:textId="77777777" w:rsidR="00EF67B0" w:rsidRPr="002C2FF9" w:rsidRDefault="00EF67B0" w:rsidP="00EF67B0">
      <w:pPr>
        <w:tabs>
          <w:tab w:val="left" w:pos="-1104"/>
          <w:tab w:val="left" w:pos="-96"/>
          <w:tab w:val="left" w:pos="240"/>
          <w:tab w:val="left" w:pos="624"/>
          <w:tab w:val="left" w:pos="1200"/>
          <w:tab w:val="left" w:pos="1824"/>
          <w:tab w:val="left" w:pos="2400"/>
          <w:tab w:val="left" w:pos="3024"/>
          <w:tab w:val="left" w:pos="3600"/>
          <w:tab w:val="left" w:pos="4224"/>
          <w:tab w:val="left" w:pos="4800"/>
          <w:tab w:val="left" w:pos="5424"/>
          <w:tab w:val="left" w:pos="6000"/>
          <w:tab w:val="left" w:pos="6624"/>
          <w:tab w:val="left" w:pos="7200"/>
          <w:tab w:val="left" w:pos="7824"/>
          <w:tab w:val="left" w:pos="8400"/>
          <w:tab w:val="left" w:pos="9024"/>
        </w:tabs>
        <w:suppressAutoHyphens/>
        <w:spacing w:before="480" w:after="240"/>
        <w:jc w:val="both"/>
        <w:rPr>
          <w:spacing w:val="-2"/>
        </w:rPr>
      </w:pPr>
      <w:bookmarkStart w:id="6" w:name="TextBodyBegin"/>
      <w:bookmarkEnd w:id="6"/>
      <w:r w:rsidRPr="002C2FF9">
        <w:rPr>
          <w:i/>
        </w:rPr>
        <w:t>O Parlamento Europeu</w:t>
      </w:r>
      <w:r w:rsidRPr="002C2FF9">
        <w:t>,</w:t>
      </w:r>
    </w:p>
    <w:p w14:paraId="54FE00FD" w14:textId="77777777" w:rsidR="00EF67B0" w:rsidRPr="002C2FF9" w:rsidRDefault="00EF67B0" w:rsidP="00EF67B0">
      <w:pPr>
        <w:pStyle w:val="NormalHanging12a"/>
      </w:pPr>
      <w:r w:rsidRPr="002C2FF9">
        <w:t>–</w:t>
      </w:r>
      <w:r w:rsidRPr="002C2FF9">
        <w:tab/>
        <w:t>Tendo em conta o Tratado sobre o Funcionamento da União Europeia (TFUE), nomeadamente o seu artigo 179.º,</w:t>
      </w:r>
    </w:p>
    <w:p w14:paraId="2F78DFA0" w14:textId="77777777" w:rsidR="00EF67B0" w:rsidRPr="002C2FF9" w:rsidRDefault="00EF67B0" w:rsidP="00EF67B0">
      <w:pPr>
        <w:pStyle w:val="NormalHanging12a"/>
      </w:pPr>
      <w:r w:rsidRPr="002C2FF9">
        <w:t>–</w:t>
      </w:r>
      <w:r w:rsidRPr="002C2FF9">
        <w:tab/>
        <w:t>Tendo em conta a carta de missão da presidente da Comissão, de 1 de dezembro de 2024, à comissária das Empresas em Fase de Arranque, Investigação e Inovação,</w:t>
      </w:r>
    </w:p>
    <w:p w14:paraId="4B27BE50" w14:textId="77777777" w:rsidR="00EF67B0" w:rsidRPr="002C2FF9" w:rsidRDefault="00EF67B0" w:rsidP="00EF67B0">
      <w:pPr>
        <w:pStyle w:val="NormalHanging12a"/>
      </w:pPr>
      <w:r w:rsidRPr="002C2FF9">
        <w:t>–</w:t>
      </w:r>
      <w:r w:rsidRPr="002C2FF9">
        <w:tab/>
        <w:t>Tendo em conta o Programa de Trabalho da Comissão para 2026 (COM(2025)0870),</w:t>
      </w:r>
    </w:p>
    <w:p w14:paraId="4EBCDDF3" w14:textId="77777777" w:rsidR="00EF67B0" w:rsidRPr="002C2FF9" w:rsidRDefault="00EF67B0" w:rsidP="00EF67B0">
      <w:pPr>
        <w:pStyle w:val="NormalHanging12a"/>
      </w:pPr>
      <w:r w:rsidRPr="002C2FF9">
        <w:t>–</w:t>
      </w:r>
      <w:r w:rsidRPr="002C2FF9">
        <w:tab/>
        <w:t>Tendo em conta a proposta de recomendação do Conselho relativa à agenda estratégica do Espaço Europeu da Investigação para 2025</w:t>
      </w:r>
      <w:r w:rsidRPr="002C2FF9">
        <w:noBreakHyphen/>
        <w:t>2027, apresentada pela Comissão em 28 de fevereiro de 2025 (COM(2025)0062),</w:t>
      </w:r>
    </w:p>
    <w:p w14:paraId="3E9B99C8" w14:textId="77777777" w:rsidR="00EF67B0" w:rsidRPr="002C2FF9" w:rsidRDefault="00EF67B0" w:rsidP="00EF67B0">
      <w:pPr>
        <w:pStyle w:val="NormalHanging12a"/>
      </w:pPr>
      <w:r w:rsidRPr="002C2FF9">
        <w:t>–</w:t>
      </w:r>
      <w:r w:rsidRPr="002C2FF9">
        <w:tab/>
        <w:t>Tendo em conta o Painel de Avaliação do Espaço Europeu da Investigação (EEI) de 2024 da Comissão,</w:t>
      </w:r>
    </w:p>
    <w:p w14:paraId="726753B6" w14:textId="77777777" w:rsidR="00EF67B0" w:rsidRPr="002C2FF9" w:rsidRDefault="00EF67B0" w:rsidP="00EF67B0">
      <w:pPr>
        <w:pStyle w:val="NormalHanging12a"/>
      </w:pPr>
      <w:r w:rsidRPr="002C2FF9">
        <w:t>–</w:t>
      </w:r>
      <w:r w:rsidRPr="002C2FF9">
        <w:tab/>
        <w:t xml:space="preserve">Tendo em conta o relatório de Mario Draghi, de setembro de 2024, intitulado «The future of </w:t>
      </w:r>
      <w:proofErr w:type="spellStart"/>
      <w:r w:rsidRPr="002C2FF9">
        <w:t>European</w:t>
      </w:r>
      <w:proofErr w:type="spellEnd"/>
      <w:r w:rsidRPr="002C2FF9">
        <w:t xml:space="preserve"> </w:t>
      </w:r>
      <w:proofErr w:type="spellStart"/>
      <w:r w:rsidRPr="002C2FF9">
        <w:t>competitiveness</w:t>
      </w:r>
      <w:proofErr w:type="spellEnd"/>
      <w:r w:rsidRPr="002C2FF9">
        <w:t>» [O futuro da competitividade europeia],</w:t>
      </w:r>
    </w:p>
    <w:p w14:paraId="010366F4" w14:textId="77777777" w:rsidR="00EF67B0" w:rsidRPr="002C2FF9" w:rsidRDefault="00EF67B0" w:rsidP="00EF67B0">
      <w:pPr>
        <w:pStyle w:val="NormalHanging12a"/>
      </w:pPr>
      <w:r w:rsidRPr="002C2FF9">
        <w:t>–</w:t>
      </w:r>
      <w:r w:rsidRPr="002C2FF9">
        <w:tab/>
        <w:t xml:space="preserve">Tendo em conta o relatório de Enrico </w:t>
      </w:r>
      <w:proofErr w:type="spellStart"/>
      <w:r w:rsidRPr="002C2FF9">
        <w:t>Letta</w:t>
      </w:r>
      <w:proofErr w:type="spellEnd"/>
      <w:r w:rsidRPr="002C2FF9">
        <w:t>, de abril de 2024, intitulado «</w:t>
      </w:r>
      <w:proofErr w:type="spellStart"/>
      <w:r w:rsidRPr="002C2FF9">
        <w:t>Much</w:t>
      </w:r>
      <w:proofErr w:type="spellEnd"/>
      <w:r w:rsidRPr="002C2FF9">
        <w:t xml:space="preserve"> more </w:t>
      </w:r>
      <w:proofErr w:type="spellStart"/>
      <w:r w:rsidRPr="002C2FF9">
        <w:t>than</w:t>
      </w:r>
      <w:proofErr w:type="spellEnd"/>
      <w:r w:rsidRPr="002C2FF9">
        <w:t xml:space="preserve"> a </w:t>
      </w:r>
      <w:proofErr w:type="spellStart"/>
      <w:r w:rsidRPr="002C2FF9">
        <w:t>market</w:t>
      </w:r>
      <w:proofErr w:type="spellEnd"/>
      <w:r w:rsidRPr="002C2FF9">
        <w:t>» [Muito mais do que um mercado],</w:t>
      </w:r>
    </w:p>
    <w:p w14:paraId="7A915F9A" w14:textId="77777777" w:rsidR="00EF67B0" w:rsidRPr="002C2FF9" w:rsidRDefault="00EF67B0" w:rsidP="00EF67B0">
      <w:pPr>
        <w:pStyle w:val="NormalHanging12a"/>
      </w:pPr>
      <w:r w:rsidRPr="002C2FF9">
        <w:t>–</w:t>
      </w:r>
      <w:r w:rsidRPr="002C2FF9">
        <w:tab/>
        <w:t>Tendo em conta o relatório de um grupo de peritos independentes, presidido por Manuel Heitor, de outubro de 2024, intitulado «</w:t>
      </w:r>
      <w:proofErr w:type="spellStart"/>
      <w:r w:rsidRPr="002C2FF9">
        <w:t>Align</w:t>
      </w:r>
      <w:proofErr w:type="spellEnd"/>
      <w:r w:rsidRPr="002C2FF9">
        <w:t xml:space="preserve">, </w:t>
      </w:r>
      <w:proofErr w:type="spellStart"/>
      <w:r w:rsidRPr="002C2FF9">
        <w:t>act</w:t>
      </w:r>
      <w:proofErr w:type="spellEnd"/>
      <w:r w:rsidRPr="002C2FF9">
        <w:t xml:space="preserve">, </w:t>
      </w:r>
      <w:proofErr w:type="spellStart"/>
      <w:r w:rsidRPr="002C2FF9">
        <w:t>accelerate</w:t>
      </w:r>
      <w:proofErr w:type="spellEnd"/>
      <w:r w:rsidRPr="002C2FF9">
        <w:t xml:space="preserve"> — Research, </w:t>
      </w:r>
      <w:proofErr w:type="spellStart"/>
      <w:r w:rsidRPr="002C2FF9">
        <w:t>technology</w:t>
      </w:r>
      <w:proofErr w:type="spellEnd"/>
      <w:r w:rsidRPr="002C2FF9">
        <w:t xml:space="preserve"> </w:t>
      </w:r>
      <w:proofErr w:type="spellStart"/>
      <w:r w:rsidRPr="002C2FF9">
        <w:t>and</w:t>
      </w:r>
      <w:proofErr w:type="spellEnd"/>
      <w:r w:rsidRPr="002C2FF9">
        <w:t xml:space="preserve"> </w:t>
      </w:r>
      <w:proofErr w:type="spellStart"/>
      <w:r w:rsidRPr="002C2FF9">
        <w:t>innovation</w:t>
      </w:r>
      <w:proofErr w:type="spellEnd"/>
      <w:r w:rsidRPr="002C2FF9">
        <w:t xml:space="preserve"> to </w:t>
      </w:r>
      <w:proofErr w:type="spellStart"/>
      <w:r w:rsidRPr="002C2FF9">
        <w:t>boost</w:t>
      </w:r>
      <w:proofErr w:type="spellEnd"/>
      <w:r w:rsidRPr="002C2FF9">
        <w:t xml:space="preserve"> </w:t>
      </w:r>
      <w:proofErr w:type="spellStart"/>
      <w:r w:rsidRPr="002C2FF9">
        <w:t>European</w:t>
      </w:r>
      <w:proofErr w:type="spellEnd"/>
      <w:r w:rsidRPr="002C2FF9">
        <w:t xml:space="preserve"> </w:t>
      </w:r>
      <w:proofErr w:type="spellStart"/>
      <w:r w:rsidRPr="002C2FF9">
        <w:t>competitiveness</w:t>
      </w:r>
      <w:proofErr w:type="spellEnd"/>
      <w:r w:rsidRPr="002C2FF9">
        <w:t>» [Alinhar, agir, acelerar — Investigação, tecnologia e inovação para impulsionar a competitividade europeia],</w:t>
      </w:r>
    </w:p>
    <w:p w14:paraId="360D834B" w14:textId="77777777" w:rsidR="00EF67B0" w:rsidRPr="002C2FF9" w:rsidRDefault="00EF67B0" w:rsidP="00EF67B0">
      <w:pPr>
        <w:pStyle w:val="NormalHanging12a"/>
      </w:pPr>
      <w:r w:rsidRPr="002C2FF9">
        <w:t>–</w:t>
      </w:r>
      <w:r w:rsidRPr="002C2FF9">
        <w:tab/>
        <w:t>Tendo em conta a Comunicação da Comissão, de 22 de outubro de 2024, intitulada «Construção do Espaço Europeu da Investigação (EEI) — Reforçar a investigação e a inovação na Europa: evolução e perspetivas futuras do EEI» (COM(2024)0490),</w:t>
      </w:r>
    </w:p>
    <w:p w14:paraId="3F72AC4A" w14:textId="77777777" w:rsidR="00EF67B0" w:rsidRPr="002C2FF9" w:rsidRDefault="00EF67B0" w:rsidP="00EF67B0">
      <w:pPr>
        <w:pStyle w:val="NormalHanging12a"/>
      </w:pPr>
      <w:r w:rsidRPr="002C2FF9">
        <w:t>–</w:t>
      </w:r>
      <w:r w:rsidRPr="002C2FF9">
        <w:tab/>
        <w:t xml:space="preserve">Tendo em conta a Recomendação do Conselho, de 24 de junho de 2025, relativa à </w:t>
      </w:r>
      <w:r w:rsidRPr="002C2FF9">
        <w:lastRenderedPageBreak/>
        <w:t>agenda estratégica do Espaço Europeu da Investigação para 2025</w:t>
      </w:r>
      <w:r w:rsidRPr="002C2FF9">
        <w:noBreakHyphen/>
        <w:t>2027</w:t>
      </w:r>
      <w:r w:rsidRPr="002C2FF9">
        <w:rPr>
          <w:rStyle w:val="FootnoteReference"/>
        </w:rPr>
        <w:footnoteReference w:id="1"/>
      </w:r>
      <w:r w:rsidRPr="002C2FF9">
        <w:t>,</w:t>
      </w:r>
    </w:p>
    <w:p w14:paraId="2D4856C5" w14:textId="77777777" w:rsidR="00EF67B0" w:rsidRPr="002C2FF9" w:rsidRDefault="00EF67B0" w:rsidP="00EF67B0">
      <w:pPr>
        <w:pStyle w:val="NormalHanging12a"/>
      </w:pPr>
      <w:r w:rsidRPr="002C2FF9">
        <w:t>–</w:t>
      </w:r>
      <w:r w:rsidRPr="002C2FF9">
        <w:tab/>
        <w:t>Tendo em conta a Comunicação da Comissão, de 30 de setembro de 2020, intitulada «Um novo EEI para a Investigação e a Inovação» (COM(2020)0628),</w:t>
      </w:r>
    </w:p>
    <w:p w14:paraId="4B358CC5" w14:textId="77777777" w:rsidR="00EF67B0" w:rsidRPr="002C2FF9" w:rsidRDefault="00EF67B0" w:rsidP="00EF67B0">
      <w:pPr>
        <w:pStyle w:val="NormalHanging12a"/>
      </w:pPr>
      <w:r w:rsidRPr="002C2FF9">
        <w:t>–</w:t>
      </w:r>
      <w:r w:rsidRPr="002C2FF9">
        <w:tab/>
        <w:t>Tendo em conta a Recomendação (UE) 2021/2122 do Conselho, de 26 de novembro de 2021, sobre um Pacto para a Investigação e Inovação na Europa</w:t>
      </w:r>
      <w:r w:rsidRPr="002C2FF9">
        <w:rPr>
          <w:rStyle w:val="FootnoteReference"/>
        </w:rPr>
        <w:footnoteReference w:id="2"/>
      </w:r>
      <w:r w:rsidRPr="002C2FF9">
        <w:t>,</w:t>
      </w:r>
    </w:p>
    <w:p w14:paraId="60664D29" w14:textId="77777777" w:rsidR="00EF67B0" w:rsidRPr="002C2FF9" w:rsidRDefault="00EF67B0" w:rsidP="00EF67B0">
      <w:pPr>
        <w:pStyle w:val="NormalHanging12a"/>
      </w:pPr>
      <w:r w:rsidRPr="002C2FF9">
        <w:t>–</w:t>
      </w:r>
      <w:r w:rsidRPr="002C2FF9">
        <w:tab/>
        <w:t>Tendo em conta a agenda estratégica do EEI para 2022</w:t>
      </w:r>
      <w:r w:rsidRPr="002C2FF9">
        <w:noBreakHyphen/>
        <w:t>2024,</w:t>
      </w:r>
    </w:p>
    <w:p w14:paraId="4FAB17CD" w14:textId="77777777" w:rsidR="00EF67B0" w:rsidRPr="002C2FF9" w:rsidRDefault="00EF67B0" w:rsidP="00EF67B0">
      <w:pPr>
        <w:pStyle w:val="NormalHanging12a"/>
      </w:pPr>
      <w:r w:rsidRPr="002C2FF9">
        <w:t>–</w:t>
      </w:r>
      <w:r w:rsidRPr="002C2FF9">
        <w:tab/>
        <w:t>Tendo em conta a agenda estratégica do EEI para 2025</w:t>
      </w:r>
      <w:r w:rsidRPr="002C2FF9">
        <w:noBreakHyphen/>
        <w:t>2027,</w:t>
      </w:r>
    </w:p>
    <w:p w14:paraId="71BD019D" w14:textId="77777777" w:rsidR="00EF67B0" w:rsidRPr="002C2FF9" w:rsidRDefault="00EF67B0" w:rsidP="00EF67B0">
      <w:pPr>
        <w:pStyle w:val="NormalHanging12a"/>
      </w:pPr>
      <w:r w:rsidRPr="002C2FF9">
        <w:t>–</w:t>
      </w:r>
      <w:r w:rsidRPr="002C2FF9">
        <w:tab/>
        <w:t>Tendo em conta a Declaração de Bona sobre a Liberdade de Investigação Científica,</w:t>
      </w:r>
    </w:p>
    <w:p w14:paraId="7AF3E4AF" w14:textId="77777777" w:rsidR="00EF67B0" w:rsidRPr="002C2FF9" w:rsidRDefault="00EF67B0" w:rsidP="00EF67B0">
      <w:pPr>
        <w:pStyle w:val="NormalHanging12a"/>
      </w:pPr>
      <w:r w:rsidRPr="002C2FF9">
        <w:t>–</w:t>
      </w:r>
      <w:r w:rsidRPr="002C2FF9">
        <w:tab/>
        <w:t>Tendo em conta a sua Resolução, de 14 de dezembro de 2023, sobre jovens investigadores</w:t>
      </w:r>
      <w:r w:rsidRPr="002C2FF9">
        <w:rPr>
          <w:rStyle w:val="FootnoteReference"/>
        </w:rPr>
        <w:footnoteReference w:id="3"/>
      </w:r>
      <w:r w:rsidRPr="002C2FF9">
        <w:t>,</w:t>
      </w:r>
    </w:p>
    <w:p w14:paraId="79990921" w14:textId="77777777" w:rsidR="00EF67B0" w:rsidRPr="002C2FF9" w:rsidRDefault="00EF67B0" w:rsidP="00EF67B0">
      <w:pPr>
        <w:pStyle w:val="NormalHanging12a"/>
      </w:pPr>
      <w:r w:rsidRPr="002C2FF9">
        <w:t>–</w:t>
      </w:r>
      <w:r w:rsidRPr="002C2FF9">
        <w:tab/>
        <w:t>Tendo em conta a sua Resolução, de 17 de janeiro de 2024, que contém recomendações à Comissão sobre a promoção da liberdade de investigação científica na UE</w:t>
      </w:r>
      <w:r w:rsidRPr="002C2FF9">
        <w:rPr>
          <w:rStyle w:val="FootnoteReference"/>
        </w:rPr>
        <w:footnoteReference w:id="4"/>
      </w:r>
      <w:r w:rsidRPr="002C2FF9">
        <w:t>,</w:t>
      </w:r>
    </w:p>
    <w:p w14:paraId="7F00250E" w14:textId="77777777" w:rsidR="00EF67B0" w:rsidRPr="002C2FF9" w:rsidRDefault="00EF67B0" w:rsidP="00EF67B0">
      <w:pPr>
        <w:pStyle w:val="NormalHanging12a"/>
      </w:pPr>
      <w:r w:rsidRPr="002C2FF9">
        <w:t>–</w:t>
      </w:r>
      <w:r w:rsidRPr="002C2FF9">
        <w:tab/>
        <w:t>Tendo em conta a Recomendação da Comissão, de 11 de março de 2005, relativa à Carta Europeia do Investigador e ao Código de Conduta para o Recrutamento de Investigadores</w:t>
      </w:r>
      <w:r w:rsidRPr="002C2FF9">
        <w:rPr>
          <w:rStyle w:val="FootnoteReference"/>
        </w:rPr>
        <w:footnoteReference w:id="5"/>
      </w:r>
      <w:r w:rsidRPr="002C2FF9">
        <w:t>,</w:t>
      </w:r>
    </w:p>
    <w:p w14:paraId="439A83D8" w14:textId="3D427D6A" w:rsidR="00EF67B0" w:rsidRPr="002C2FF9" w:rsidRDefault="00EF67B0" w:rsidP="00EF67B0">
      <w:pPr>
        <w:pStyle w:val="NormalHanging12a"/>
      </w:pPr>
      <w:r w:rsidRPr="002C2FF9">
        <w:t>–</w:t>
      </w:r>
      <w:r w:rsidRPr="002C2FF9">
        <w:tab/>
        <w:t>Tendo em conta as perguntas dirigidas ao Conselho e à Comissão sobre o futuro ato legislativo sobre o Espaço Europeu da Investigação (EEI) (O</w:t>
      </w:r>
      <w:r w:rsidRPr="002C2FF9">
        <w:noBreakHyphen/>
        <w:t>000007/2026 – B10</w:t>
      </w:r>
      <w:r w:rsidRPr="002C2FF9">
        <w:noBreakHyphen/>
        <w:t>000</w:t>
      </w:r>
      <w:r w:rsidR="00A4574B" w:rsidRPr="002C2FF9">
        <w:t>6</w:t>
      </w:r>
      <w:r w:rsidRPr="002C2FF9">
        <w:t>/2026 e O</w:t>
      </w:r>
      <w:r w:rsidRPr="002C2FF9">
        <w:noBreakHyphen/>
        <w:t>000008/2026 – B10</w:t>
      </w:r>
      <w:r w:rsidR="00122D94">
        <w:t>-</w:t>
      </w:r>
      <w:r w:rsidRPr="002C2FF9">
        <w:t>000</w:t>
      </w:r>
      <w:r w:rsidR="00A4574B" w:rsidRPr="002C2FF9">
        <w:t>7</w:t>
      </w:r>
      <w:r w:rsidRPr="002C2FF9">
        <w:t>/2026),</w:t>
      </w:r>
    </w:p>
    <w:p w14:paraId="19C0D5C1" w14:textId="77777777" w:rsidR="00EF67B0" w:rsidRPr="002C2FF9" w:rsidRDefault="00EF67B0" w:rsidP="00EF67B0">
      <w:pPr>
        <w:pStyle w:val="NormalHanging12a"/>
      </w:pPr>
      <w:r w:rsidRPr="002C2FF9">
        <w:t>–</w:t>
      </w:r>
      <w:r w:rsidRPr="002C2FF9">
        <w:tab/>
        <w:t>Tendo em conta o artigo 142.º, n.º 5, e o artigo 136.º, n.º 2, do seu Regimento,</w:t>
      </w:r>
    </w:p>
    <w:p w14:paraId="15D51040" w14:textId="77777777" w:rsidR="00EF67B0" w:rsidRPr="002C2FF9" w:rsidRDefault="00EF67B0" w:rsidP="00EF67B0">
      <w:pPr>
        <w:pStyle w:val="NormalHanging12a"/>
      </w:pPr>
      <w:r w:rsidRPr="002C2FF9">
        <w:t>–</w:t>
      </w:r>
      <w:r w:rsidRPr="002C2FF9">
        <w:tab/>
        <w:t>Tendo em conta a proposta de resolução da Comissão da Indústria, da Investigação e da Energia,</w:t>
      </w:r>
    </w:p>
    <w:p w14:paraId="29DD3780" w14:textId="77777777" w:rsidR="00EF67B0" w:rsidRPr="002C2FF9" w:rsidRDefault="00EF67B0" w:rsidP="00EF67B0">
      <w:pPr>
        <w:pStyle w:val="NormalHanging12a"/>
      </w:pPr>
      <w:r w:rsidRPr="002C2FF9">
        <w:t>A.</w:t>
      </w:r>
      <w:r w:rsidRPr="002C2FF9">
        <w:tab/>
        <w:t>Considerando que o artigo 179.º do TFUE estabelece o objetivo de reforçar as bases científicas e tecnológicas da União através de um Espaço Europeu da Investigação (EEI), que permita a livre circulação dos investigadores, dos conhecimentos científicos e das tecnologias, reforce a competitividade e apoie todas as ações de investigação;</w:t>
      </w:r>
    </w:p>
    <w:p w14:paraId="26A6F195" w14:textId="77777777" w:rsidR="00EF67B0" w:rsidRPr="002C2FF9" w:rsidRDefault="00EF67B0" w:rsidP="00EF67B0">
      <w:pPr>
        <w:pStyle w:val="NormalHanging12a"/>
      </w:pPr>
      <w:r w:rsidRPr="002C2FF9">
        <w:t>B.</w:t>
      </w:r>
      <w:r w:rsidRPr="002C2FF9">
        <w:tab/>
        <w:t>Considerando que o ato legislativo sobre o EEI representa uma oportunidade fundamental para elevar a investigação europeia, abordando os desafios estruturais que afetam o ecossistema da investigação e inovação (I&amp;I) da UE, incluindo a coordenação e cooperação insuficientes, a fragmentação do sistema e o desempenho desigual;</w:t>
      </w:r>
    </w:p>
    <w:p w14:paraId="6D8EB0ED" w14:textId="77777777" w:rsidR="00EF67B0" w:rsidRPr="002C2FF9" w:rsidRDefault="00EF67B0" w:rsidP="00EF67B0">
      <w:pPr>
        <w:pStyle w:val="NormalHanging12a"/>
      </w:pPr>
      <w:r w:rsidRPr="002C2FF9">
        <w:t>C.</w:t>
      </w:r>
      <w:r w:rsidRPr="002C2FF9">
        <w:tab/>
        <w:t>Considerando que o ato legislativo sobre o EEI pode ajudar a concretizar a «quinta liberdade», estabelecendo normas comuns, assegurando uma aplicação coerente das regras e contribuindo para o Roteiro do Mercado Único para 2028, bem como para a criação de emprego de qualidade;</w:t>
      </w:r>
    </w:p>
    <w:p w14:paraId="16265F19" w14:textId="77777777" w:rsidR="00EF67B0" w:rsidRPr="002C2FF9" w:rsidRDefault="00EF67B0" w:rsidP="00EF67B0">
      <w:pPr>
        <w:pStyle w:val="NormalHanging12a"/>
      </w:pPr>
      <w:r w:rsidRPr="002C2FF9">
        <w:lastRenderedPageBreak/>
        <w:t>D.</w:t>
      </w:r>
      <w:r w:rsidRPr="002C2FF9">
        <w:tab/>
        <w:t>Considerando que a União ainda não dispõe de um EEI integrado, que atraia e retenha talentos, devido a obstáculos como a priorização inadequada do investimento em I&amp;I, havendo poucos Estados</w:t>
      </w:r>
      <w:r w:rsidRPr="002C2FF9">
        <w:noBreakHyphen/>
        <w:t>Membros a cumprir a meta de 3 % do PIB, a coordenação insuficiente das políticas de I&amp;I, a fragmentação contínua, as disparidades de desempenho e os encargos administrativos excessivos para os investigadores e as universidades;</w:t>
      </w:r>
    </w:p>
    <w:p w14:paraId="591B043E" w14:textId="2F40E497" w:rsidR="00EF67B0" w:rsidRPr="002C2FF9" w:rsidRDefault="00EF67B0" w:rsidP="00EF67B0">
      <w:pPr>
        <w:pStyle w:val="NormalHanging12a"/>
      </w:pPr>
      <w:r w:rsidRPr="002C2FF9">
        <w:t>E.</w:t>
      </w:r>
      <w:r w:rsidRPr="002C2FF9">
        <w:tab/>
        <w:t>Considerando que a agenda estratégica do EEI constitui um valioso quadro não vinculativo, que orienta as políticas nacionais e a nível da UE, em consonância com os objetivos do artigo 179.º do TFUE, promovendo a coordenação e a cooperação voluntárias entre os Estados</w:t>
      </w:r>
      <w:r w:rsidRPr="002C2FF9">
        <w:noBreakHyphen/>
        <w:t xml:space="preserve">Membros e a União; </w:t>
      </w:r>
      <w:r w:rsidR="00A4574B" w:rsidRPr="002C2FF9">
        <w:t xml:space="preserve">considerando </w:t>
      </w:r>
      <w:r w:rsidRPr="002C2FF9">
        <w:t>que estes objetivos devem ser complementados por disposições e incentivos ao abrigo do futuro ato legislativo sobre o EEI, bem como por instrumentos como o Semestre Europeu, a fim de proporcionar uma base mais sólida para um EEI coerente e de elevado desempenho;</w:t>
      </w:r>
    </w:p>
    <w:p w14:paraId="7C7EA745" w14:textId="77777777" w:rsidR="00EF67B0" w:rsidRPr="002C2FF9" w:rsidRDefault="00EF67B0" w:rsidP="00EF67B0">
      <w:pPr>
        <w:pStyle w:val="NormalHanging12a"/>
      </w:pPr>
      <w:r w:rsidRPr="002C2FF9">
        <w:t>F.</w:t>
      </w:r>
      <w:r w:rsidRPr="002C2FF9">
        <w:tab/>
        <w:t>Considerando que a liberdade de investigação científica, incluindo a independência e a autonomia institucional dos investigadores, a excelência, a abertura e a responsabilidade social são valores fundamentais do EEI e são essenciais para a democracia, a competitividade e a capacidade de inovação da Europa, tornando esta última um refúgio para os investigadores de todo o mundo;</w:t>
      </w:r>
    </w:p>
    <w:p w14:paraId="21E3FFB9" w14:textId="77777777" w:rsidR="00EF67B0" w:rsidRPr="002C2FF9" w:rsidRDefault="00EF67B0" w:rsidP="00EF67B0">
      <w:pPr>
        <w:pStyle w:val="NormalHanging12a"/>
      </w:pPr>
      <w:r w:rsidRPr="002C2FF9">
        <w:t>1.</w:t>
      </w:r>
      <w:r w:rsidRPr="002C2FF9">
        <w:tab/>
        <w:t>Apoia o alinhamento das prioridades nacionais e da União em matéria de I&amp;I, a fim de assegurar a complementaridade, aumentar a cooperação entre as universidades, as organizações de investigação, as regiões, os Estados</w:t>
      </w:r>
      <w:r w:rsidRPr="002C2FF9">
        <w:noBreakHyphen/>
        <w:t>Membros e as indústrias, criar um quadro de governação eficaz, tornar as carreiras de investigação e o investimento privado mais atrativos e alcançar o objetivo de investimento da União em investigação e desenvolvimento (I&amp;D) de 3 % do PIB;</w:t>
      </w:r>
    </w:p>
    <w:p w14:paraId="42D62736" w14:textId="77777777" w:rsidR="00EF67B0" w:rsidRPr="002C2FF9" w:rsidRDefault="00EF67B0" w:rsidP="00EF67B0">
      <w:pPr>
        <w:pStyle w:val="NormalHanging12a"/>
      </w:pPr>
      <w:r w:rsidRPr="002C2FF9">
        <w:t>2.</w:t>
      </w:r>
      <w:r w:rsidRPr="002C2FF9">
        <w:tab/>
        <w:t>Apela a uma abordagem dupla de cooperação voluntária no âmbito da agenda estratégica do EEI para 2025</w:t>
      </w:r>
      <w:r w:rsidRPr="002C2FF9">
        <w:noBreakHyphen/>
        <w:t>2027, combinada com medidas legislativas, incluindo o ato legislativo sobre o EEI e iniciativas complementares, a fim de dotar o EEI de um quadro vinculativo e executório;</w:t>
      </w:r>
    </w:p>
    <w:p w14:paraId="2CAB15A4" w14:textId="77777777" w:rsidR="00EF67B0" w:rsidRPr="002C2FF9" w:rsidRDefault="00EF67B0" w:rsidP="00EF67B0">
      <w:pPr>
        <w:pStyle w:val="NormalHanging12a"/>
      </w:pPr>
      <w:r w:rsidRPr="002C2FF9">
        <w:t>3.</w:t>
      </w:r>
      <w:r w:rsidRPr="002C2FF9">
        <w:tab/>
        <w:t>Recomenda que o ato legislativo sobre o EEI seja um regulamento, a fim de alcançar os objetivos do artigo 179.º do TFUE, assegurando a aplicabilidade direta em todos os Estados</w:t>
      </w:r>
      <w:r w:rsidRPr="002C2FF9">
        <w:noBreakHyphen/>
        <w:t>Membros, estimulando o investimento privado em I&amp;D, a livre circulação de investigadores, conhecimentos científicos e tecnologia, e contribuindo para reduzir a fragmentação do mercado único;</w:t>
      </w:r>
    </w:p>
    <w:p w14:paraId="3A69F1F2" w14:textId="77777777" w:rsidR="00EF67B0" w:rsidRPr="002C2FF9" w:rsidRDefault="00EF67B0" w:rsidP="00EF67B0">
      <w:pPr>
        <w:pStyle w:val="NormalHanging12a"/>
      </w:pPr>
      <w:r w:rsidRPr="002C2FF9">
        <w:t>4.</w:t>
      </w:r>
      <w:r w:rsidRPr="002C2FF9">
        <w:tab/>
        <w:t>Reafirma a importância da liberdade de investigação científica e da autonomia institucional; solicita que a proposta de ato legislativo sobre o EEI seja acompanhada de uma proposta legislativa separada, com uma base jurídica distinta, que proteja a liberdade fundamental da investigação científica, incluindo normas mínimas em matéria de direitos dos investigadores, conduta ética, integridade e independência institucional, e apoiada por mecanismos de acompanhamento eficazes;</w:t>
      </w:r>
    </w:p>
    <w:p w14:paraId="0D73A1B1" w14:textId="77777777" w:rsidR="00EF67B0" w:rsidRPr="002C2FF9" w:rsidRDefault="00EF67B0" w:rsidP="00EF67B0">
      <w:pPr>
        <w:pStyle w:val="NormalHanging12a"/>
      </w:pPr>
      <w:r w:rsidRPr="002C2FF9">
        <w:t>5.</w:t>
      </w:r>
      <w:r w:rsidRPr="002C2FF9">
        <w:tab/>
        <w:t>Solicita que o ato legislativo sobre o EEI inclua o objetivo da União de investir pelo menos 3 % do PIB da União em I&amp;D até 2030, complementado por metas nacionais para as despesas totais de I&amp;D, contribuindo para o objetivo da União; insta os Estados</w:t>
      </w:r>
      <w:r w:rsidRPr="002C2FF9">
        <w:noBreakHyphen/>
        <w:t xml:space="preserve">Membros a melhorarem a coordenação do investimento em I&amp;D através de roteiros e objetivos nacionais, a fim de assegurar a complementaridade do financiamento público e privado; reconhece que as empresas e as indústrias centradas </w:t>
      </w:r>
      <w:r w:rsidRPr="002C2FF9">
        <w:lastRenderedPageBreak/>
        <w:t>na investigação são fundamentais para impulsionar o investimento privado, alcançar o objetivo de 3 % e promover empregos de qualidade;</w:t>
      </w:r>
    </w:p>
    <w:p w14:paraId="280EAF6F" w14:textId="77777777" w:rsidR="00EF67B0" w:rsidRPr="002C2FF9" w:rsidRDefault="00EF67B0" w:rsidP="00EF67B0">
      <w:pPr>
        <w:pStyle w:val="NormalHanging12a"/>
      </w:pPr>
      <w:r w:rsidRPr="002C2FF9">
        <w:t>6.</w:t>
      </w:r>
      <w:r w:rsidRPr="002C2FF9">
        <w:tab/>
        <w:t>Solicita a adoção de disposições para reforçar a participação privada no ecossistema de I&amp;I da UE através de uma coordenação mais estreita e de parcerias público</w:t>
      </w:r>
      <w:r w:rsidRPr="002C2FF9">
        <w:noBreakHyphen/>
        <w:t>privadas, para colmatar as lacunas persistentes em matéria de investimento e a fragmentação do mercado e para concluir a União dos Mercados de Capitais, a fim de acelerar a valorização dos conhecimentos, reforçar a soberania tecnológica e apoiar os ecossistemas regionais de inovação;</w:t>
      </w:r>
    </w:p>
    <w:p w14:paraId="75028B17" w14:textId="71C36FF7" w:rsidR="00180770" w:rsidRPr="002C2FF9" w:rsidRDefault="00180770" w:rsidP="00EF67B0">
      <w:pPr>
        <w:pStyle w:val="NormalHanging12a"/>
      </w:pPr>
      <w:r w:rsidRPr="002C2FF9">
        <w:t>7.</w:t>
      </w:r>
      <w:r w:rsidRPr="002C2FF9">
        <w:tab/>
        <w:t>Reclama um maior apoio à investigação pública, reforçando o financiamento de programas europeus como o Horizonte Europa; incentiva os Estados-Membros a aumentarem os recursos financeiros destinados às universidades e aos organismos públicos de investigação;</w:t>
      </w:r>
    </w:p>
    <w:p w14:paraId="566D0EA3" w14:textId="74BC5733" w:rsidR="00EF67B0" w:rsidRPr="002C2FF9" w:rsidRDefault="00BB53F7" w:rsidP="00EF67B0">
      <w:pPr>
        <w:pStyle w:val="NormalHanging12a"/>
      </w:pPr>
      <w:r w:rsidRPr="002C2FF9">
        <w:t>8</w:t>
      </w:r>
      <w:r w:rsidR="00EF67B0" w:rsidRPr="002C2FF9">
        <w:t>.</w:t>
      </w:r>
      <w:r w:rsidR="00EF67B0" w:rsidRPr="002C2FF9">
        <w:tab/>
        <w:t>Exorta os Estados</w:t>
      </w:r>
      <w:r w:rsidR="00EF67B0" w:rsidRPr="002C2FF9">
        <w:noBreakHyphen/>
        <w:t>Membros a realizarem reformas para eliminar os obstáculos à livre circulação dos investigadores e do conhecimento e a reforçarem a colaboração e inovação transfronteiriças, com vista a tornar a Europa uma comunidade de investigação mundial inclusiva e atrativa;</w:t>
      </w:r>
    </w:p>
    <w:p w14:paraId="30D770D6" w14:textId="786A2281" w:rsidR="00EF67B0" w:rsidRPr="002C2FF9" w:rsidRDefault="00BB53F7" w:rsidP="00EF67B0">
      <w:pPr>
        <w:pStyle w:val="NormalHanging12a"/>
      </w:pPr>
      <w:r w:rsidRPr="002C2FF9">
        <w:t>9</w:t>
      </w:r>
      <w:r w:rsidR="00EF67B0" w:rsidRPr="002C2FF9">
        <w:t>.</w:t>
      </w:r>
      <w:r w:rsidR="00EF67B0" w:rsidRPr="002C2FF9">
        <w:tab/>
        <w:t>Recomenda que o ato legislativo sobre o EEI utilize o planeamento, métricas mensuráveis e instrumentos de acompanhamento, comunicação de informações e avaliação, e que procure assegurar um equilíbrio entre os domínios de investigação e a investigação fundamental e aplicada;</w:t>
      </w:r>
    </w:p>
    <w:p w14:paraId="5410919D" w14:textId="1ABAAD1F" w:rsidR="00EF67B0" w:rsidRPr="002C2FF9" w:rsidRDefault="00BB53F7" w:rsidP="00EF67B0">
      <w:pPr>
        <w:pStyle w:val="NormalHanging12a"/>
      </w:pPr>
      <w:r w:rsidRPr="002C2FF9">
        <w:t>10</w:t>
      </w:r>
      <w:r w:rsidR="00EF67B0" w:rsidRPr="002C2FF9">
        <w:t>.</w:t>
      </w:r>
      <w:r w:rsidR="00EF67B0" w:rsidRPr="002C2FF9">
        <w:tab/>
        <w:t>Solicita o reforço da governação do EEI e a racionalização dos instrumentos políticos e de acompanhamento existentes;</w:t>
      </w:r>
    </w:p>
    <w:p w14:paraId="1AAF2601" w14:textId="0690344A" w:rsidR="00EF67B0" w:rsidRPr="002C2FF9" w:rsidRDefault="00BB53F7" w:rsidP="00EF67B0">
      <w:pPr>
        <w:pStyle w:val="NormalHanging12a"/>
      </w:pPr>
      <w:r w:rsidRPr="002C2FF9">
        <w:t>11</w:t>
      </w:r>
      <w:r w:rsidR="00EF67B0" w:rsidRPr="002C2FF9">
        <w:t>.</w:t>
      </w:r>
      <w:r w:rsidR="00EF67B0" w:rsidRPr="002C2FF9">
        <w:tab/>
        <w:t>Insta a Comissão e os Estados</w:t>
      </w:r>
      <w:r w:rsidR="00EF67B0" w:rsidRPr="002C2FF9">
        <w:noBreakHyphen/>
        <w:t>Membros a reforçarem a coordenação entre as iniciativas nacionais e da UE em matéria de I&amp;I, em consonância com as prioridades globais do EEI, assegurando sinergias entre os instrumentos e as políticas de financiamento nacionais e da União, a fim de reforçar a liderança científica e tecnológica da Europa a nível mundial;</w:t>
      </w:r>
    </w:p>
    <w:p w14:paraId="4C51B267" w14:textId="6532ACEF" w:rsidR="00EF67B0" w:rsidRPr="002C2FF9" w:rsidRDefault="00BB53F7" w:rsidP="00EF67B0">
      <w:pPr>
        <w:pStyle w:val="NormalHanging12a"/>
      </w:pPr>
      <w:r w:rsidRPr="002C2FF9">
        <w:t>12</w:t>
      </w:r>
      <w:r w:rsidR="00EF67B0" w:rsidRPr="002C2FF9">
        <w:t>.</w:t>
      </w:r>
      <w:r w:rsidR="00EF67B0" w:rsidRPr="002C2FF9">
        <w:tab/>
        <w:t>Apela a ecossistemas europeus de inovação e tecnologia mais fortes e inclusivos, para promover a cooperação entre universidades, instituições de investigação, empresas em fase de arranque, PME e a indústria, a fim de assegurar uma transferência eficaz e segura de conhecimentos e uma melhor aceitação dos resultados pelas empresas europeias, bem como para promover a melhoria de competências e a requalificação e a aprendizagem ao longo da vida; realça a necessidade de colmatar as disparidades em matéria de I&amp;I entre os Estados</w:t>
      </w:r>
      <w:r w:rsidR="00EF67B0" w:rsidRPr="002C2FF9">
        <w:noBreakHyphen/>
        <w:t>Membros, em particular os que têm um desempenho mais baixo em matéria de I&amp;I, a fim de melhorar a sua participação nos programas da União;</w:t>
      </w:r>
    </w:p>
    <w:p w14:paraId="7536028A" w14:textId="6421338D" w:rsidR="00EF67B0" w:rsidRPr="002C2FF9" w:rsidRDefault="00BB53F7" w:rsidP="00EF67B0">
      <w:pPr>
        <w:pStyle w:val="NormalHanging12a"/>
      </w:pPr>
      <w:r w:rsidRPr="002C2FF9">
        <w:t>13</w:t>
      </w:r>
      <w:r w:rsidR="00EF67B0" w:rsidRPr="002C2FF9">
        <w:t>.</w:t>
      </w:r>
      <w:r w:rsidR="00EF67B0" w:rsidRPr="002C2FF9">
        <w:tab/>
        <w:t>Assinala que um EEI funcional exige a livre circulação de investigadores e conhecimentos, bem como a colaboração transfronteiriça; apela à adoção de medidas concretas para facilitar e simplificar os percursos profissionais dos investigadores, em especial dos jovens investigadores e dos investigadores em início de carreira, melhorar a mobilidade e o reconhecimento mútuo das qualificações e facilitar os procedimentos de emissão de vistos; reitera o seu apoio a uma Carta Europeia do Investigador; observa que o trabalho à distância e híbrido cria oportunidades para os investigadores trabalharem noutros Estados</w:t>
      </w:r>
      <w:r w:rsidR="00EF67B0" w:rsidRPr="002C2FF9">
        <w:noBreakHyphen/>
        <w:t>Membros sem se transferirem;</w:t>
      </w:r>
    </w:p>
    <w:p w14:paraId="340C6244" w14:textId="68C3832F" w:rsidR="00EF67B0" w:rsidRPr="002C2FF9" w:rsidRDefault="00BB53F7" w:rsidP="00EF67B0">
      <w:pPr>
        <w:pStyle w:val="NormalHanging12a"/>
      </w:pPr>
      <w:r w:rsidRPr="002C2FF9">
        <w:lastRenderedPageBreak/>
        <w:t>14</w:t>
      </w:r>
      <w:r w:rsidR="00EF67B0" w:rsidRPr="002C2FF9">
        <w:t>.</w:t>
      </w:r>
      <w:r w:rsidR="00EF67B0" w:rsidRPr="002C2FF9">
        <w:tab/>
        <w:t>Insta a Comissão e os Estados</w:t>
      </w:r>
      <w:r w:rsidR="00EF67B0" w:rsidRPr="002C2FF9">
        <w:noBreakHyphen/>
        <w:t>Membros a promoverem a igualdade de género e a igualdade de oportunidades na I&amp;I, especialmente nos setores sub</w:t>
      </w:r>
      <w:r w:rsidR="00EF67B0" w:rsidRPr="002C2FF9">
        <w:noBreakHyphen/>
        <w:t>representados, reduzindo simultaneamente as disparidades salariais entre homens e mulheres;</w:t>
      </w:r>
    </w:p>
    <w:p w14:paraId="5A22A78A" w14:textId="2F8C8F8C" w:rsidR="00EF67B0" w:rsidRPr="002C2FF9" w:rsidRDefault="00BB53F7" w:rsidP="00EF67B0">
      <w:pPr>
        <w:pStyle w:val="NormalHanging12a"/>
      </w:pPr>
      <w:r w:rsidRPr="002C2FF9">
        <w:t>15</w:t>
      </w:r>
      <w:r w:rsidR="00EF67B0" w:rsidRPr="002C2FF9">
        <w:t>.</w:t>
      </w:r>
      <w:r w:rsidR="00EF67B0" w:rsidRPr="002C2FF9">
        <w:tab/>
        <w:t>Destaca a necessidade de assegurar a circulação aberta e segura dos conhecimentos, uma melhor acessibilidade das infraestruturas de investigação, a valorização dos conhecimentos e a utilização ética e fiável das tecnologias emergentes, nomeadamente da IA, em consonância com os valores e os direitos fundamentais da UE; sublinha a importância da segurança da investigação, da integridade e da divulgação eficaz da investigação financiada por fundos públicos, nomeadamente nas bibliotecas, assegurando simultaneamente a proteção dos direitos de propriedade intelectual;</w:t>
      </w:r>
    </w:p>
    <w:p w14:paraId="7E8234FE" w14:textId="3E6BAFCC" w:rsidR="00EF67B0" w:rsidRPr="002C2FF9" w:rsidRDefault="00BB53F7" w:rsidP="00EF67B0">
      <w:pPr>
        <w:pStyle w:val="NormalHanging12a"/>
      </w:pPr>
      <w:r w:rsidRPr="002C2FF9">
        <w:t>16</w:t>
      </w:r>
      <w:r w:rsidR="00EF67B0" w:rsidRPr="002C2FF9">
        <w:t>.</w:t>
      </w:r>
      <w:r w:rsidR="00EF67B0" w:rsidRPr="002C2FF9">
        <w:tab/>
        <w:t>Recomenda que o ato legislativo sobre o EEI seja alinhado pelas iniciativas existentes e futuras, como o ato legislativo sobre a inovação, o Pacto para a I&amp;I, o programa</w:t>
      </w:r>
      <w:r w:rsidR="00EF67B0" w:rsidRPr="002C2FF9">
        <w:noBreakHyphen/>
        <w:t>quadro e o Espaço Europeu da Educação, a fim de assegurar reformas que se reforcem mutuamente, a adoção da inovação, a mobilidade de talentos e o financiamento;</w:t>
      </w:r>
    </w:p>
    <w:p w14:paraId="28A46B09" w14:textId="4443F8F4" w:rsidR="00E365E1" w:rsidRPr="002C2FF9" w:rsidRDefault="00BB53F7" w:rsidP="004D252B">
      <w:pPr>
        <w:pStyle w:val="NormalHanging12a"/>
      </w:pPr>
      <w:r w:rsidRPr="002C2FF9">
        <w:t>17</w:t>
      </w:r>
      <w:r w:rsidR="00EF67B0" w:rsidRPr="002C2FF9">
        <w:t>.</w:t>
      </w:r>
      <w:r w:rsidR="00EF67B0" w:rsidRPr="002C2FF9">
        <w:tab/>
        <w:t>Encarrega a sua Presidente de transmitir a presente resolução à Comissão e ao Conselho.</w:t>
      </w:r>
    </w:p>
    <w:sectPr w:rsidR="00E365E1" w:rsidRPr="002C2FF9" w:rsidSect="001B659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BECA5" w14:textId="77777777" w:rsidR="000D718E" w:rsidRPr="001B6592" w:rsidRDefault="000D718E">
      <w:r w:rsidRPr="001B6592">
        <w:separator/>
      </w:r>
    </w:p>
  </w:endnote>
  <w:endnote w:type="continuationSeparator" w:id="0">
    <w:p w14:paraId="70BA4EA8" w14:textId="77777777" w:rsidR="000D718E" w:rsidRPr="001B6592" w:rsidRDefault="000D718E">
      <w:r w:rsidRPr="001B65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EA1E8" w14:textId="77777777" w:rsidR="000D718E" w:rsidRPr="001B6592" w:rsidRDefault="000D718E">
      <w:r w:rsidRPr="001B6592">
        <w:separator/>
      </w:r>
    </w:p>
  </w:footnote>
  <w:footnote w:type="continuationSeparator" w:id="0">
    <w:p w14:paraId="19A27AD0" w14:textId="77777777" w:rsidR="000D718E" w:rsidRPr="001B6592" w:rsidRDefault="000D718E">
      <w:r w:rsidRPr="001B6592">
        <w:continuationSeparator/>
      </w:r>
    </w:p>
  </w:footnote>
  <w:footnote w:id="1">
    <w:p w14:paraId="4FE49280" w14:textId="5C09A079" w:rsidR="00EF67B0" w:rsidRPr="004D252B" w:rsidRDefault="00EF67B0" w:rsidP="001B6592">
      <w:pPr>
        <w:pStyle w:val="FootnoteText"/>
        <w:ind w:left="567" w:hanging="567"/>
        <w:rPr>
          <w:sz w:val="24"/>
          <w:lang w:val="fi-FI"/>
        </w:rPr>
      </w:pPr>
      <w:r w:rsidRPr="001B6592">
        <w:rPr>
          <w:rStyle w:val="FootnoteReference"/>
          <w:sz w:val="24"/>
          <w:lang w:val="pt-PT"/>
        </w:rPr>
        <w:footnoteRef/>
      </w:r>
      <w:r w:rsidR="001B6592" w:rsidRPr="004D252B">
        <w:rPr>
          <w:sz w:val="24"/>
          <w:lang w:val="fi-FI"/>
        </w:rPr>
        <w:t xml:space="preserve"> </w:t>
      </w:r>
      <w:r w:rsidR="001B6592" w:rsidRPr="004D252B">
        <w:rPr>
          <w:sz w:val="24"/>
          <w:lang w:val="fi-FI"/>
        </w:rPr>
        <w:tab/>
      </w:r>
      <w:r w:rsidRPr="004D252B">
        <w:rPr>
          <w:sz w:val="24"/>
          <w:lang w:val="fi-FI"/>
        </w:rPr>
        <w:t xml:space="preserve">JO C, C/2025/3593, 30.6.2025, ELI: </w:t>
      </w:r>
      <w:hyperlink r:id="rId1" w:history="1">
        <w:r w:rsidRPr="004D252B">
          <w:rPr>
            <w:rStyle w:val="Hyperlink"/>
            <w:sz w:val="24"/>
            <w:lang w:val="fi-FI"/>
          </w:rPr>
          <w:t>http://data.europa.eu/eli/C/2025/3593/oj</w:t>
        </w:r>
      </w:hyperlink>
      <w:r w:rsidRPr="004D252B">
        <w:rPr>
          <w:sz w:val="24"/>
          <w:lang w:val="fi-FI"/>
        </w:rPr>
        <w:t>.</w:t>
      </w:r>
    </w:p>
  </w:footnote>
  <w:footnote w:id="2">
    <w:p w14:paraId="0ED517D0" w14:textId="50962DAA" w:rsidR="00EF67B0" w:rsidRPr="004D252B" w:rsidRDefault="00EF67B0" w:rsidP="001B6592">
      <w:pPr>
        <w:pStyle w:val="FootnoteText"/>
        <w:ind w:left="567" w:hanging="567"/>
        <w:rPr>
          <w:sz w:val="24"/>
          <w:lang w:val="da-DK"/>
        </w:rPr>
      </w:pPr>
      <w:r w:rsidRPr="001B6592">
        <w:rPr>
          <w:rStyle w:val="FootnoteReference"/>
          <w:sz w:val="24"/>
          <w:lang w:val="pt-PT"/>
        </w:rPr>
        <w:footnoteRef/>
      </w:r>
      <w:r w:rsidR="001B6592" w:rsidRPr="004D252B">
        <w:rPr>
          <w:sz w:val="24"/>
          <w:lang w:val="da-DK"/>
        </w:rPr>
        <w:t xml:space="preserve"> </w:t>
      </w:r>
      <w:r w:rsidR="001B6592" w:rsidRPr="004D252B">
        <w:rPr>
          <w:sz w:val="24"/>
          <w:lang w:val="da-DK"/>
        </w:rPr>
        <w:tab/>
      </w:r>
      <w:r w:rsidRPr="004D252B">
        <w:rPr>
          <w:sz w:val="24"/>
          <w:lang w:val="da-DK"/>
        </w:rPr>
        <w:t>JO L 431 de 2.12.2021, p. 1, ELI: </w:t>
      </w:r>
      <w:hyperlink r:id="rId2" w:tooltip="Permite aceder ao documento através do seu identificador ELI." w:history="1">
        <w:r w:rsidRPr="004D252B">
          <w:rPr>
            <w:rStyle w:val="Hyperlink"/>
            <w:sz w:val="24"/>
            <w:lang w:val="da-DK"/>
          </w:rPr>
          <w:t>http://data.europa.eu/eli/reco/2021/2122/oj</w:t>
        </w:r>
      </w:hyperlink>
      <w:r w:rsidRPr="004D252B">
        <w:rPr>
          <w:sz w:val="24"/>
          <w:lang w:val="da-DK"/>
        </w:rPr>
        <w:t>.</w:t>
      </w:r>
    </w:p>
  </w:footnote>
  <w:footnote w:id="3">
    <w:p w14:paraId="1FFF3BD7" w14:textId="616FF0A6" w:rsidR="00EF67B0" w:rsidRPr="004D252B" w:rsidRDefault="00EF67B0" w:rsidP="001B6592">
      <w:pPr>
        <w:pStyle w:val="FootnoteText"/>
        <w:ind w:left="567" w:hanging="567"/>
        <w:rPr>
          <w:sz w:val="24"/>
          <w:lang w:val="fi-FI"/>
        </w:rPr>
      </w:pPr>
      <w:r w:rsidRPr="001B6592">
        <w:rPr>
          <w:rStyle w:val="FootnoteReference"/>
          <w:sz w:val="24"/>
          <w:lang w:val="pt-PT"/>
        </w:rPr>
        <w:footnoteRef/>
      </w:r>
      <w:r w:rsidR="001B6592" w:rsidRPr="004D252B">
        <w:rPr>
          <w:sz w:val="24"/>
          <w:lang w:val="fi-FI"/>
        </w:rPr>
        <w:t xml:space="preserve"> </w:t>
      </w:r>
      <w:r w:rsidR="001B6592" w:rsidRPr="004D252B">
        <w:rPr>
          <w:sz w:val="24"/>
          <w:lang w:val="fi-FI"/>
        </w:rPr>
        <w:tab/>
      </w:r>
      <w:r w:rsidRPr="004D252B">
        <w:rPr>
          <w:sz w:val="24"/>
          <w:lang w:val="fi-FI"/>
        </w:rPr>
        <w:t>JO C, C/2024/4183, 2.8.2024, ELI: </w:t>
      </w:r>
      <w:hyperlink r:id="rId3" w:tgtFrame="_blank" w:tooltip="Permite aceder ao documento através do seu identificador ELI." w:history="1">
        <w:r w:rsidRPr="004D252B">
          <w:rPr>
            <w:rStyle w:val="Hyperlink"/>
            <w:sz w:val="24"/>
            <w:lang w:val="fi-FI"/>
          </w:rPr>
          <w:t>http://data.europa.eu/eli/C/2024/4183/oj</w:t>
        </w:r>
      </w:hyperlink>
      <w:r w:rsidRPr="004D252B">
        <w:rPr>
          <w:sz w:val="24"/>
          <w:lang w:val="fi-FI"/>
        </w:rPr>
        <w:t>.</w:t>
      </w:r>
    </w:p>
  </w:footnote>
  <w:footnote w:id="4">
    <w:p w14:paraId="1DA76034" w14:textId="477ED337" w:rsidR="00EF67B0" w:rsidRPr="004D252B" w:rsidRDefault="00EF67B0" w:rsidP="001B6592">
      <w:pPr>
        <w:pStyle w:val="FootnoteText"/>
        <w:ind w:left="567" w:hanging="567"/>
        <w:rPr>
          <w:sz w:val="24"/>
          <w:lang w:val="fi-FI"/>
        </w:rPr>
      </w:pPr>
      <w:r w:rsidRPr="001B6592">
        <w:rPr>
          <w:rStyle w:val="FootnoteReference"/>
          <w:sz w:val="24"/>
          <w:lang w:val="pt-PT"/>
        </w:rPr>
        <w:footnoteRef/>
      </w:r>
      <w:bookmarkStart w:id="7" w:name="_Hlk223515625"/>
      <w:r w:rsidR="001B6592" w:rsidRPr="004D252B">
        <w:rPr>
          <w:sz w:val="24"/>
          <w:lang w:val="fi-FI"/>
        </w:rPr>
        <w:t xml:space="preserve"> </w:t>
      </w:r>
      <w:r w:rsidR="001B6592" w:rsidRPr="004D252B">
        <w:rPr>
          <w:sz w:val="24"/>
          <w:lang w:val="fi-FI"/>
        </w:rPr>
        <w:tab/>
      </w:r>
      <w:r w:rsidRPr="004D252B">
        <w:rPr>
          <w:sz w:val="24"/>
          <w:lang w:val="fi-FI"/>
        </w:rPr>
        <w:t>JO C, C/2024/5713, 17.10.2024, ELI: </w:t>
      </w:r>
      <w:hyperlink r:id="rId4" w:tgtFrame="_blank" w:tooltip="Permite aceder ao documento através do seu identificador ELI." w:history="1">
        <w:r w:rsidRPr="004D252B">
          <w:rPr>
            <w:rStyle w:val="Hyperlink"/>
            <w:sz w:val="24"/>
            <w:lang w:val="fi-FI"/>
          </w:rPr>
          <w:t>http://data.europa.eu/eli/C/2024/5713/oj</w:t>
        </w:r>
      </w:hyperlink>
      <w:r w:rsidRPr="004D252B">
        <w:rPr>
          <w:sz w:val="24"/>
          <w:lang w:val="fi-FI"/>
        </w:rPr>
        <w:t>.</w:t>
      </w:r>
      <w:bookmarkEnd w:id="7"/>
    </w:p>
  </w:footnote>
  <w:footnote w:id="5">
    <w:p w14:paraId="39226E1A" w14:textId="453588FA" w:rsidR="00EF67B0" w:rsidRPr="004D252B" w:rsidRDefault="00EF67B0" w:rsidP="001B6592">
      <w:pPr>
        <w:pStyle w:val="FootnoteText"/>
        <w:ind w:left="567" w:hanging="567"/>
        <w:rPr>
          <w:sz w:val="24"/>
          <w:lang w:val="da-DK"/>
        </w:rPr>
      </w:pPr>
      <w:r w:rsidRPr="001B6592">
        <w:rPr>
          <w:rStyle w:val="FootnoteReference"/>
          <w:sz w:val="24"/>
          <w:lang w:val="pt-PT"/>
        </w:rPr>
        <w:footnoteRef/>
      </w:r>
      <w:bookmarkStart w:id="8" w:name="_Hlk223515698"/>
      <w:r w:rsidR="001B6592" w:rsidRPr="004D252B">
        <w:rPr>
          <w:sz w:val="24"/>
          <w:lang w:val="da-DK"/>
        </w:rPr>
        <w:t xml:space="preserve"> </w:t>
      </w:r>
      <w:r w:rsidR="001B6592" w:rsidRPr="004D252B">
        <w:rPr>
          <w:sz w:val="24"/>
          <w:lang w:val="da-DK"/>
        </w:rPr>
        <w:tab/>
      </w:r>
      <w:r w:rsidRPr="004D252B">
        <w:rPr>
          <w:sz w:val="24"/>
          <w:lang w:val="da-DK"/>
        </w:rPr>
        <w:t>JO L 75 de 22.3.2005, p. 67, ELI: </w:t>
      </w:r>
      <w:hyperlink r:id="rId5" w:tooltip="Permite aceder ao documento através do seu identificador ELI." w:history="1">
        <w:r w:rsidRPr="004D252B">
          <w:rPr>
            <w:rStyle w:val="Hyperlink"/>
            <w:sz w:val="24"/>
            <w:lang w:val="da-DK"/>
          </w:rPr>
          <w:t>http://data.europa.eu/eli/reco/2005/251/oj</w:t>
        </w:r>
      </w:hyperlink>
      <w:r w:rsidRPr="004D252B">
        <w:rPr>
          <w:sz w:val="24"/>
          <w:lang w:val="da-DK"/>
        </w:rPr>
        <w:t>.</w:t>
      </w:r>
      <w:bookmarkEnd w:id="8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43790423">
    <w:abstractNumId w:val="9"/>
  </w:num>
  <w:num w:numId="2" w16cid:durableId="420686560">
    <w:abstractNumId w:val="9"/>
  </w:num>
  <w:num w:numId="3" w16cid:durableId="1245914233">
    <w:abstractNumId w:val="7"/>
  </w:num>
  <w:num w:numId="4" w16cid:durableId="1671254633">
    <w:abstractNumId w:val="7"/>
  </w:num>
  <w:num w:numId="5" w16cid:durableId="1003506903">
    <w:abstractNumId w:val="6"/>
  </w:num>
  <w:num w:numId="6" w16cid:durableId="767123404">
    <w:abstractNumId w:val="6"/>
  </w:num>
  <w:num w:numId="7" w16cid:durableId="1961719312">
    <w:abstractNumId w:val="5"/>
  </w:num>
  <w:num w:numId="8" w16cid:durableId="1602494094">
    <w:abstractNumId w:val="5"/>
  </w:num>
  <w:num w:numId="9" w16cid:durableId="2073189802">
    <w:abstractNumId w:val="4"/>
  </w:num>
  <w:num w:numId="10" w16cid:durableId="480780400">
    <w:abstractNumId w:val="4"/>
  </w:num>
  <w:num w:numId="11" w16cid:durableId="451872206">
    <w:abstractNumId w:val="8"/>
  </w:num>
  <w:num w:numId="12" w16cid:durableId="1500660219">
    <w:abstractNumId w:val="8"/>
  </w:num>
  <w:num w:numId="13" w16cid:durableId="18435726">
    <w:abstractNumId w:val="3"/>
  </w:num>
  <w:num w:numId="14" w16cid:durableId="2071417265">
    <w:abstractNumId w:val="3"/>
  </w:num>
  <w:num w:numId="15" w16cid:durableId="1515608503">
    <w:abstractNumId w:val="2"/>
  </w:num>
  <w:num w:numId="16" w16cid:durableId="1442067703">
    <w:abstractNumId w:val="2"/>
  </w:num>
  <w:num w:numId="17" w16cid:durableId="1412964871">
    <w:abstractNumId w:val="1"/>
  </w:num>
  <w:num w:numId="18" w16cid:durableId="1989818431">
    <w:abstractNumId w:val="1"/>
  </w:num>
  <w:num w:numId="19" w16cid:durableId="1603101337">
    <w:abstractNumId w:val="0"/>
  </w:num>
  <w:num w:numId="20" w16cid:durableId="1750882794">
    <w:abstractNumId w:val="0"/>
  </w:num>
  <w:num w:numId="21" w16cid:durableId="1815682097">
    <w:abstractNumId w:val="9"/>
  </w:num>
  <w:num w:numId="22" w16cid:durableId="883248945">
    <w:abstractNumId w:val="7"/>
  </w:num>
  <w:num w:numId="23" w16cid:durableId="1299720517">
    <w:abstractNumId w:val="6"/>
  </w:num>
  <w:num w:numId="24" w16cid:durableId="729158554">
    <w:abstractNumId w:val="5"/>
  </w:num>
  <w:num w:numId="25" w16cid:durableId="1685593275">
    <w:abstractNumId w:val="4"/>
  </w:num>
  <w:num w:numId="26" w16cid:durableId="270288554">
    <w:abstractNumId w:val="8"/>
  </w:num>
  <w:num w:numId="27" w16cid:durableId="1611087297">
    <w:abstractNumId w:val="3"/>
  </w:num>
  <w:num w:numId="28" w16cid:durableId="510605197">
    <w:abstractNumId w:val="2"/>
  </w:num>
  <w:num w:numId="29" w16cid:durableId="1903448613">
    <w:abstractNumId w:val="1"/>
  </w:num>
  <w:num w:numId="30" w16cid:durableId="2122063647">
    <w:abstractNumId w:val="0"/>
  </w:num>
  <w:num w:numId="31" w16cid:durableId="81218921">
    <w:abstractNumId w:val="9"/>
  </w:num>
  <w:num w:numId="32" w16cid:durableId="630283384">
    <w:abstractNumId w:val="7"/>
  </w:num>
  <w:num w:numId="33" w16cid:durableId="1898391992">
    <w:abstractNumId w:val="6"/>
  </w:num>
  <w:num w:numId="34" w16cid:durableId="510264559">
    <w:abstractNumId w:val="5"/>
  </w:num>
  <w:num w:numId="35" w16cid:durableId="1879052161">
    <w:abstractNumId w:val="4"/>
  </w:num>
  <w:num w:numId="36" w16cid:durableId="1606841873">
    <w:abstractNumId w:val="8"/>
  </w:num>
  <w:num w:numId="37" w16cid:durableId="1802844136">
    <w:abstractNumId w:val="3"/>
  </w:num>
  <w:num w:numId="38" w16cid:durableId="1651518354">
    <w:abstractNumId w:val="2"/>
  </w:num>
  <w:num w:numId="39" w16cid:durableId="655257844">
    <w:abstractNumId w:val="1"/>
  </w:num>
  <w:num w:numId="40" w16cid:durableId="254944857">
    <w:abstractNumId w:val="0"/>
  </w:num>
  <w:num w:numId="41" w16cid:durableId="250698081">
    <w:abstractNumId w:val="10"/>
  </w:num>
  <w:num w:numId="42" w16cid:durableId="2011520592">
    <w:abstractNumId w:val="10"/>
  </w:num>
  <w:num w:numId="43" w16cid:durableId="1854958003">
    <w:abstractNumId w:val="10"/>
  </w:num>
  <w:num w:numId="44" w16cid:durableId="12269859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6/2026"/>
    <w:docVar w:name="dvlangue" w:val="PT"/>
    <w:docVar w:name="dvnumam" w:val="0"/>
    <w:docVar w:name="dvpe" w:val="784.264"/>
    <w:docVar w:name="dvtitre" w:val="Resolução do Parlamento Europeu, de ... de ... de 2026,_x000d__x000a_ sobre o futuro ato legislativo sobre o Espaço Europeu da Investigação (EEI)(2025/2951(RSP))"/>
  </w:docVars>
  <w:rsids>
    <w:rsidRoot w:val="000D718E"/>
    <w:rsid w:val="00002272"/>
    <w:rsid w:val="00064002"/>
    <w:rsid w:val="000677B9"/>
    <w:rsid w:val="000831BA"/>
    <w:rsid w:val="000A42CC"/>
    <w:rsid w:val="000D718E"/>
    <w:rsid w:val="000E7DD9"/>
    <w:rsid w:val="0010095E"/>
    <w:rsid w:val="00122D94"/>
    <w:rsid w:val="00125B37"/>
    <w:rsid w:val="00180770"/>
    <w:rsid w:val="00187494"/>
    <w:rsid w:val="001B0F11"/>
    <w:rsid w:val="001B6592"/>
    <w:rsid w:val="001D4B5C"/>
    <w:rsid w:val="001F32AE"/>
    <w:rsid w:val="002767FF"/>
    <w:rsid w:val="002B18FE"/>
    <w:rsid w:val="002B5493"/>
    <w:rsid w:val="002C2FF9"/>
    <w:rsid w:val="00343214"/>
    <w:rsid w:val="00361C00"/>
    <w:rsid w:val="003720C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52B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64AF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574B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53F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67B0"/>
    <w:rsid w:val="00F04346"/>
    <w:rsid w:val="00F075DC"/>
    <w:rsid w:val="00F149E9"/>
    <w:rsid w:val="00F377C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4A9985"/>
  <w15:chartTrackingRefBased/>
  <w15:docId w15:val="{A5CB4610-47CE-417B-9723-556C25D62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F67B0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EF67B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720C0"/>
    <w:rPr>
      <w:sz w:val="24"/>
      <w:lang w:val="pt-PT"/>
    </w:rPr>
  </w:style>
  <w:style w:type="character" w:styleId="CommentReference">
    <w:name w:val="annotation reference"/>
    <w:basedOn w:val="DefaultParagraphFont"/>
    <w:rsid w:val="001807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8077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80770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1807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80770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1807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4183/oj" TargetMode="External"/><Relationship Id="rId2" Type="http://schemas.openxmlformats.org/officeDocument/2006/relationships/hyperlink" Target="http://data.europa.eu/eli/reco/2021/2122/oj" TargetMode="External"/><Relationship Id="rId1" Type="http://schemas.openxmlformats.org/officeDocument/2006/relationships/hyperlink" Target="http://data.europa.eu/eli/C/2025/3593/oj" TargetMode="External"/><Relationship Id="rId5" Type="http://schemas.openxmlformats.org/officeDocument/2006/relationships/hyperlink" Target="http://data.europa.eu/eli/reco/2005/251/oj" TargetMode="External"/><Relationship Id="rId4" Type="http://schemas.openxmlformats.org/officeDocument/2006/relationships/hyperlink" Target="http://data.europa.eu/eli/C/2024/571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1848</Words>
  <Characters>10330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CORISCO Vasco</cp:lastModifiedBy>
  <cp:revision>2</cp:revision>
  <cp:lastPrinted>2004-11-19T15:42:00Z</cp:lastPrinted>
  <dcterms:created xsi:type="dcterms:W3CDTF">2026-04-21T10:15:00Z</dcterms:created>
  <dcterms:modified xsi:type="dcterms:W3CDTF">2026-04-21T10:15:00Z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B10-0156/2026</vt:lpwstr>
  </property>
  <property fmtid="{D5CDD505-2E9C-101B-9397-08002B2CF9AE}" pid="4" name="&lt;Type&gt;">
    <vt:lpwstr>RR</vt:lpwstr>
  </property>
</Properties>
</file>