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6964" w14:paraId="00490C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39F593" w14:textId="77777777" w:rsidR="00751A4A" w:rsidRPr="00E66964" w:rsidRDefault="00B909F9" w:rsidP="0010095E">
            <w:pPr>
              <w:pStyle w:val="EPName"/>
            </w:pPr>
            <w:r w:rsidRPr="00E66964">
              <w:t>Európsky parlament</w:t>
            </w:r>
          </w:p>
          <w:p w14:paraId="5E8EC744" w14:textId="77777777" w:rsidR="00751A4A" w:rsidRPr="00E669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6964">
              <w:t>2024</w:t>
            </w:r>
            <w:r w:rsidR="00817416" w:rsidRPr="00E66964">
              <w:t>-202</w:t>
            </w:r>
            <w:r w:rsidRPr="00E66964">
              <w:t>9</w:t>
            </w:r>
          </w:p>
        </w:tc>
        <w:tc>
          <w:tcPr>
            <w:tcW w:w="2268" w:type="dxa"/>
            <w:shd w:val="clear" w:color="auto" w:fill="auto"/>
          </w:tcPr>
          <w:p w14:paraId="267F64C1" w14:textId="77777777" w:rsidR="00751A4A" w:rsidRPr="00E66964" w:rsidRDefault="00187494" w:rsidP="0010095E">
            <w:pPr>
              <w:pStyle w:val="EPLogo"/>
            </w:pPr>
            <w:r w:rsidRPr="00E66964">
              <w:rPr>
                <w:noProof/>
                <w:lang w:eastAsia="ja-JP"/>
              </w:rPr>
              <w:drawing>
                <wp:inline distT="0" distB="0" distL="0" distR="0" wp14:anchorId="16589B78" wp14:editId="605104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814DD2" w14:textId="77777777" w:rsidR="00D058B8" w:rsidRPr="00E66964" w:rsidRDefault="00D058B8" w:rsidP="004C5D52">
      <w:pPr>
        <w:pStyle w:val="LineTop"/>
      </w:pPr>
    </w:p>
    <w:p w14:paraId="3493187B" w14:textId="77777777" w:rsidR="00680577" w:rsidRPr="00E66964" w:rsidRDefault="00B909F9" w:rsidP="00680577">
      <w:pPr>
        <w:pStyle w:val="EPBodyTA1"/>
      </w:pPr>
      <w:r w:rsidRPr="00E66964">
        <w:t>PRIJATÉ TEXTY</w:t>
      </w:r>
    </w:p>
    <w:p w14:paraId="0A1EE875" w14:textId="77777777" w:rsidR="00D058B8" w:rsidRPr="00E66964" w:rsidRDefault="00D058B8" w:rsidP="00D058B8">
      <w:pPr>
        <w:pStyle w:val="LineBottom"/>
      </w:pPr>
    </w:p>
    <w:p w14:paraId="5EC877EA" w14:textId="7C4B03E4" w:rsidR="00B909F9" w:rsidRPr="00E66964" w:rsidRDefault="00B909F9" w:rsidP="00B909F9">
      <w:pPr>
        <w:pStyle w:val="ATHeading1"/>
      </w:pPr>
      <w:bookmarkStart w:id="0" w:name="TANumber"/>
      <w:r w:rsidRPr="00E66964">
        <w:t>P10_TA(2026)00</w:t>
      </w:r>
      <w:r w:rsidR="001211F6" w:rsidRPr="00E66964">
        <w:t>68</w:t>
      </w:r>
      <w:bookmarkEnd w:id="0"/>
    </w:p>
    <w:p w14:paraId="4BAD3AAD" w14:textId="77777777" w:rsidR="00B909F9" w:rsidRPr="00E66964" w:rsidRDefault="00B909F9" w:rsidP="00B909F9">
      <w:pPr>
        <w:pStyle w:val="ATHeading2"/>
      </w:pPr>
      <w:bookmarkStart w:id="1" w:name="title"/>
      <w:r w:rsidRPr="00E66964">
        <w:t>Pripravovaný akt o európskom výskumnom priestore (EVP)</w:t>
      </w:r>
      <w:bookmarkEnd w:id="1"/>
    </w:p>
    <w:p w14:paraId="4FB0E38D" w14:textId="77777777" w:rsidR="00B909F9" w:rsidRPr="00E66964" w:rsidRDefault="00B909F9" w:rsidP="00B909F9">
      <w:pPr>
        <w:rPr>
          <w:i/>
          <w:vanish/>
        </w:rPr>
      </w:pPr>
      <w:r w:rsidRPr="00E66964">
        <w:rPr>
          <w:i/>
        </w:rPr>
        <w:fldChar w:fldCharType="begin"/>
      </w:r>
      <w:r w:rsidRPr="00E66964">
        <w:rPr>
          <w:i/>
        </w:rPr>
        <w:instrText xml:space="preserve"> TC"(</w:instrText>
      </w:r>
      <w:bookmarkStart w:id="2" w:name="DocNumber"/>
      <w:r w:rsidRPr="00E66964">
        <w:rPr>
          <w:i/>
        </w:rPr>
        <w:instrText>B10-0156/2026</w:instrText>
      </w:r>
      <w:bookmarkEnd w:id="2"/>
      <w:r w:rsidRPr="00E66964">
        <w:rPr>
          <w:i/>
        </w:rPr>
        <w:instrText xml:space="preserve">)"\l3 \n&gt; \* MERGEFORMAT </w:instrText>
      </w:r>
      <w:r w:rsidRPr="00E66964">
        <w:rPr>
          <w:i/>
        </w:rPr>
        <w:fldChar w:fldCharType="end"/>
      </w:r>
    </w:p>
    <w:p w14:paraId="501676DB" w14:textId="77777777" w:rsidR="00B909F9" w:rsidRPr="00E66964" w:rsidRDefault="00B909F9" w:rsidP="00B909F9">
      <w:pPr>
        <w:rPr>
          <w:vanish/>
        </w:rPr>
      </w:pPr>
      <w:bookmarkStart w:id="3" w:name="PE"/>
      <w:r w:rsidRPr="00E66964">
        <w:rPr>
          <w:vanish/>
        </w:rPr>
        <w:t>PE784.264</w:t>
      </w:r>
      <w:bookmarkEnd w:id="3"/>
    </w:p>
    <w:p w14:paraId="08DA9936" w14:textId="223D9782" w:rsidR="00B909F9" w:rsidRPr="00E66964" w:rsidRDefault="00B909F9" w:rsidP="00B909F9">
      <w:pPr>
        <w:pStyle w:val="ATHeading3"/>
      </w:pPr>
      <w:bookmarkStart w:id="4" w:name="Sujet"/>
      <w:r w:rsidRPr="00E66964">
        <w:t>Uznesenie Európskeho parlamentu z</w:t>
      </w:r>
      <w:r w:rsidR="00BD41B4" w:rsidRPr="00E66964">
        <w:t> 10. marca</w:t>
      </w:r>
      <w:r w:rsidRPr="00E66964">
        <w:t xml:space="preserve"> 2026 o pripravovanom akte o európskom výskumnom priestore (EVP)</w:t>
      </w:r>
      <w:bookmarkEnd w:id="4"/>
      <w:r w:rsidRPr="00E66964">
        <w:t xml:space="preserve"> </w:t>
      </w:r>
      <w:bookmarkStart w:id="5" w:name="References"/>
      <w:r w:rsidRPr="00E66964">
        <w:t>(2025/2951(RSP))</w:t>
      </w:r>
      <w:bookmarkEnd w:id="5"/>
    </w:p>
    <w:p w14:paraId="472E0384" w14:textId="77777777" w:rsidR="0060290E" w:rsidRPr="00E66964" w:rsidRDefault="0060290E" w:rsidP="0060290E">
      <w:pPr>
        <w:tabs>
          <w:tab w:val="left" w:pos="-1104"/>
          <w:tab w:val="left" w:pos="-96"/>
          <w:tab w:val="left" w:pos="240"/>
          <w:tab w:val="left" w:pos="624"/>
          <w:tab w:val="left" w:pos="1200"/>
          <w:tab w:val="left" w:pos="1824"/>
          <w:tab w:val="left" w:pos="2400"/>
          <w:tab w:val="left" w:pos="3024"/>
          <w:tab w:val="left" w:pos="3600"/>
          <w:tab w:val="left" w:pos="4224"/>
          <w:tab w:val="left" w:pos="4800"/>
          <w:tab w:val="left" w:pos="5424"/>
          <w:tab w:val="left" w:pos="6000"/>
          <w:tab w:val="left" w:pos="6624"/>
          <w:tab w:val="left" w:pos="7200"/>
          <w:tab w:val="left" w:pos="7824"/>
          <w:tab w:val="left" w:pos="8400"/>
          <w:tab w:val="left" w:pos="9024"/>
        </w:tabs>
        <w:suppressAutoHyphens/>
        <w:spacing w:before="480" w:after="240"/>
        <w:jc w:val="both"/>
        <w:rPr>
          <w:spacing w:val="-2"/>
        </w:rPr>
      </w:pPr>
      <w:bookmarkStart w:id="6" w:name="TextBodyBegin"/>
      <w:bookmarkEnd w:id="6"/>
      <w:r w:rsidRPr="00E66964">
        <w:rPr>
          <w:i/>
        </w:rPr>
        <w:t>Európsky parlament</w:t>
      </w:r>
      <w:r w:rsidRPr="00E66964">
        <w:t>,</w:t>
      </w:r>
    </w:p>
    <w:p w14:paraId="4B49AE87" w14:textId="7E6BF01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Zmluvu o fungovaní Európskej únie (</w:t>
      </w:r>
      <w:r w:rsidR="00BD41B4" w:rsidRPr="00E66964">
        <w:t>ďalej len „</w:t>
      </w:r>
      <w:r w:rsidRPr="00E66964">
        <w:t>ZFEÚ</w:t>
      </w:r>
      <w:r w:rsidR="00BD41B4" w:rsidRPr="00E66964">
        <w:t>“</w:t>
      </w:r>
      <w:r w:rsidRPr="00E66964">
        <w:t>), a najmä na jej článok 179,</w:t>
      </w:r>
    </w:p>
    <w:p w14:paraId="64B94722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poverovací list predsedníčky Komisie z 1. decembra 2024 adresovaný komisárke zodpovednej za startupy, výskum a inovácie,</w:t>
      </w:r>
    </w:p>
    <w:p w14:paraId="32EAD83E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pracovný program Komisie na rok 2026 (COM(2025)0870),</w:t>
      </w:r>
    </w:p>
    <w:p w14:paraId="767683C8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návrh Komisie z 28. februára 2025 na odporúčanie Rady o politickom programe európskeho výskumného priestoru (2025 – 2027) (COM(2025)0062),</w:t>
      </w:r>
    </w:p>
    <w:p w14:paraId="3BAA97E0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hodnotenie európskeho výskumného priestoru Komisie za rok 2024,</w:t>
      </w:r>
    </w:p>
    <w:p w14:paraId="1A914EE9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 xml:space="preserve">so zreteľom na správu </w:t>
      </w:r>
      <w:proofErr w:type="spellStart"/>
      <w:r w:rsidRPr="00E66964">
        <w:t>Maria</w:t>
      </w:r>
      <w:proofErr w:type="spellEnd"/>
      <w:r w:rsidRPr="00E66964">
        <w:t xml:space="preserve"> </w:t>
      </w:r>
      <w:proofErr w:type="spellStart"/>
      <w:r w:rsidRPr="00E66964">
        <w:t>Draghiho</w:t>
      </w:r>
      <w:proofErr w:type="spellEnd"/>
      <w:r w:rsidRPr="00E66964">
        <w:t xml:space="preserve"> o budúcnosti európskej konkurencieschopnosti zo septembra 2024,</w:t>
      </w:r>
    </w:p>
    <w:p w14:paraId="538CEEA6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 xml:space="preserve">so zreteľom na správu </w:t>
      </w:r>
      <w:proofErr w:type="spellStart"/>
      <w:r w:rsidRPr="00E66964">
        <w:t>Enrica</w:t>
      </w:r>
      <w:proofErr w:type="spellEnd"/>
      <w:r w:rsidRPr="00E66964">
        <w:t xml:space="preserve"> </w:t>
      </w:r>
      <w:proofErr w:type="spellStart"/>
      <w:r w:rsidRPr="00E66964">
        <w:t>Lettu</w:t>
      </w:r>
      <w:proofErr w:type="spellEnd"/>
      <w:r w:rsidRPr="00E66964">
        <w:t xml:space="preserve"> s názvom Oveľa viac než len trh z apríla 2024,</w:t>
      </w:r>
    </w:p>
    <w:p w14:paraId="60AC445F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 xml:space="preserve">so zreteľom na správu nezávislej expertnej skupiny pod vedením Manuela </w:t>
      </w:r>
      <w:proofErr w:type="spellStart"/>
      <w:r w:rsidRPr="00E66964">
        <w:t>Heitora</w:t>
      </w:r>
      <w:proofErr w:type="spellEnd"/>
      <w:r w:rsidRPr="00E66964">
        <w:t xml:space="preserve"> z októbra 2024 s názvom </w:t>
      </w:r>
      <w:proofErr w:type="spellStart"/>
      <w:r w:rsidRPr="00E66964">
        <w:rPr>
          <w:i/>
          <w:iCs/>
        </w:rPr>
        <w:t>Align</w:t>
      </w:r>
      <w:proofErr w:type="spellEnd"/>
      <w:r w:rsidRPr="00E66964">
        <w:rPr>
          <w:i/>
          <w:iCs/>
        </w:rPr>
        <w:t xml:space="preserve">, </w:t>
      </w:r>
      <w:proofErr w:type="spellStart"/>
      <w:r w:rsidRPr="00E66964">
        <w:rPr>
          <w:i/>
          <w:iCs/>
        </w:rPr>
        <w:t>act</w:t>
      </w:r>
      <w:proofErr w:type="spellEnd"/>
      <w:r w:rsidRPr="00E66964">
        <w:rPr>
          <w:i/>
          <w:iCs/>
        </w:rPr>
        <w:t xml:space="preserve">, </w:t>
      </w:r>
      <w:proofErr w:type="spellStart"/>
      <w:r w:rsidRPr="00E66964">
        <w:rPr>
          <w:i/>
          <w:iCs/>
        </w:rPr>
        <w:t>accelerate</w:t>
      </w:r>
      <w:proofErr w:type="spellEnd"/>
      <w:r w:rsidRPr="00E66964">
        <w:rPr>
          <w:i/>
          <w:iCs/>
        </w:rPr>
        <w:t xml:space="preserve"> – </w:t>
      </w:r>
      <w:proofErr w:type="spellStart"/>
      <w:r w:rsidRPr="00E66964">
        <w:rPr>
          <w:i/>
          <w:iCs/>
        </w:rPr>
        <w:t>Research</w:t>
      </w:r>
      <w:proofErr w:type="spellEnd"/>
      <w:r w:rsidRPr="00E66964">
        <w:rPr>
          <w:i/>
          <w:iCs/>
        </w:rPr>
        <w:t xml:space="preserve">, </w:t>
      </w:r>
      <w:proofErr w:type="spellStart"/>
      <w:r w:rsidRPr="00E66964">
        <w:rPr>
          <w:i/>
          <w:iCs/>
        </w:rPr>
        <w:t>technology</w:t>
      </w:r>
      <w:proofErr w:type="spellEnd"/>
      <w:r w:rsidRPr="00E66964">
        <w:rPr>
          <w:i/>
          <w:iCs/>
        </w:rPr>
        <w:t xml:space="preserve"> and </w:t>
      </w:r>
      <w:proofErr w:type="spellStart"/>
      <w:r w:rsidRPr="00E66964">
        <w:rPr>
          <w:i/>
          <w:iCs/>
        </w:rPr>
        <w:t>innovation</w:t>
      </w:r>
      <w:proofErr w:type="spellEnd"/>
      <w:r w:rsidRPr="00E66964">
        <w:rPr>
          <w:i/>
          <w:iCs/>
        </w:rPr>
        <w:t xml:space="preserve"> to </w:t>
      </w:r>
      <w:proofErr w:type="spellStart"/>
      <w:r w:rsidRPr="00E66964">
        <w:rPr>
          <w:i/>
          <w:iCs/>
        </w:rPr>
        <w:t>boost</w:t>
      </w:r>
      <w:proofErr w:type="spellEnd"/>
      <w:r w:rsidRPr="00E66964">
        <w:rPr>
          <w:i/>
          <w:iCs/>
        </w:rPr>
        <w:t xml:space="preserve"> European </w:t>
      </w:r>
      <w:proofErr w:type="spellStart"/>
      <w:r w:rsidRPr="00E66964">
        <w:rPr>
          <w:i/>
          <w:iCs/>
        </w:rPr>
        <w:t>competitiveness</w:t>
      </w:r>
      <w:proofErr w:type="spellEnd"/>
      <w:r w:rsidRPr="00E66964">
        <w:t xml:space="preserve"> (Zosúladiť, konať, urýchliť – Výskum, technológie a inovácie na posilnenie európskej konkurencieschopnosti),</w:t>
      </w:r>
    </w:p>
    <w:p w14:paraId="4BC7EA32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oznámenie Komisie z 22. októbra 2024 s názvom Realizácia európskeho výskumného priestoru (EVP) – Posilnenie európskeho výskumu a inovácií: Cesta EVP a budúce smerovanie (COM(2024)0490),</w:t>
      </w:r>
    </w:p>
    <w:p w14:paraId="4F705967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 xml:space="preserve">so zreteľom na odporúčanie Rady, z 24. júna 2025, týkajúce sa politického programu </w:t>
      </w:r>
      <w:r w:rsidRPr="00E66964">
        <w:lastRenderedPageBreak/>
        <w:t>európskeho výskumného priestoru (2025 – 2027)</w:t>
      </w:r>
      <w:r w:rsidRPr="00E66964">
        <w:rPr>
          <w:rStyle w:val="FootnoteReference"/>
        </w:rPr>
        <w:footnoteReference w:id="1"/>
      </w:r>
      <w:r w:rsidRPr="00E66964">
        <w:t>,</w:t>
      </w:r>
    </w:p>
    <w:p w14:paraId="2422AB12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oznámenie Komisie z 30. septembra 2020 s názvom Nová éra výskumu a inovácie (COM(2020)0628),</w:t>
      </w:r>
    </w:p>
    <w:p w14:paraId="6109A588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odporúčanie Rady (EÚ) 2021/2122 z 26. novembra 2021 o Pakte pre výskum a inováciu v Európe</w:t>
      </w:r>
      <w:r w:rsidRPr="00E66964">
        <w:rPr>
          <w:rStyle w:val="FootnoteReference"/>
        </w:rPr>
        <w:footnoteReference w:id="2"/>
      </w:r>
      <w:r w:rsidRPr="00E66964">
        <w:t>,</w:t>
      </w:r>
    </w:p>
    <w:p w14:paraId="4A2043FF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politický program EVP 2022 – 2024,</w:t>
      </w:r>
    </w:p>
    <w:p w14:paraId="52DD7590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politický program EVP 2025 – 2027,</w:t>
      </w:r>
    </w:p>
    <w:p w14:paraId="14F3ECAF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Bonnskú deklaráciu o slobode vedeckého výskumu,</w:t>
      </w:r>
    </w:p>
    <w:p w14:paraId="6CCBA11B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svoje uznesenie zo 14. decembra 2023 o mladých výskumných pracovníkoch</w:t>
      </w:r>
      <w:r w:rsidRPr="00E66964">
        <w:rPr>
          <w:rStyle w:val="FootnoteReference"/>
        </w:rPr>
        <w:footnoteReference w:id="3"/>
      </w:r>
      <w:r w:rsidRPr="00E66964">
        <w:t>,</w:t>
      </w:r>
    </w:p>
    <w:p w14:paraId="5AF0771A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svoje uznesenie zo 17. januára 2024 s odporúčaniami pre Komisiu o podpore slobody vedeckého výskumu v EÚ</w:t>
      </w:r>
      <w:r w:rsidRPr="00E66964">
        <w:rPr>
          <w:rStyle w:val="FootnoteReference"/>
        </w:rPr>
        <w:footnoteReference w:id="4"/>
      </w:r>
      <w:r w:rsidRPr="00E66964">
        <w:t>,</w:t>
      </w:r>
    </w:p>
    <w:p w14:paraId="561608AB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odporúčanie Komisie z 11. marca 2005 týkajúce sa Európskej charty výskumných pracovníkov a Kódexu správania pre nábor výskumných pracovníkov</w:t>
      </w:r>
      <w:r w:rsidRPr="00E66964">
        <w:rPr>
          <w:rStyle w:val="FootnoteReference"/>
        </w:rPr>
        <w:footnoteReference w:id="5"/>
      </w:r>
      <w:r w:rsidRPr="00E66964">
        <w:t>,</w:t>
      </w:r>
    </w:p>
    <w:p w14:paraId="26577B5D" w14:textId="33BE3269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otázky Rade a Komisii o pripravovanom akte o európskom výskumnom priestore (EVP) (O-000007/2026 – B10-000</w:t>
      </w:r>
      <w:r w:rsidR="00E9675A" w:rsidRPr="00E66964">
        <w:t>6</w:t>
      </w:r>
      <w:r w:rsidRPr="00E66964">
        <w:t>/2026 a O-000008/2026 – B10-000</w:t>
      </w:r>
      <w:r w:rsidR="00E9675A" w:rsidRPr="00E66964">
        <w:t>7</w:t>
      </w:r>
      <w:r w:rsidRPr="00E66964">
        <w:t>/2026),</w:t>
      </w:r>
    </w:p>
    <w:p w14:paraId="05246034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článok 142 ods. 5 a článok 136 ods. 2 rokovacieho poriadku,</w:t>
      </w:r>
    </w:p>
    <w:p w14:paraId="5F8B4DF5" w14:textId="77777777" w:rsidR="0060290E" w:rsidRPr="00E66964" w:rsidRDefault="0060290E" w:rsidP="0060290E">
      <w:pPr>
        <w:pStyle w:val="NormalHanging12a"/>
      </w:pPr>
      <w:r w:rsidRPr="00E66964">
        <w:t>–</w:t>
      </w:r>
      <w:r w:rsidRPr="00E66964">
        <w:tab/>
        <w:t>so zreteľom na návrh uznesenia Výboru pre priemysel, výskum a energetiku,</w:t>
      </w:r>
    </w:p>
    <w:p w14:paraId="7E3A8A24" w14:textId="75BDD6FE" w:rsidR="0060290E" w:rsidRPr="00E66964" w:rsidRDefault="0060290E" w:rsidP="0060290E">
      <w:pPr>
        <w:pStyle w:val="NormalHanging12a"/>
      </w:pPr>
      <w:r w:rsidRPr="00E66964">
        <w:t>A.</w:t>
      </w:r>
      <w:r w:rsidRPr="00E66964">
        <w:tab/>
        <w:t>keďže v článku 179 ZFEÚ sa stanovuje cieľ posilniť vedeckú a technologickú základňu Únie prostredníctvom európskeho výskumného priestoru (</w:t>
      </w:r>
      <w:r w:rsidR="00BD41B4" w:rsidRPr="00E66964">
        <w:t>ďalej len „</w:t>
      </w:r>
      <w:r w:rsidRPr="00E66964">
        <w:t>EVP</w:t>
      </w:r>
      <w:r w:rsidR="00BD41B4" w:rsidRPr="00E66964">
        <w:t>“</w:t>
      </w:r>
      <w:r w:rsidRPr="00E66964">
        <w:t>), ktorý umožňuje voľný pohyb výskumných pracovníkov, vedeckých poznatkov a technológií, zvyšuje konkurencieschopnosť a podporuje všetky výskumné činnosti;</w:t>
      </w:r>
    </w:p>
    <w:p w14:paraId="26D274A0" w14:textId="77777777" w:rsidR="0060290E" w:rsidRPr="00E66964" w:rsidRDefault="0060290E" w:rsidP="0060290E">
      <w:pPr>
        <w:pStyle w:val="NormalHanging12a"/>
      </w:pPr>
      <w:r w:rsidRPr="00E66964">
        <w:t>B.</w:t>
      </w:r>
      <w:r w:rsidRPr="00E66964">
        <w:tab/>
        <w:t>keďže akt o EVP predstavuje kľúčovú príležitosť na posilnenie európskeho výskumu riešením štrukturálnych výziev ovplyvňujúcich výskumný a inovačný ekosystém EÚ vrátane nedostatočnej koordinácie a spolupráce, fragmentácie systému a nerovnomernej výkonnosti;</w:t>
      </w:r>
    </w:p>
    <w:p w14:paraId="72D0E72D" w14:textId="77777777" w:rsidR="0060290E" w:rsidRPr="00E66964" w:rsidRDefault="0060290E" w:rsidP="0060290E">
      <w:pPr>
        <w:pStyle w:val="NormalHanging12a"/>
      </w:pPr>
      <w:r w:rsidRPr="00E66964">
        <w:t>C.</w:t>
      </w:r>
      <w:r w:rsidRPr="00E66964">
        <w:tab/>
        <w:t>keďže akt o EVP môže pomôcť realizovať tzv. piatu slobodu stanovením spoločných noriem, zabezpečením konzistentného uplatňovania pravidiel a prispievaním k plánu dobudovania jednotného trhu do roku 2028 a vytváraním kvalitných pracovných miest;</w:t>
      </w:r>
    </w:p>
    <w:p w14:paraId="5341AD5F" w14:textId="77777777" w:rsidR="0060290E" w:rsidRPr="00E66964" w:rsidRDefault="0060290E" w:rsidP="0060290E">
      <w:pPr>
        <w:pStyle w:val="NormalHanging12a"/>
      </w:pPr>
      <w:r w:rsidRPr="00E66964">
        <w:t>D.</w:t>
      </w:r>
      <w:r w:rsidRPr="00E66964">
        <w:tab/>
        <w:t xml:space="preserve">keďže Únii stále chýba integrovaný EVP, ktorý by prilákal a udržal talenty, a to v dôsledku prekážok, ako je nedostatočná priorita investícií do výskumu a inovácií, </w:t>
      </w:r>
      <w:r w:rsidRPr="00E66964">
        <w:lastRenderedPageBreak/>
        <w:t>pričom len málo členských štátov spĺňa cieľ 3 % HDP, nedostatočná koordinácia politík v oblasti výskumu a inovácií, pretrvávajúca fragmentácia, rozdiely vo výkonnosti a nadmerná administratívna záťaž pre výskumných pracovníkov a univerzity;</w:t>
      </w:r>
    </w:p>
    <w:p w14:paraId="19A4F174" w14:textId="77777777" w:rsidR="0060290E" w:rsidRPr="00E66964" w:rsidRDefault="0060290E" w:rsidP="0060290E">
      <w:pPr>
        <w:pStyle w:val="NormalHanging12a"/>
      </w:pPr>
      <w:r w:rsidRPr="00E66964">
        <w:t>E.</w:t>
      </w:r>
      <w:r w:rsidRPr="00E66964">
        <w:tab/>
        <w:t>keďže politický program EVP slúži ako cenný nezáväzný rámec, ktorým sa riadia politiky na vnútroštátnej úrovni a na úrovni EÚ v súlade s cieľmi článku 179 ZFEÚ a podporuje dobrovoľná koordinácia a spolupráca medzi členskými štátmi a Úniou; keďže tieto ciele musia byť doplnené ustanoveniami a stimulmi v rámci budúceho aktu o EVP a nástrojmi, ako je európsky semester, aby sa poskytol pevnejší základ pre súdržný a vysokovýkonný EVP;</w:t>
      </w:r>
    </w:p>
    <w:p w14:paraId="67CF9DBE" w14:textId="77777777" w:rsidR="0060290E" w:rsidRPr="00E66964" w:rsidRDefault="0060290E" w:rsidP="0060290E">
      <w:pPr>
        <w:pStyle w:val="NormalHanging12a"/>
      </w:pPr>
      <w:r w:rsidRPr="00E66964">
        <w:t>F.</w:t>
      </w:r>
      <w:r w:rsidRPr="00E66964">
        <w:tab/>
        <w:t xml:space="preserve">keďže sloboda vedeckého výskumu vrátane nezávislosti a inštitucionálnej autonómie výskumných pracovníkov, </w:t>
      </w:r>
      <w:proofErr w:type="spellStart"/>
      <w:r w:rsidRPr="00E66964">
        <w:t>excelentnosti</w:t>
      </w:r>
      <w:proofErr w:type="spellEnd"/>
      <w:r w:rsidRPr="00E66964">
        <w:t>, otvorenosti a sociálnej zodpovednosti sú základnými hodnotami EVP a sú nevyhnutné pre demokraciu, konkurencieschopnosť a inovačnú kapacitu Európy, čím sa Európa stáva bezpečným útočiskom pre výskumných pracovníkov z celého sveta;</w:t>
      </w:r>
    </w:p>
    <w:p w14:paraId="22E3817B" w14:textId="77777777" w:rsidR="0060290E" w:rsidRPr="00E66964" w:rsidRDefault="0060290E" w:rsidP="0060290E">
      <w:pPr>
        <w:pStyle w:val="NormalHanging12a"/>
      </w:pPr>
      <w:r w:rsidRPr="00E66964">
        <w:t>1.</w:t>
      </w:r>
      <w:r w:rsidRPr="00E66964">
        <w:tab/>
        <w:t>podporuje zosúladenie priorít Únie a vnútroštátnych priorít v oblasti výskumu a inovácií s cieľom zabezpečiť komplementárnosť, zintenzívniť spoluprácu medzi univerzitami, výskumnými organizáciami, regiónmi, členskými štátmi a priemyselnými odvetviami, vytvoriť účinný rámec riadenia, zatraktívniť kariéru vo výskume a súkromné investície a dosiahnuť cieľ Únie investovať 3 % HDP do výskumu a vývoja;</w:t>
      </w:r>
    </w:p>
    <w:p w14:paraId="0CEAFE0A" w14:textId="77777777" w:rsidR="0060290E" w:rsidRPr="00E66964" w:rsidRDefault="0060290E" w:rsidP="0060290E">
      <w:pPr>
        <w:pStyle w:val="NormalHanging12a"/>
      </w:pPr>
      <w:r w:rsidRPr="00E66964">
        <w:t>2.</w:t>
      </w:r>
      <w:r w:rsidRPr="00E66964">
        <w:tab/>
        <w:t>požaduje dvojúrovňový prístup dobrovoľnej spolupráce v rámci politického programu EVP na roky 2025 – 2027 v kombinácii s legislatívnymi opatreniami vrátane aktu o EVP a doplnkovými iniciatívami s cieľom poskytnúť EVP záväzný a vykonateľný rámec;</w:t>
      </w:r>
    </w:p>
    <w:p w14:paraId="2E207B82" w14:textId="77777777" w:rsidR="0060290E" w:rsidRPr="00E66964" w:rsidRDefault="0060290E" w:rsidP="0060290E">
      <w:pPr>
        <w:pStyle w:val="NormalHanging12a"/>
      </w:pPr>
      <w:r w:rsidRPr="00E66964">
        <w:t>3.</w:t>
      </w:r>
      <w:r w:rsidRPr="00E66964">
        <w:tab/>
        <w:t>odporúča, aby bol akt o EVP nariadením na dosiahnutie cieľov článku 179 ZFEÚ, ktoré zabezpečí priamu uplatniteľnosť vo všetkých členských štátoch, podnieti súkromné investície do výskumu a vývoja, voľný pohyb výskumných pracovníkov, vedeckých poznatkov a technológií a prispeje k zníženiu fragmentácie jednotného trhu;</w:t>
      </w:r>
    </w:p>
    <w:p w14:paraId="2F2EF4B5" w14:textId="77777777" w:rsidR="0060290E" w:rsidRPr="00E66964" w:rsidRDefault="0060290E" w:rsidP="0060290E">
      <w:pPr>
        <w:pStyle w:val="NormalHanging12a"/>
      </w:pPr>
      <w:r w:rsidRPr="00E66964">
        <w:t>4.</w:t>
      </w:r>
      <w:r w:rsidRPr="00E66964">
        <w:tab/>
        <w:t>opätovne potvrdzuje význam slobody vedeckého výskumu a inštitucionálnej autonómie; žiada, aby návrh aktu o EVP sprevádzal samostatný legislatívny návrh s osobitným právnym základom na ochranu základnej slobody vedeckého výskumu vrátane minimálnych noriem pre práva výskumných pracovníkov, etické správanie, integritu a inštitucionálnu nezávislosť a aby bol podporovaný účinnými monitorovacími mechanizmami;</w:t>
      </w:r>
    </w:p>
    <w:p w14:paraId="376E8C5C" w14:textId="77777777" w:rsidR="0060290E" w:rsidRPr="00E66964" w:rsidRDefault="0060290E" w:rsidP="0060290E">
      <w:pPr>
        <w:pStyle w:val="NormalHanging12a"/>
      </w:pPr>
      <w:r w:rsidRPr="00E66964">
        <w:t>5.</w:t>
      </w:r>
      <w:r w:rsidRPr="00E66964">
        <w:tab/>
        <w:t>žiada, aby akt o EVP zahŕňal cieľ Únie investovať do roku 2030 aspoň 3 % HDP Únie do výskumu a vývoja, doplnený o vnútroštátne ciele pre celkové výdavky na výskum a vývoj, čo prispeje k cieľu Únie; vyzýva členské štáty, aby zlepšili koordináciu investícií do výskumu a vývoja prostredníctvom vnútroštátnych plánov a cieľov s cieľom zabezpečiť komplementárnosť verejného a súkromného financovania; uznáva, že spoločnosti a priemyselné odvetvia zamerané na výskum sú kľúčom k stimulovaniu súkromných investícií, dosiahnutiu cieľa 3 % a podpore kvalitných pracovných miest;</w:t>
      </w:r>
    </w:p>
    <w:p w14:paraId="270B7FA3" w14:textId="77777777" w:rsidR="0060290E" w:rsidRPr="00E66964" w:rsidRDefault="0060290E" w:rsidP="0060290E">
      <w:pPr>
        <w:pStyle w:val="NormalHanging12a"/>
      </w:pPr>
      <w:r w:rsidRPr="00E66964">
        <w:t>6.</w:t>
      </w:r>
      <w:r w:rsidRPr="00E66964">
        <w:tab/>
        <w:t xml:space="preserve">požaduje ustanovenia na posilnenie účasti súkromného sektora na ekosystéme výskumu a inovácií EÚ prostredníctvom užšej koordinácie a verejno-súkromných partnerstiev s cieľom riešiť pretrvávajúce investičné medzery a fragmentáciu trhu a dokončiť úniu </w:t>
      </w:r>
      <w:r w:rsidRPr="00E66964">
        <w:lastRenderedPageBreak/>
        <w:t>kapitálových trhov s cieľom urýchliť zhodnocovanie vedomostí, posilniť technologickú suverenitu a podporiť regionálne inovačné ekosystémy;</w:t>
      </w:r>
    </w:p>
    <w:p w14:paraId="230D1D3D" w14:textId="64BCC3D4" w:rsidR="007C0E14" w:rsidRPr="00E66964" w:rsidRDefault="00595226" w:rsidP="0060290E">
      <w:pPr>
        <w:pStyle w:val="NormalHanging12a"/>
      </w:pPr>
      <w:r w:rsidRPr="00E66964">
        <w:t>7</w:t>
      </w:r>
      <w:r w:rsidR="007C0E14" w:rsidRPr="00E66964">
        <w:t>.</w:t>
      </w:r>
      <w:r w:rsidR="007C0E14" w:rsidRPr="00E66964">
        <w:tab/>
        <w:t>vyzýva na zvýšenú podporu verejného výskumu posilnením financovania európskych programov, ako je Horizont Európa; nabáda členské štáty, aby zvýšili finančné zdroje pre univerzity a verejné výskumné organizácie;</w:t>
      </w:r>
    </w:p>
    <w:p w14:paraId="7F2C5E5D" w14:textId="38B199BF" w:rsidR="0060290E" w:rsidRPr="00E66964" w:rsidRDefault="00595226" w:rsidP="0060290E">
      <w:pPr>
        <w:pStyle w:val="NormalHanging12a"/>
      </w:pPr>
      <w:r w:rsidRPr="00E66964">
        <w:t>8</w:t>
      </w:r>
      <w:r w:rsidR="0060290E" w:rsidRPr="00E66964">
        <w:t>.</w:t>
      </w:r>
      <w:r w:rsidR="0060290E" w:rsidRPr="00E66964">
        <w:tab/>
        <w:t>vyzýva členské štáty, aby uskutočnili reformy s cieľom odstrániť prekážky voľného pohybu výskumných pracovníkov a znalostí a posilniť cezhraničnú spoluprácu a inovácie, aby sa Európa stala inkluzívnou a atraktívnou svetovou výskumnou komunitou;</w:t>
      </w:r>
    </w:p>
    <w:p w14:paraId="642D00EE" w14:textId="10640649" w:rsidR="0060290E" w:rsidRPr="00E66964" w:rsidRDefault="00595226" w:rsidP="0060290E">
      <w:pPr>
        <w:pStyle w:val="NormalHanging12a"/>
      </w:pPr>
      <w:r w:rsidRPr="00E66964">
        <w:t>9</w:t>
      </w:r>
      <w:r w:rsidR="0060290E" w:rsidRPr="00E66964">
        <w:t>.</w:t>
      </w:r>
      <w:r w:rsidR="0060290E" w:rsidRPr="00E66964">
        <w:tab/>
        <w:t>odporúča, aby sa v akte o EVP používalo plánovanie, merateľné ukazovatele a nástroje monitorovania, podávania správ a hodnotenia a aby sa usiloval o zabezpečenie rovnováhy medzi oblasťami výskumu a základným a aplikovaným výskumom;</w:t>
      </w:r>
    </w:p>
    <w:p w14:paraId="2D89A113" w14:textId="6851E673" w:rsidR="0060290E" w:rsidRPr="00E66964" w:rsidRDefault="00595226" w:rsidP="0060290E">
      <w:pPr>
        <w:pStyle w:val="NormalHanging12a"/>
      </w:pPr>
      <w:r w:rsidRPr="00E66964">
        <w:t>10</w:t>
      </w:r>
      <w:r w:rsidR="0060290E" w:rsidRPr="00E66964">
        <w:t>.</w:t>
      </w:r>
      <w:r w:rsidR="0060290E" w:rsidRPr="00E66964">
        <w:tab/>
        <w:t>vyzýva na posilnenie riadenia EVP a na racionalizáciu existujúcich politických a monitorovacích nástrojov;</w:t>
      </w:r>
    </w:p>
    <w:p w14:paraId="13F51DFD" w14:textId="2902B201" w:rsidR="0060290E" w:rsidRPr="00E66964" w:rsidRDefault="00595226" w:rsidP="0060290E">
      <w:pPr>
        <w:pStyle w:val="NormalHanging12a"/>
      </w:pPr>
      <w:r w:rsidRPr="00E66964">
        <w:t>11</w:t>
      </w:r>
      <w:r w:rsidR="0060290E" w:rsidRPr="00E66964">
        <w:t>.</w:t>
      </w:r>
      <w:r w:rsidR="0060290E" w:rsidRPr="00E66964">
        <w:tab/>
        <w:t>vyzýva Komisiu a členské štáty, aby posilnili koordináciu medzi vnútroštátnymi iniciatívami a iniciatívami EÚ v oblasti výskumu a inovácií v súlade so všeobecnými prioritami EVP a zabezpečili synergie medzi vnútroštátnymi a úniovými nástrojmi a politikami financovania s cieľom posilniť vedúce postavenie Európy v oblasti vedy a technológií na celosvetovej úrovni;</w:t>
      </w:r>
    </w:p>
    <w:p w14:paraId="3D8C1C59" w14:textId="67739D3D" w:rsidR="0060290E" w:rsidRPr="00E66964" w:rsidRDefault="00595226" w:rsidP="0060290E">
      <w:pPr>
        <w:pStyle w:val="NormalHanging12a"/>
      </w:pPr>
      <w:r w:rsidRPr="00E66964">
        <w:t>12</w:t>
      </w:r>
      <w:r w:rsidR="0060290E" w:rsidRPr="00E66964">
        <w:t>.</w:t>
      </w:r>
      <w:r w:rsidR="0060290E" w:rsidRPr="00E66964">
        <w:tab/>
        <w:t xml:space="preserve">požaduje silnejšie a </w:t>
      </w:r>
      <w:proofErr w:type="spellStart"/>
      <w:r w:rsidR="0060290E" w:rsidRPr="00E66964">
        <w:t>inkluzívnejšie</w:t>
      </w:r>
      <w:proofErr w:type="spellEnd"/>
      <w:r w:rsidR="0060290E" w:rsidRPr="00E66964">
        <w:t xml:space="preserve"> európske inovačné a technologické ekosystémy na podporu spolupráce medzi univerzitami, výskumnými inštitúciami, startupmi, MSP a priemyslom s cieľom zabezpečiť účinný a bezpečný prenos znalostí a lepšie využívanie výsledkov európskymi spoločnosťami a podporovať zvyšovanie úrovne zručností, rekvalifikáciu a celoživotné vzdelávanie; zdôrazňuje, že je potrebné riešiť rozdiely v oblasti výskumu a inovácií medzi členskými štátmi, najmä tými s nižšou výkonnosťou v oblasti výskumu a inovácií, s cieľom zlepšiť ich účasť na programoch Únie;</w:t>
      </w:r>
    </w:p>
    <w:p w14:paraId="432846F7" w14:textId="596414EF" w:rsidR="0060290E" w:rsidRPr="00E66964" w:rsidRDefault="00595226" w:rsidP="0060290E">
      <w:pPr>
        <w:pStyle w:val="NormalHanging12a"/>
      </w:pPr>
      <w:r w:rsidRPr="00E66964">
        <w:t>13</w:t>
      </w:r>
      <w:r w:rsidR="0060290E" w:rsidRPr="00E66964">
        <w:t>.</w:t>
      </w:r>
      <w:r w:rsidR="0060290E" w:rsidRPr="00E66964">
        <w:tab/>
        <w:t>zdôrazňuje, že fungujúci EVP si vyžaduje voľný pohyb výskumných pracovníkov a znalostí a cezhraničnú spoluprácu; požaduje konkrétne opatrenia na uľahčenie a zjednodušenie kariérnych dráh výskumných pracovníkov, najmä mladých výskumných pracovníkov a výskumných pracovníkov na začiatku kariéry, zlepšenie mobility, vzájomné uznávanie kvalifikácií a zjednodušenie vízových postupov; opakuje svoju podporu Európskej charte výskumných pracovníkov; konštatuje, že práca na diaľku a hybridná práca vytvárajú príležitosti pre výskumných pracovníkov pracovať v iných členských štátoch bez premiestnenia;</w:t>
      </w:r>
    </w:p>
    <w:p w14:paraId="7B375A41" w14:textId="6F84049D" w:rsidR="0060290E" w:rsidRPr="00E66964" w:rsidRDefault="00595226" w:rsidP="0060290E">
      <w:pPr>
        <w:pStyle w:val="NormalHanging12a"/>
      </w:pPr>
      <w:r w:rsidRPr="00E66964">
        <w:t>14</w:t>
      </w:r>
      <w:r w:rsidR="0060290E" w:rsidRPr="00E66964">
        <w:t>.</w:t>
      </w:r>
      <w:r w:rsidR="0060290E" w:rsidRPr="00E66964">
        <w:tab/>
        <w:t>naliehavo vyzýva Komisiu a členské štáty, aby presadzovali rodovú rovnosť a rovnaké príležitosti v oblasti výskumu a inovácií, najmä v nedostatočne zastúpených odvetviach, a zároveň znižovali rozdiely v odmeňovaní žien a mužov;</w:t>
      </w:r>
    </w:p>
    <w:p w14:paraId="158E585E" w14:textId="36B1FB8A" w:rsidR="0060290E" w:rsidRPr="00E66964" w:rsidRDefault="00595226" w:rsidP="0060290E">
      <w:pPr>
        <w:pStyle w:val="NormalHanging12a"/>
      </w:pPr>
      <w:r w:rsidRPr="00E66964">
        <w:t>15</w:t>
      </w:r>
      <w:r w:rsidR="0060290E" w:rsidRPr="00E66964">
        <w:t>.</w:t>
      </w:r>
      <w:r w:rsidR="0060290E" w:rsidRPr="00E66964">
        <w:tab/>
        <w:t xml:space="preserve">zdôrazňuje, že je potrebné zabezpečiť otvorený a bezpečný obeh vedomostí, lepšiu prístupnosť výskumnej infraštruktúry, zhodnocovanie vedomostí a etické a dôveryhodné využívanie vznikajúcich technológií vrátane umelej inteligencie v súlade s hodnotami a základnými právami EÚ; zdôrazňuje význam bezpečnosti, integrity a účinného šírenia výskumu financovaného z verejných zdrojov, a to aj v knižniciach, pri </w:t>
      </w:r>
      <w:r w:rsidR="0060290E" w:rsidRPr="00E66964">
        <w:lastRenderedPageBreak/>
        <w:t>súčasnom zabezpečení ochrany práv duševného vlastníctva;</w:t>
      </w:r>
    </w:p>
    <w:p w14:paraId="10E0BF3B" w14:textId="650BA463" w:rsidR="0060290E" w:rsidRPr="00E66964" w:rsidRDefault="00595226" w:rsidP="0060290E">
      <w:pPr>
        <w:pStyle w:val="NormalHanging12a"/>
      </w:pPr>
      <w:r w:rsidRPr="00E66964">
        <w:t>16</w:t>
      </w:r>
      <w:r w:rsidR="0060290E" w:rsidRPr="00E66964">
        <w:t>.</w:t>
      </w:r>
      <w:r w:rsidR="0060290E" w:rsidRPr="00E66964">
        <w:tab/>
        <w:t>odporúča, aby bol akt o EVP zosúladený s existujúcimi a budúcimi iniciatívami, ako je inovačný akt, Pakt pre výskum a inováciu, rámcový program a európsky vzdelávací priestor, s cieľom zabezpečiť vzájomne sa posilňujúce reformy, zavádzanie inovácií, mobilitu talentov a financovanie;</w:t>
      </w:r>
    </w:p>
    <w:p w14:paraId="7CC1B55F" w14:textId="0AAE6035" w:rsidR="00E365E1" w:rsidRPr="00E66964" w:rsidRDefault="00595226" w:rsidP="00851320">
      <w:r w:rsidRPr="00E66964">
        <w:t>17</w:t>
      </w:r>
      <w:r w:rsidR="0060290E" w:rsidRPr="00E66964">
        <w:t>.</w:t>
      </w:r>
      <w:r w:rsidR="0060290E" w:rsidRPr="00E66964">
        <w:tab/>
        <w:t>poveruje svoju predsedníčku, aby postúpila toto uznesenie Komisii a Rade.</w:t>
      </w:r>
    </w:p>
    <w:sectPr w:rsidR="00E365E1" w:rsidRPr="00E66964" w:rsidSect="008513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311F8" w14:textId="77777777" w:rsidR="00B909F9" w:rsidRPr="00851320" w:rsidRDefault="00B909F9">
      <w:r w:rsidRPr="00851320">
        <w:separator/>
      </w:r>
    </w:p>
  </w:endnote>
  <w:endnote w:type="continuationSeparator" w:id="0">
    <w:p w14:paraId="4A8670A5" w14:textId="77777777" w:rsidR="00B909F9" w:rsidRPr="00851320" w:rsidRDefault="00B909F9">
      <w:r w:rsidRPr="008513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1FE" w14:textId="77777777" w:rsidR="00064002" w:rsidRPr="008513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CA748" w14:textId="77777777" w:rsidR="00064002" w:rsidRPr="008513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D985A" w14:textId="77777777" w:rsidR="00064002" w:rsidRPr="008513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82348" w14:textId="77777777" w:rsidR="00B909F9" w:rsidRPr="00851320" w:rsidRDefault="00B909F9">
      <w:r w:rsidRPr="00851320">
        <w:separator/>
      </w:r>
    </w:p>
  </w:footnote>
  <w:footnote w:type="continuationSeparator" w:id="0">
    <w:p w14:paraId="21D7D93D" w14:textId="77777777" w:rsidR="00B909F9" w:rsidRPr="00851320" w:rsidRDefault="00B909F9">
      <w:r w:rsidRPr="00851320">
        <w:continuationSeparator/>
      </w:r>
    </w:p>
  </w:footnote>
  <w:footnote w:id="1">
    <w:p w14:paraId="52D276FF" w14:textId="61E62377" w:rsidR="0060290E" w:rsidRPr="00851320" w:rsidRDefault="0060290E" w:rsidP="00851320">
      <w:pPr>
        <w:pStyle w:val="FootnoteText"/>
        <w:ind w:left="567" w:hanging="567"/>
        <w:rPr>
          <w:sz w:val="24"/>
          <w:lang w:val="sk-SK"/>
        </w:rPr>
      </w:pPr>
      <w:r w:rsidRPr="00851320">
        <w:rPr>
          <w:rStyle w:val="FootnoteReference"/>
          <w:sz w:val="24"/>
          <w:lang w:val="sk-SK"/>
        </w:rPr>
        <w:footnoteRef/>
      </w:r>
      <w:r w:rsidR="00851320" w:rsidRPr="00851320">
        <w:rPr>
          <w:sz w:val="24"/>
          <w:lang w:val="sk-SK"/>
        </w:rPr>
        <w:t xml:space="preserve"> </w:t>
      </w:r>
      <w:r w:rsidR="00851320" w:rsidRPr="00851320">
        <w:rPr>
          <w:sz w:val="24"/>
          <w:lang w:val="sk-SK"/>
        </w:rPr>
        <w:tab/>
      </w:r>
      <w:r w:rsidRPr="00851320">
        <w:rPr>
          <w:sz w:val="24"/>
          <w:lang w:val="sk-SK"/>
        </w:rPr>
        <w:t xml:space="preserve">Ú. v. EÚ C, C/2025/3593, 30.6.2025, ELI: </w:t>
      </w:r>
      <w:hyperlink r:id="rId1" w:history="1">
        <w:r w:rsidRPr="00851320">
          <w:rPr>
            <w:rStyle w:val="Hyperlink"/>
            <w:sz w:val="24"/>
            <w:lang w:val="sk-SK"/>
          </w:rPr>
          <w:t>http://data.europa.eu/eli/C/2025/3593/oj</w:t>
        </w:r>
      </w:hyperlink>
      <w:r w:rsidRPr="00851320">
        <w:rPr>
          <w:sz w:val="24"/>
          <w:lang w:val="sk-SK"/>
        </w:rPr>
        <w:t>.</w:t>
      </w:r>
    </w:p>
  </w:footnote>
  <w:footnote w:id="2">
    <w:p w14:paraId="6F2BFD3C" w14:textId="66E84480" w:rsidR="0060290E" w:rsidRPr="00851320" w:rsidRDefault="0060290E" w:rsidP="00851320">
      <w:pPr>
        <w:pStyle w:val="FootnoteText"/>
        <w:ind w:left="567" w:hanging="567"/>
        <w:rPr>
          <w:sz w:val="24"/>
          <w:lang w:val="sk-SK"/>
        </w:rPr>
      </w:pPr>
      <w:r w:rsidRPr="00851320">
        <w:rPr>
          <w:rStyle w:val="FootnoteReference"/>
          <w:sz w:val="24"/>
          <w:lang w:val="sk-SK"/>
        </w:rPr>
        <w:footnoteRef/>
      </w:r>
      <w:r w:rsidR="00851320" w:rsidRPr="00851320">
        <w:rPr>
          <w:sz w:val="24"/>
          <w:lang w:val="sk-SK"/>
        </w:rPr>
        <w:t xml:space="preserve"> </w:t>
      </w:r>
      <w:r w:rsidR="00851320" w:rsidRPr="00851320">
        <w:rPr>
          <w:sz w:val="24"/>
          <w:lang w:val="sk-SK"/>
        </w:rPr>
        <w:tab/>
      </w:r>
      <w:r w:rsidRPr="00851320">
        <w:rPr>
          <w:sz w:val="24"/>
          <w:lang w:val="sk-SK"/>
        </w:rPr>
        <w:t>Ú. v. EÚ L 431, 2.12.2021, s. </w:t>
      </w:r>
      <w:r w:rsidRPr="00851320">
        <w:rPr>
          <w:sz w:val="24"/>
          <w:lang w:val="sk-SK"/>
        </w:rPr>
        <w:t>1, ELI: </w:t>
      </w:r>
      <w:hyperlink r:id="rId2" w:tooltip="Umožňuje prístup k tomuto dokumentu prostredníctvom identifikátora URI používaného v rámci ELI." w:history="1">
        <w:r w:rsidRPr="00851320">
          <w:rPr>
            <w:rStyle w:val="Hyperlink"/>
            <w:sz w:val="24"/>
            <w:lang w:val="sk-SK"/>
          </w:rPr>
          <w:t>http://data.europa.eu/eli/reco/2021/2122/oj</w:t>
        </w:r>
      </w:hyperlink>
      <w:r w:rsidRPr="00851320">
        <w:rPr>
          <w:sz w:val="24"/>
          <w:lang w:val="sk-SK"/>
        </w:rPr>
        <w:t>.</w:t>
      </w:r>
    </w:p>
  </w:footnote>
  <w:footnote w:id="3">
    <w:p w14:paraId="059ED685" w14:textId="3CF37F72" w:rsidR="0060290E" w:rsidRPr="00851320" w:rsidRDefault="0060290E" w:rsidP="00851320">
      <w:pPr>
        <w:pStyle w:val="FootnoteText"/>
        <w:ind w:left="567" w:hanging="567"/>
        <w:rPr>
          <w:sz w:val="24"/>
          <w:lang w:val="sk-SK"/>
        </w:rPr>
      </w:pPr>
      <w:r w:rsidRPr="00851320">
        <w:rPr>
          <w:rStyle w:val="FootnoteReference"/>
          <w:sz w:val="24"/>
          <w:lang w:val="sk-SK"/>
        </w:rPr>
        <w:footnoteRef/>
      </w:r>
      <w:r w:rsidR="00851320" w:rsidRPr="00851320">
        <w:rPr>
          <w:sz w:val="24"/>
          <w:lang w:val="sk-SK"/>
        </w:rPr>
        <w:t xml:space="preserve"> </w:t>
      </w:r>
      <w:r w:rsidR="00851320" w:rsidRPr="00851320">
        <w:rPr>
          <w:sz w:val="24"/>
          <w:lang w:val="sk-SK"/>
        </w:rPr>
        <w:tab/>
      </w:r>
      <w:r w:rsidRPr="00851320">
        <w:rPr>
          <w:sz w:val="24"/>
          <w:lang w:val="sk-SK"/>
        </w:rPr>
        <w:t>Ú. v. </w:t>
      </w:r>
      <w:r w:rsidRPr="00851320">
        <w:rPr>
          <w:sz w:val="24"/>
          <w:lang w:val="sk-SK"/>
        </w:rPr>
        <w:t>EÚ C, C/2024/4183, 2.8.2024, ELI: </w:t>
      </w:r>
      <w:hyperlink r:id="rId3" w:tgtFrame="_blank" w:tooltip="Umožňuje prístup k tomuto dokumentu prostredníctvom identifikátora URI používaného v rámci ELI." w:history="1">
        <w:r w:rsidRPr="00851320">
          <w:rPr>
            <w:rStyle w:val="Hyperlink"/>
            <w:sz w:val="24"/>
            <w:lang w:val="sk-SK"/>
          </w:rPr>
          <w:t>http://data.europa.eu/eli/C/2024/4183/oj</w:t>
        </w:r>
      </w:hyperlink>
      <w:r w:rsidRPr="00851320">
        <w:rPr>
          <w:sz w:val="24"/>
          <w:lang w:val="sk-SK"/>
        </w:rPr>
        <w:t>.</w:t>
      </w:r>
    </w:p>
  </w:footnote>
  <w:footnote w:id="4">
    <w:p w14:paraId="39985933" w14:textId="46D81F7E" w:rsidR="0060290E" w:rsidRPr="00851320" w:rsidRDefault="0060290E" w:rsidP="00851320">
      <w:pPr>
        <w:pStyle w:val="FootnoteText"/>
        <w:ind w:left="567" w:hanging="567"/>
        <w:rPr>
          <w:sz w:val="24"/>
          <w:lang w:val="sk-SK"/>
        </w:rPr>
      </w:pPr>
      <w:r w:rsidRPr="00851320">
        <w:rPr>
          <w:rStyle w:val="FootnoteReference"/>
          <w:sz w:val="24"/>
          <w:lang w:val="sk-SK"/>
        </w:rPr>
        <w:footnoteRef/>
      </w:r>
      <w:bookmarkStart w:id="7" w:name="_Hlk223515625"/>
      <w:r w:rsidR="00851320" w:rsidRPr="00851320">
        <w:rPr>
          <w:sz w:val="24"/>
          <w:lang w:val="sk-SK"/>
        </w:rPr>
        <w:t xml:space="preserve"> </w:t>
      </w:r>
      <w:r w:rsidR="00851320" w:rsidRPr="00851320">
        <w:rPr>
          <w:sz w:val="24"/>
          <w:lang w:val="sk-SK"/>
        </w:rPr>
        <w:tab/>
      </w:r>
      <w:r w:rsidRPr="00851320">
        <w:rPr>
          <w:sz w:val="24"/>
          <w:lang w:val="sk-SK"/>
        </w:rPr>
        <w:t xml:space="preserve">Ú. v. </w:t>
      </w:r>
      <w:r w:rsidRPr="00851320">
        <w:rPr>
          <w:sz w:val="24"/>
          <w:lang w:val="sk-SK"/>
        </w:rPr>
        <w:t>EÚ C, C/2024/5713, 17.10.2024, ELI: </w:t>
      </w:r>
      <w:hyperlink r:id="rId4" w:tgtFrame="_blank" w:tooltip="Umožňuje prístup k tomuto dokumentu prostredníctvom identifikátora URI používaného v rámci ELI." w:history="1">
        <w:r w:rsidRPr="00851320">
          <w:rPr>
            <w:rStyle w:val="Hyperlink"/>
            <w:sz w:val="24"/>
            <w:lang w:val="sk-SK"/>
          </w:rPr>
          <w:t>http://data.europa.eu/eli/C/2024/5713/oj</w:t>
        </w:r>
      </w:hyperlink>
      <w:r w:rsidRPr="00851320">
        <w:rPr>
          <w:sz w:val="24"/>
          <w:lang w:val="sk-SK"/>
        </w:rPr>
        <w:t>.</w:t>
      </w:r>
      <w:bookmarkEnd w:id="7"/>
    </w:p>
  </w:footnote>
  <w:footnote w:id="5">
    <w:p w14:paraId="24A2CBCD" w14:textId="7BD55522" w:rsidR="0060290E" w:rsidRPr="00851320" w:rsidRDefault="0060290E" w:rsidP="00851320">
      <w:pPr>
        <w:pStyle w:val="FootnoteText"/>
        <w:ind w:left="567" w:hanging="567"/>
        <w:rPr>
          <w:sz w:val="24"/>
          <w:lang w:val="sk-SK"/>
        </w:rPr>
      </w:pPr>
      <w:r w:rsidRPr="00851320">
        <w:rPr>
          <w:rStyle w:val="FootnoteReference"/>
          <w:sz w:val="24"/>
          <w:lang w:val="sk-SK"/>
        </w:rPr>
        <w:footnoteRef/>
      </w:r>
      <w:bookmarkStart w:id="8" w:name="_Hlk223515698"/>
      <w:r w:rsidR="00851320" w:rsidRPr="00851320">
        <w:rPr>
          <w:sz w:val="24"/>
          <w:lang w:val="sk-SK"/>
        </w:rPr>
        <w:t xml:space="preserve"> </w:t>
      </w:r>
      <w:r w:rsidR="00851320" w:rsidRPr="00851320">
        <w:rPr>
          <w:sz w:val="24"/>
          <w:lang w:val="sk-SK"/>
        </w:rPr>
        <w:tab/>
      </w:r>
      <w:r w:rsidRPr="00851320">
        <w:rPr>
          <w:sz w:val="24"/>
          <w:lang w:val="sk-SK"/>
        </w:rPr>
        <w:t>Ú. v. EÚ L 75, 22.3.2005, s. </w:t>
      </w:r>
      <w:r w:rsidRPr="00851320">
        <w:rPr>
          <w:sz w:val="24"/>
          <w:lang w:val="sk-SK"/>
        </w:rPr>
        <w:t>67, ELI: </w:t>
      </w:r>
      <w:hyperlink r:id="rId5" w:tooltip="Umožňuje prístup k tomuto dokumentu prostredníctvom identifikátora URI používaného v rámci ELI." w:history="1">
        <w:r w:rsidRPr="00851320">
          <w:rPr>
            <w:rStyle w:val="Hyperlink"/>
            <w:sz w:val="24"/>
            <w:lang w:val="sk-SK"/>
          </w:rPr>
          <w:t>http://data.europa.eu/eli/reco/2005/251/oj</w:t>
        </w:r>
      </w:hyperlink>
      <w:r w:rsidRPr="00851320">
        <w:rPr>
          <w:sz w:val="24"/>
          <w:lang w:val="sk-SK"/>
        </w:rPr>
        <w:t>.</w:t>
      </w:r>
      <w:bookmarkEnd w:id="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AD4A7" w14:textId="77777777" w:rsidR="00064002" w:rsidRPr="008513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D8261" w14:textId="77777777" w:rsidR="00064002" w:rsidRPr="008513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673EC" w14:textId="77777777" w:rsidR="00064002" w:rsidRPr="008513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921337">
    <w:abstractNumId w:val="9"/>
  </w:num>
  <w:num w:numId="2" w16cid:durableId="1717002307">
    <w:abstractNumId w:val="9"/>
  </w:num>
  <w:num w:numId="3" w16cid:durableId="1400397586">
    <w:abstractNumId w:val="7"/>
  </w:num>
  <w:num w:numId="4" w16cid:durableId="1877614918">
    <w:abstractNumId w:val="7"/>
  </w:num>
  <w:num w:numId="5" w16cid:durableId="1679503188">
    <w:abstractNumId w:val="6"/>
  </w:num>
  <w:num w:numId="6" w16cid:durableId="1035614693">
    <w:abstractNumId w:val="6"/>
  </w:num>
  <w:num w:numId="7" w16cid:durableId="942153675">
    <w:abstractNumId w:val="5"/>
  </w:num>
  <w:num w:numId="8" w16cid:durableId="1846286879">
    <w:abstractNumId w:val="5"/>
  </w:num>
  <w:num w:numId="9" w16cid:durableId="1361518245">
    <w:abstractNumId w:val="4"/>
  </w:num>
  <w:num w:numId="10" w16cid:durableId="1051802430">
    <w:abstractNumId w:val="4"/>
  </w:num>
  <w:num w:numId="11" w16cid:durableId="1826777470">
    <w:abstractNumId w:val="8"/>
  </w:num>
  <w:num w:numId="12" w16cid:durableId="1504782396">
    <w:abstractNumId w:val="8"/>
  </w:num>
  <w:num w:numId="13" w16cid:durableId="1665160449">
    <w:abstractNumId w:val="3"/>
  </w:num>
  <w:num w:numId="14" w16cid:durableId="995230896">
    <w:abstractNumId w:val="3"/>
  </w:num>
  <w:num w:numId="15" w16cid:durableId="1208833545">
    <w:abstractNumId w:val="2"/>
  </w:num>
  <w:num w:numId="16" w16cid:durableId="2068264552">
    <w:abstractNumId w:val="2"/>
  </w:num>
  <w:num w:numId="17" w16cid:durableId="62414532">
    <w:abstractNumId w:val="1"/>
  </w:num>
  <w:num w:numId="18" w16cid:durableId="1504314863">
    <w:abstractNumId w:val="1"/>
  </w:num>
  <w:num w:numId="19" w16cid:durableId="740953670">
    <w:abstractNumId w:val="0"/>
  </w:num>
  <w:num w:numId="20" w16cid:durableId="347296300">
    <w:abstractNumId w:val="0"/>
  </w:num>
  <w:num w:numId="21" w16cid:durableId="404687801">
    <w:abstractNumId w:val="9"/>
  </w:num>
  <w:num w:numId="22" w16cid:durableId="40713896">
    <w:abstractNumId w:val="7"/>
  </w:num>
  <w:num w:numId="23" w16cid:durableId="480579622">
    <w:abstractNumId w:val="6"/>
  </w:num>
  <w:num w:numId="24" w16cid:durableId="1414280338">
    <w:abstractNumId w:val="5"/>
  </w:num>
  <w:num w:numId="25" w16cid:durableId="101724532">
    <w:abstractNumId w:val="4"/>
  </w:num>
  <w:num w:numId="26" w16cid:durableId="253058509">
    <w:abstractNumId w:val="8"/>
  </w:num>
  <w:num w:numId="27" w16cid:durableId="1026171437">
    <w:abstractNumId w:val="3"/>
  </w:num>
  <w:num w:numId="28" w16cid:durableId="479615565">
    <w:abstractNumId w:val="2"/>
  </w:num>
  <w:num w:numId="29" w16cid:durableId="593517183">
    <w:abstractNumId w:val="1"/>
  </w:num>
  <w:num w:numId="30" w16cid:durableId="2141486067">
    <w:abstractNumId w:val="0"/>
  </w:num>
  <w:num w:numId="31" w16cid:durableId="164781971">
    <w:abstractNumId w:val="9"/>
  </w:num>
  <w:num w:numId="32" w16cid:durableId="1671786765">
    <w:abstractNumId w:val="7"/>
  </w:num>
  <w:num w:numId="33" w16cid:durableId="668555161">
    <w:abstractNumId w:val="6"/>
  </w:num>
  <w:num w:numId="34" w16cid:durableId="277681001">
    <w:abstractNumId w:val="5"/>
  </w:num>
  <w:num w:numId="35" w16cid:durableId="725684140">
    <w:abstractNumId w:val="4"/>
  </w:num>
  <w:num w:numId="36" w16cid:durableId="401028306">
    <w:abstractNumId w:val="8"/>
  </w:num>
  <w:num w:numId="37" w16cid:durableId="1514372531">
    <w:abstractNumId w:val="3"/>
  </w:num>
  <w:num w:numId="38" w16cid:durableId="1707411564">
    <w:abstractNumId w:val="2"/>
  </w:num>
  <w:num w:numId="39" w16cid:durableId="1265841457">
    <w:abstractNumId w:val="1"/>
  </w:num>
  <w:num w:numId="40" w16cid:durableId="722560107">
    <w:abstractNumId w:val="0"/>
  </w:num>
  <w:num w:numId="41" w16cid:durableId="906497781">
    <w:abstractNumId w:val="10"/>
  </w:num>
  <w:num w:numId="42" w16cid:durableId="366028000">
    <w:abstractNumId w:val="10"/>
  </w:num>
  <w:num w:numId="43" w16cid:durableId="1270308341">
    <w:abstractNumId w:val="10"/>
  </w:num>
  <w:num w:numId="44" w16cid:durableId="603880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6/2026"/>
    <w:docVar w:name="dvlangue" w:val="SK"/>
    <w:docVar w:name="dvnumam" w:val="0"/>
    <w:docVar w:name="dvpe" w:val="784.264"/>
    <w:docVar w:name="dvtitre" w:val="Uznesenie Európskeho parlamentu z/zo xx. xxx 2026 o pripravovanom akte o európskom výskumnom priestore (EVP)(2025/2951(RSP))"/>
  </w:docVars>
  <w:rsids>
    <w:rsidRoot w:val="00B909F9"/>
    <w:rsid w:val="00002272"/>
    <w:rsid w:val="00064002"/>
    <w:rsid w:val="000677B9"/>
    <w:rsid w:val="000831BA"/>
    <w:rsid w:val="000A42CC"/>
    <w:rsid w:val="000E7DD9"/>
    <w:rsid w:val="0010095E"/>
    <w:rsid w:val="0010732F"/>
    <w:rsid w:val="001211F6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226"/>
    <w:rsid w:val="005C2568"/>
    <w:rsid w:val="005F1B17"/>
    <w:rsid w:val="0060290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E14"/>
    <w:rsid w:val="007D1690"/>
    <w:rsid w:val="007E22AD"/>
    <w:rsid w:val="00817416"/>
    <w:rsid w:val="00842779"/>
    <w:rsid w:val="0085132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050"/>
    <w:rsid w:val="00A1687D"/>
    <w:rsid w:val="00A403F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9F9"/>
    <w:rsid w:val="00BD41B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98D"/>
    <w:rsid w:val="00E66964"/>
    <w:rsid w:val="00E820A4"/>
    <w:rsid w:val="00E9675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A5CA2"/>
  <w15:chartTrackingRefBased/>
  <w15:docId w15:val="{57209B18-0534-48B1-A49C-52315425A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0290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60290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D41B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183/oj" TargetMode="External"/><Relationship Id="rId2" Type="http://schemas.openxmlformats.org/officeDocument/2006/relationships/hyperlink" Target="http://data.europa.eu/eli/reco/2021/2122/oj" TargetMode="External"/><Relationship Id="rId1" Type="http://schemas.openxmlformats.org/officeDocument/2006/relationships/hyperlink" Target="http://data.europa.eu/eli/C/2025/3593/oj" TargetMode="External"/><Relationship Id="rId5" Type="http://schemas.openxmlformats.org/officeDocument/2006/relationships/hyperlink" Target="http://data.europa.eu/eli/reco/2005/251/oj." TargetMode="External"/><Relationship Id="rId4" Type="http://schemas.openxmlformats.org/officeDocument/2006/relationships/hyperlink" Target="http://data.europa.eu/eli/C/2024/57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1429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2026-03-10T15:33:00Z</dcterms:created>
  <dcterms:modified xsi:type="dcterms:W3CDTF">2026-03-10T15:33:00Z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B10-0156/2026</vt:lpwstr>
  </property>
  <property fmtid="{D5CDD505-2E9C-101B-9397-08002B2CF9AE}" pid="4" name="&lt;Type&gt;">
    <vt:lpwstr>RR</vt:lpwstr>
  </property>
</Properties>
</file>