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05DF" w14:paraId="78C12E89" w14:textId="77777777" w:rsidTr="0010095E">
        <w:trPr>
          <w:trHeight w:hRule="exact" w:val="1418"/>
        </w:trPr>
        <w:tc>
          <w:tcPr>
            <w:tcW w:w="6804" w:type="dxa"/>
            <w:shd w:val="clear" w:color="auto" w:fill="auto"/>
            <w:vAlign w:val="center"/>
          </w:tcPr>
          <w:p w14:paraId="22D95D52" w14:textId="77777777" w:rsidR="00751A4A" w:rsidRPr="006205DF" w:rsidRDefault="00340682" w:rsidP="0010095E">
            <w:pPr>
              <w:pStyle w:val="EPName"/>
            </w:pPr>
            <w:r w:rsidRPr="006205DF">
              <w:t>Europa-Parlamentet</w:t>
            </w:r>
          </w:p>
          <w:p w14:paraId="07DDD687" w14:textId="77777777" w:rsidR="00751A4A" w:rsidRPr="006205DF" w:rsidRDefault="005F1B17" w:rsidP="005F1B17">
            <w:pPr>
              <w:pStyle w:val="EPTerm"/>
              <w:rPr>
                <w:rStyle w:val="HideTWBExt"/>
                <w:noProof w:val="0"/>
                <w:vanish w:val="0"/>
                <w:color w:val="auto"/>
              </w:rPr>
            </w:pPr>
            <w:r w:rsidRPr="006205DF">
              <w:t>2024</w:t>
            </w:r>
            <w:r w:rsidR="00817416" w:rsidRPr="006205DF">
              <w:t>-202</w:t>
            </w:r>
            <w:r w:rsidRPr="006205DF">
              <w:t>9</w:t>
            </w:r>
          </w:p>
        </w:tc>
        <w:tc>
          <w:tcPr>
            <w:tcW w:w="2268" w:type="dxa"/>
            <w:shd w:val="clear" w:color="auto" w:fill="auto"/>
          </w:tcPr>
          <w:p w14:paraId="647BB44F" w14:textId="77777777" w:rsidR="00751A4A" w:rsidRPr="006205DF" w:rsidRDefault="00187494" w:rsidP="0010095E">
            <w:pPr>
              <w:pStyle w:val="EPLogo"/>
            </w:pPr>
            <w:r w:rsidRPr="006205DF">
              <w:rPr>
                <w:noProof/>
                <w:lang w:eastAsia="ja-JP"/>
              </w:rPr>
              <w:drawing>
                <wp:inline distT="0" distB="0" distL="0" distR="0" wp14:anchorId="4F78D637" wp14:editId="69BEE8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2336EE" w14:textId="77777777" w:rsidR="00D058B8" w:rsidRPr="006205DF" w:rsidRDefault="00D058B8" w:rsidP="004C5D52">
      <w:pPr>
        <w:pStyle w:val="LineTop"/>
      </w:pPr>
    </w:p>
    <w:p w14:paraId="2FFF175D" w14:textId="77777777" w:rsidR="00680577" w:rsidRPr="006205DF" w:rsidRDefault="00340682" w:rsidP="00680577">
      <w:pPr>
        <w:pStyle w:val="EPBodyTA1"/>
      </w:pPr>
      <w:r w:rsidRPr="006205DF">
        <w:t>VEDTAGNE TEKSTER</w:t>
      </w:r>
    </w:p>
    <w:p w14:paraId="68300886" w14:textId="77777777" w:rsidR="00D058B8" w:rsidRPr="006205DF" w:rsidRDefault="00D058B8" w:rsidP="00D058B8">
      <w:pPr>
        <w:pStyle w:val="LineBottom"/>
      </w:pPr>
    </w:p>
    <w:p w14:paraId="15C3F04C" w14:textId="2F7AE077" w:rsidR="00340682" w:rsidRPr="006205DF" w:rsidRDefault="00340682" w:rsidP="00340682">
      <w:pPr>
        <w:pStyle w:val="ATHeading1"/>
      </w:pPr>
      <w:bookmarkStart w:id="0" w:name="TANumber"/>
      <w:r w:rsidRPr="006205DF">
        <w:t>P10_</w:t>
      </w:r>
      <w:proofErr w:type="gramStart"/>
      <w:r w:rsidRPr="006205DF">
        <w:t>TA(</w:t>
      </w:r>
      <w:proofErr w:type="gramEnd"/>
      <w:r w:rsidRPr="006205DF">
        <w:t>2026)00</w:t>
      </w:r>
      <w:bookmarkEnd w:id="0"/>
      <w:r w:rsidR="007B60A5">
        <w:t>69</w:t>
      </w:r>
    </w:p>
    <w:p w14:paraId="18E65181" w14:textId="70FAD1F0" w:rsidR="00340682" w:rsidRPr="00D33F92" w:rsidRDefault="00D33F92" w:rsidP="00340682">
      <w:pPr>
        <w:pStyle w:val="ATHeading2"/>
      </w:pPr>
      <w:r w:rsidRPr="00145CAF">
        <w:rPr>
          <w:bCs/>
        </w:rPr>
        <w:t>Rammeaftale om forbindelserne mellem Europa-Parlamentet og Europa-Kommissionen</w:t>
      </w:r>
    </w:p>
    <w:p w14:paraId="56D176B0" w14:textId="77777777" w:rsidR="00340682" w:rsidRPr="006205DF" w:rsidRDefault="00340682" w:rsidP="00340682">
      <w:pPr>
        <w:rPr>
          <w:i/>
          <w:vanish/>
        </w:rPr>
      </w:pPr>
      <w:r w:rsidRPr="006205DF">
        <w:rPr>
          <w:i/>
        </w:rPr>
        <w:fldChar w:fldCharType="begin"/>
      </w:r>
      <w:r w:rsidRPr="006205DF">
        <w:rPr>
          <w:i/>
        </w:rPr>
        <w:instrText xml:space="preserve"> TC"(</w:instrText>
      </w:r>
      <w:bookmarkStart w:id="1" w:name="DocNumber"/>
      <w:r w:rsidRPr="006205DF">
        <w:rPr>
          <w:i/>
        </w:rPr>
        <w:instrText>A10-0031/2026</w:instrText>
      </w:r>
      <w:bookmarkEnd w:id="1"/>
      <w:r w:rsidRPr="006205DF">
        <w:rPr>
          <w:i/>
        </w:rPr>
        <w:instrText xml:space="preserve"> - Ordfører: Sven Simon)"\l3 \n&gt; \* MERGEFORMAT </w:instrText>
      </w:r>
      <w:r w:rsidRPr="006205DF">
        <w:rPr>
          <w:i/>
        </w:rPr>
        <w:fldChar w:fldCharType="end"/>
      </w:r>
    </w:p>
    <w:p w14:paraId="3CC319F3" w14:textId="77777777" w:rsidR="00340682" w:rsidRPr="006205DF" w:rsidRDefault="00340682" w:rsidP="00340682">
      <w:pPr>
        <w:rPr>
          <w:vanish/>
        </w:rPr>
      </w:pPr>
      <w:bookmarkStart w:id="2" w:name="Commission"/>
      <w:r w:rsidRPr="006205DF">
        <w:rPr>
          <w:vanish/>
        </w:rPr>
        <w:t>Udvalget om Konstitutionelle Anliggender</w:t>
      </w:r>
      <w:bookmarkEnd w:id="2"/>
    </w:p>
    <w:p w14:paraId="23C75B37" w14:textId="77777777" w:rsidR="00340682" w:rsidRPr="006205DF" w:rsidRDefault="00340682" w:rsidP="00340682">
      <w:pPr>
        <w:rPr>
          <w:vanish/>
        </w:rPr>
      </w:pPr>
      <w:bookmarkStart w:id="3" w:name="PE"/>
      <w:r w:rsidRPr="006205DF">
        <w:rPr>
          <w:vanish/>
        </w:rPr>
        <w:t>PE781.475</w:t>
      </w:r>
      <w:bookmarkEnd w:id="3"/>
    </w:p>
    <w:p w14:paraId="320321F3" w14:textId="469108F3" w:rsidR="00340682" w:rsidRPr="006205DF" w:rsidRDefault="00340682" w:rsidP="00340682">
      <w:pPr>
        <w:pStyle w:val="ATHeading3"/>
      </w:pPr>
      <w:bookmarkStart w:id="4" w:name="Sujet"/>
      <w:r w:rsidRPr="006205DF">
        <w:t xml:space="preserve">Europa-Parlamentets afgørelse af </w:t>
      </w:r>
      <w:r w:rsidR="00652507">
        <w:t>11</w:t>
      </w:r>
      <w:r w:rsidRPr="006205DF">
        <w:t>.</w:t>
      </w:r>
      <w:r w:rsidR="00D33F92">
        <w:t xml:space="preserve"> marts</w:t>
      </w:r>
      <w:r w:rsidRPr="006205DF">
        <w:t xml:space="preserve"> 2026 om revisionen af rammeaftalen om forbindelserne mellem Europa-Parlamentet og Europa-Kommissionen</w:t>
      </w:r>
      <w:bookmarkEnd w:id="4"/>
      <w:r w:rsidRPr="006205DF">
        <w:t xml:space="preserve"> </w:t>
      </w:r>
      <w:bookmarkStart w:id="5" w:name="References"/>
      <w:r w:rsidRPr="006205DF">
        <w:t>(2025/2243(ACI))</w:t>
      </w:r>
      <w:bookmarkEnd w:id="5"/>
    </w:p>
    <w:p w14:paraId="50F3168F" w14:textId="77777777" w:rsidR="009D5C32" w:rsidRPr="006205DF" w:rsidRDefault="009D5C32" w:rsidP="009D5C32">
      <w:pPr>
        <w:pStyle w:val="EPComma"/>
      </w:pPr>
      <w:r w:rsidRPr="006205DF">
        <w:rPr>
          <w:i/>
        </w:rPr>
        <w:t>Europa-Parlamentet</w:t>
      </w:r>
      <w:r w:rsidRPr="006205DF">
        <w:t>,</w:t>
      </w:r>
    </w:p>
    <w:p w14:paraId="18B55DB1" w14:textId="77777777" w:rsidR="009D5C32" w:rsidRPr="006205DF" w:rsidRDefault="009D5C32" w:rsidP="009D5C32">
      <w:pPr>
        <w:pStyle w:val="NormalHanging12a"/>
      </w:pPr>
      <w:r w:rsidRPr="006205DF">
        <w:t>–</w:t>
      </w:r>
      <w:r w:rsidRPr="006205DF">
        <w:tab/>
        <w:t>der henviser til den nuværende rammeaftale om forbindelserne mellem Europa-Parlamentet og Kommissionen,</w:t>
      </w:r>
    </w:p>
    <w:p w14:paraId="00D81ECE" w14:textId="77777777" w:rsidR="009D5C32" w:rsidRPr="006205DF" w:rsidRDefault="009D5C32" w:rsidP="009D5C32">
      <w:pPr>
        <w:pStyle w:val="NormalHanging12a"/>
      </w:pPr>
      <w:r w:rsidRPr="006205DF">
        <w:t>–</w:t>
      </w:r>
      <w:r w:rsidRPr="006205DF">
        <w:tab/>
        <w:t>der henviser til artikel 295 i traktaten om Den Europæiske Unions funktionsmåde,</w:t>
      </w:r>
    </w:p>
    <w:p w14:paraId="7E226D98" w14:textId="77777777" w:rsidR="009D5C32" w:rsidRPr="006205DF" w:rsidRDefault="009D5C32" w:rsidP="009D5C32">
      <w:pPr>
        <w:pStyle w:val="NormalHanging12a"/>
      </w:pPr>
      <w:r w:rsidRPr="006205DF">
        <w:t>–</w:t>
      </w:r>
      <w:r w:rsidRPr="006205DF">
        <w:tab/>
        <w:t xml:space="preserve">der henviser til tilsagnet fra den daværende kandidat til posten som formand for Europa-Kommissionen, Ursula von der </w:t>
      </w:r>
      <w:proofErr w:type="spellStart"/>
      <w:r w:rsidRPr="006205DF">
        <w:t>Leyen</w:t>
      </w:r>
      <w:proofErr w:type="spellEnd"/>
      <w:r w:rsidRPr="006205DF">
        <w:t>, på Formandskonferencens ekstraordinære møde den 2. juli 2024 om at revidere og forbedre rammeaftalen,</w:t>
      </w:r>
    </w:p>
    <w:p w14:paraId="09D3593C" w14:textId="77777777" w:rsidR="009D5C32" w:rsidRPr="006205DF" w:rsidRDefault="009D5C32" w:rsidP="009D5C32">
      <w:pPr>
        <w:pStyle w:val="NormalHanging12a"/>
      </w:pPr>
      <w:r w:rsidRPr="006205DF">
        <w:t>–</w:t>
      </w:r>
      <w:r w:rsidRPr="006205DF">
        <w:tab/>
        <w:t>der henviser til Formandskonferencens afgørelse af 11. juli 2024 om at iværksætte revisionen af rammeaftalen om forbindelserne mellem Europa-Parlamentet og Europa-Kommissionen,</w:t>
      </w:r>
    </w:p>
    <w:p w14:paraId="0C12F8F0" w14:textId="77777777" w:rsidR="009D5C32" w:rsidRPr="006205DF" w:rsidRDefault="009D5C32" w:rsidP="009D5C32">
      <w:pPr>
        <w:pStyle w:val="NormalHanging12a"/>
      </w:pPr>
      <w:r w:rsidRPr="006205DF">
        <w:t>–</w:t>
      </w:r>
      <w:r w:rsidRPr="006205DF">
        <w:tab/>
        <w:t xml:space="preserve">der henviser til skrivelse af 12. juli 2024 fra Europa-Parlamentets formand, Roberta </w:t>
      </w:r>
      <w:proofErr w:type="spellStart"/>
      <w:r w:rsidRPr="006205DF">
        <w:t>Metsola</w:t>
      </w:r>
      <w:proofErr w:type="spellEnd"/>
      <w:r w:rsidRPr="006205DF">
        <w:t xml:space="preserve">, til Ursula von der </w:t>
      </w:r>
      <w:proofErr w:type="spellStart"/>
      <w:r w:rsidRPr="006205DF">
        <w:t>Leyen</w:t>
      </w:r>
      <w:proofErr w:type="spellEnd"/>
      <w:r w:rsidRPr="006205DF">
        <w:t>, den daværende kandidat til posten som formand for Europa-Kommissionen,</w:t>
      </w:r>
    </w:p>
    <w:p w14:paraId="4EE4D41F" w14:textId="77777777" w:rsidR="009D5C32" w:rsidRPr="006205DF" w:rsidRDefault="009D5C32" w:rsidP="009D5C32">
      <w:pPr>
        <w:pStyle w:val="NormalHanging12a"/>
      </w:pPr>
      <w:r w:rsidRPr="006205DF">
        <w:t>–</w:t>
      </w:r>
      <w:r w:rsidRPr="006205DF">
        <w:tab/>
        <w:t xml:space="preserve">der henviser til den fælles erklæring af 21. oktober 2024 fra Europa-Parlamentets formand, Roberta </w:t>
      </w:r>
      <w:proofErr w:type="spellStart"/>
      <w:r w:rsidRPr="006205DF">
        <w:t>Metsola</w:t>
      </w:r>
      <w:proofErr w:type="spellEnd"/>
      <w:r w:rsidRPr="006205DF">
        <w:t xml:space="preserve">, og Europa-Kommissionens formand, Ursula von der </w:t>
      </w:r>
      <w:proofErr w:type="spellStart"/>
      <w:r w:rsidRPr="006205DF">
        <w:t>Leyen</w:t>
      </w:r>
      <w:proofErr w:type="spellEnd"/>
      <w:r w:rsidRPr="006205DF">
        <w:t>, om revisionen af rammeaftalen, navnlig de ni politiske prioriteter, der er fastlagt deri,</w:t>
      </w:r>
    </w:p>
    <w:p w14:paraId="3BAA874C" w14:textId="77777777" w:rsidR="009D5C32" w:rsidRPr="006205DF" w:rsidRDefault="009D5C32" w:rsidP="009D5C32">
      <w:pPr>
        <w:pStyle w:val="NormalHanging12a"/>
      </w:pPr>
      <w:r w:rsidRPr="006205DF">
        <w:t>–</w:t>
      </w:r>
      <w:r w:rsidRPr="006205DF">
        <w:tab/>
        <w:t>der henviser til Formandskonferencens afgørelse af 11. september 2025 om godkendelse af resultatet af forhandlingerne og den foreløbige aftale, der blev indgået den 9. september 2025 (i det følgende benævnt "aftalen"),</w:t>
      </w:r>
    </w:p>
    <w:p w14:paraId="181546E1" w14:textId="77777777" w:rsidR="009D5C32" w:rsidRPr="006205DF" w:rsidRDefault="009D5C32" w:rsidP="009D5C32">
      <w:pPr>
        <w:pStyle w:val="NormalHanging12a"/>
      </w:pPr>
      <w:r w:rsidRPr="006205DF">
        <w:t>–</w:t>
      </w:r>
      <w:r w:rsidRPr="006205DF">
        <w:tab/>
        <w:t>der henviser til forretningsordenens artikel 154, stk. 1,</w:t>
      </w:r>
    </w:p>
    <w:p w14:paraId="034CD82B" w14:textId="77777777" w:rsidR="009D5C32" w:rsidRPr="006205DF" w:rsidRDefault="009D5C32" w:rsidP="009D5C32">
      <w:pPr>
        <w:pStyle w:val="NormalHanging12a"/>
      </w:pPr>
      <w:r w:rsidRPr="006205DF">
        <w:t>–</w:t>
      </w:r>
      <w:r w:rsidRPr="006205DF">
        <w:tab/>
        <w:t>der henviser til betænkning fra Udvalget om Konstitutionelle Anliggender (A10-0031/2026),</w:t>
      </w:r>
    </w:p>
    <w:p w14:paraId="360DA677" w14:textId="77777777" w:rsidR="009D5C32" w:rsidRPr="006205DF" w:rsidRDefault="009D5C32" w:rsidP="009D5C32">
      <w:pPr>
        <w:pStyle w:val="NormalHanging12a"/>
      </w:pPr>
      <w:r w:rsidRPr="006205DF">
        <w:lastRenderedPageBreak/>
        <w:t>A.</w:t>
      </w:r>
      <w:r w:rsidRPr="006205DF">
        <w:tab/>
        <w:t>der henviser til, at traktaterne indeholder et udtrykkeligt retsgrundlag for interinstitutionelle aftaler, som giver mulighed for at indgå sådanne aftaler i overensstemmelse med traktaterne, herunder princippet om kompetencetildeling, der ikke giver mulighed for nogen udvidelse af EU-institutionernes beføjelser ud over traktaternes anvendelsesområde,</w:t>
      </w:r>
    </w:p>
    <w:p w14:paraId="44B7E997" w14:textId="77777777" w:rsidR="009D5C32" w:rsidRPr="006205DF" w:rsidRDefault="009D5C32" w:rsidP="009D5C32">
      <w:pPr>
        <w:pStyle w:val="NormalHanging12a"/>
      </w:pPr>
      <w:r w:rsidRPr="006205DF">
        <w:t>B.</w:t>
      </w:r>
      <w:r w:rsidRPr="006205DF">
        <w:tab/>
        <w:t>der henviser til, at traktaten om Den Europæiske Union og traktaten om Den Europæiske Unions funktionsmåde placerer Parlamentet på lige fod med Rådet i den almindelige lovgivningsprocedure og i budgetspørgsmål og styrker dets rolle i EU's udenrigspolitik med undtagelse af den rolle, der vedrører den fælles udenrigs- og sikkerhedspolitik,</w:t>
      </w:r>
    </w:p>
    <w:p w14:paraId="5E8925D6" w14:textId="77777777" w:rsidR="009D5C32" w:rsidRPr="006205DF" w:rsidRDefault="009D5C32" w:rsidP="009D5C32">
      <w:pPr>
        <w:pStyle w:val="NormalHanging12a"/>
      </w:pPr>
      <w:r w:rsidRPr="006205DF">
        <w:t>C.</w:t>
      </w:r>
      <w:r w:rsidRPr="006205DF">
        <w:tab/>
        <w:t>der henviser til, at artikel 122 i TEUF giver Rådet hjemmel til at vedtage ekstraordinære foranstaltninger på grundlag af et forslag fra Kommissionen,</w:t>
      </w:r>
    </w:p>
    <w:p w14:paraId="4E7D76BB" w14:textId="77777777" w:rsidR="009D5C32" w:rsidRPr="006205DF" w:rsidRDefault="009D5C32" w:rsidP="009D5C32">
      <w:pPr>
        <w:pStyle w:val="NormalHanging12a"/>
      </w:pPr>
      <w:r w:rsidRPr="006205DF">
        <w:t>D.</w:t>
      </w:r>
      <w:r w:rsidRPr="006205DF">
        <w:tab/>
        <w:t>der henviser til, at artikel 225 i TEUF giver Parlamentet initiativret til at anmode Kommissionen om at fremsætte et forslag til EU-retsakt,</w:t>
      </w:r>
    </w:p>
    <w:p w14:paraId="3E40C4AB" w14:textId="77777777" w:rsidR="009D5C32" w:rsidRPr="006205DF" w:rsidRDefault="009D5C32" w:rsidP="009D5C32">
      <w:pPr>
        <w:pStyle w:val="NormalHanging12a"/>
        <w:rPr>
          <w:b/>
          <w:i/>
        </w:rPr>
      </w:pPr>
      <w:r w:rsidRPr="006205DF">
        <w:t>E.</w:t>
      </w:r>
      <w:r w:rsidRPr="006205DF">
        <w:tab/>
        <w:t>der henviser til, at rammeaftalen om forbindelserne mellem Parlamentet og Kommissionen går tilbage til 2010, og at det interinstitutionelle samarbejde har udviklet sig betydeligt siden da, hvilket afspejles i reformen "Parlamentet 2024" og den efterfølgende revision af Parlamentets forretningsorden, der blev vedtaget i april 2024, der henviser til, at rammeaftalen har til formål at sikre overensstemmelse med traktaterne og sikre den praktiske gennemførelse af Europa-Parlamentets tilsyns-, kontrol- og budgetbeføjelser,</w:t>
      </w:r>
    </w:p>
    <w:p w14:paraId="55C59AB4" w14:textId="77777777" w:rsidR="009D5C32" w:rsidRPr="006205DF" w:rsidRDefault="009D5C32" w:rsidP="009D5C32">
      <w:pPr>
        <w:pStyle w:val="NormalHanging12a"/>
        <w:rPr>
          <w:bCs/>
          <w:iCs/>
        </w:rPr>
      </w:pPr>
      <w:r w:rsidRPr="006205DF">
        <w:t>F.</w:t>
      </w:r>
      <w:r w:rsidRPr="006205DF">
        <w:tab/>
        <w:t>der henviser til, at de to institutioner tillægger princippet om institutionel ligevægt og princippet om gensidigt loyalt samarbejde som fastsat i artikel 13, stk. 2, i TEU den allerstørste betydning,</w:t>
      </w:r>
    </w:p>
    <w:p w14:paraId="18CCC947" w14:textId="77777777" w:rsidR="009D5C32" w:rsidRPr="006205DF" w:rsidRDefault="009D5C32" w:rsidP="009D5C32">
      <w:pPr>
        <w:pStyle w:val="NormalHanging12a"/>
      </w:pPr>
      <w:r w:rsidRPr="006205DF">
        <w:t>G.</w:t>
      </w:r>
      <w:r w:rsidRPr="006205DF">
        <w:tab/>
        <w:t>der henviser til, at i en fælles vurdering af gennemførelsen af rammeaftalen, der blev foretaget på teknisk plan efter aftale med Kommissionens formand, blev behovet for at ajourføre og forbedre nogle af dens bestemmelser for bedre at afspejle den institutionelle ligevægt og for fuldt ud at gennemføre Parlamentets prærogativer som nedfældet i traktaterne med hensyn til Parlamentets lovgivnings-, budget- og kontrolbeføjelser understreget,</w:t>
      </w:r>
    </w:p>
    <w:p w14:paraId="03527320" w14:textId="77777777" w:rsidR="009D5C32" w:rsidRPr="006205DF" w:rsidRDefault="009D5C32" w:rsidP="009D5C32">
      <w:pPr>
        <w:pStyle w:val="NormalHanging12a"/>
      </w:pPr>
      <w:r w:rsidRPr="006205DF">
        <w:t>1.</w:t>
      </w:r>
      <w:r w:rsidRPr="006205DF">
        <w:tab/>
        <w:t>anser den reviderede aftale for at være et institutionelt fremskridt for Parlamentet i dets forbindelser med Kommissionen, men understreger samtidig, at et sådant fremskridt skal have et grundlag i traktaterne; mener, at den reviderede aftale styrker det politiske ansvar og legitimiteten, udvider den konstruktive dialog, forbedrer informationsstrømmen mellem de to institutioner og forbedrer samarbejdet om procedurer og planlægning, herunder kontrol- og undersøgelsesbeføjelser;</w:t>
      </w:r>
    </w:p>
    <w:p w14:paraId="0D174D4C" w14:textId="77777777" w:rsidR="009D5C32" w:rsidRPr="006205DF" w:rsidRDefault="009D5C32" w:rsidP="009D5C32">
      <w:pPr>
        <w:pStyle w:val="NormalHanging12a"/>
      </w:pPr>
      <w:r w:rsidRPr="006205DF">
        <w:t>2.</w:t>
      </w:r>
      <w:r w:rsidRPr="006205DF">
        <w:tab/>
        <w:t>bifalder navnlig følgende forbedringer indeholdt i den reviderede aftale:</w:t>
      </w:r>
    </w:p>
    <w:p w14:paraId="51FD18B4" w14:textId="672DD050" w:rsidR="009D5C32" w:rsidRPr="006205DF" w:rsidRDefault="00D33F92" w:rsidP="009D5C32">
      <w:pPr>
        <w:pStyle w:val="NormalHanging12a"/>
        <w:ind w:left="993" w:hanging="426"/>
      </w:pPr>
      <w:r w:rsidRPr="006205DF">
        <w:t>–</w:t>
      </w:r>
      <w:r w:rsidR="009D5C32" w:rsidRPr="006205DF">
        <w:tab/>
        <w:t xml:space="preserve">bekræftelsen af princippet om ligebehandling af Parlamentet og Rådet og Kommissionens rolle som en ærlig mægler, navnlig ved at sikre en omfattende, rettidig, detaljeret og gennemsigtig informationsstrøm til Parlamentet, der muliggør meningsfuld demokratisk kontrol, som det fremgår af tilsagnet om at underrette Parlamentet om politiske initiativer og lovgivningsforslag, der ikke indgår i Kommissionens arbejdsprogram, og om at forelægge plenarforsamlingen centrale </w:t>
      </w:r>
      <w:r w:rsidR="009D5C32" w:rsidRPr="006205DF">
        <w:lastRenderedPageBreak/>
        <w:t>initiativer umiddelbart efter deres vedtagelse i kommissærkollegiet</w:t>
      </w:r>
    </w:p>
    <w:p w14:paraId="75A995C8" w14:textId="639D821A" w:rsidR="009D5C32" w:rsidRPr="006205DF" w:rsidRDefault="00D33F92" w:rsidP="009D5C32">
      <w:pPr>
        <w:pStyle w:val="NormalHanging12a"/>
        <w:ind w:left="993" w:hanging="426"/>
      </w:pPr>
      <w:r w:rsidRPr="006205DF">
        <w:t>–</w:t>
      </w:r>
      <w:r w:rsidR="009D5C32" w:rsidRPr="006205DF">
        <w:tab/>
        <w:t>den valgte formands forpligtelse til at forelægge Parlamentet detaljerede oplysninger om sammensætningen af det nye kommissærkollegium, herunder dets planlagte struktur</w:t>
      </w:r>
    </w:p>
    <w:p w14:paraId="05E419DD" w14:textId="2C94FA1C" w:rsidR="009D5C32" w:rsidRPr="006205DF" w:rsidRDefault="00D33F92" w:rsidP="009D5C32">
      <w:pPr>
        <w:pStyle w:val="NormalHanging12a"/>
        <w:ind w:left="993" w:hanging="426"/>
      </w:pPr>
      <w:r w:rsidRPr="006205DF">
        <w:t>–</w:t>
      </w:r>
      <w:r w:rsidR="009D5C32" w:rsidRPr="006205DF">
        <w:tab/>
        <w:t>Kommissionens tilsagn om at sikre, at dens konsekvensanalyser gennemføres på dens ansvar gennem en gennemsigtig procedure, der sikrer en uafhængig analyse</w:t>
      </w:r>
    </w:p>
    <w:p w14:paraId="1AC0DEAC" w14:textId="6A4BD5C4" w:rsidR="009D5C32" w:rsidRPr="006205DF" w:rsidRDefault="00D33F92" w:rsidP="009D5C32">
      <w:pPr>
        <w:pStyle w:val="NormalHanging12a"/>
        <w:ind w:left="993" w:hanging="426"/>
      </w:pPr>
      <w:r w:rsidRPr="006205DF">
        <w:t>–</w:t>
      </w:r>
      <w:r w:rsidR="009D5C32" w:rsidRPr="006205DF">
        <w:tab/>
        <w:t>styrkelsen af Kommissionens politiske ansvarlighed ved at sikre, at de kompetente medlemmer af Kommissionen er til stede i Parlamentet, både på plenarmødet og i udvalgene</w:t>
      </w:r>
    </w:p>
    <w:p w14:paraId="742B267A" w14:textId="7A54B8FC" w:rsidR="009D5C32" w:rsidRPr="006205DF" w:rsidRDefault="00D33F92" w:rsidP="009D5C32">
      <w:pPr>
        <w:pStyle w:val="NormalHanging12a"/>
        <w:ind w:left="993" w:hanging="426"/>
      </w:pPr>
      <w:r w:rsidRPr="006205DF">
        <w:t>–</w:t>
      </w:r>
      <w:r w:rsidR="009D5C32" w:rsidRPr="006205DF">
        <w:tab/>
        <w:t>forsikringen om, at medlemmer af Kommissionen generelt vil blive indkaldt af Parlamentet som led i dets politiske tilsynsfunktion, og at Parlamentet kan anmode om, at en bestemt kommissær er til stede på plenarmødet, hvis et punkt på dagsordenen berettiger det, navnlig forsikringen om, at medlemmer af Kommissionen, hvis porteføljer vedrører spørgsmålenes emne, vil være til stede i spørgetiden i op til 90 minutter for at sikre en meningsfuld, åben og demokratisk debat mellem Europa-Parlamentets og Kommissionens medlemmer</w:t>
      </w:r>
    </w:p>
    <w:p w14:paraId="367006CA" w14:textId="1F499442" w:rsidR="009D5C32" w:rsidRPr="006205DF" w:rsidRDefault="00D33F92" w:rsidP="009D5C32">
      <w:pPr>
        <w:pStyle w:val="NormalHanging12a"/>
        <w:ind w:left="993" w:hanging="426"/>
      </w:pPr>
      <w:r w:rsidRPr="006205DF">
        <w:t>–</w:t>
      </w:r>
      <w:r w:rsidR="009D5C32" w:rsidRPr="006205DF">
        <w:tab/>
        <w:t>forpligtelsen for medlemmer af Kommissionen til at deltage i udvalgsmøder, og kun hvis der ikke udtrykkeligt er anmodet om et kommissionsmedlems tilstedeværelse, kan vedkommende erstattes af en højtstående embedsmand, som er i stand til at give væsentlige svar på spørgsmål fra udvalgsmedlemmerne</w:t>
      </w:r>
    </w:p>
    <w:p w14:paraId="02C13F97" w14:textId="64C9736D" w:rsidR="009D5C32" w:rsidRPr="006205DF" w:rsidRDefault="00D33F92" w:rsidP="009D5C32">
      <w:pPr>
        <w:pStyle w:val="NormalHanging12a"/>
        <w:ind w:left="993" w:hanging="426"/>
      </w:pPr>
      <w:r w:rsidRPr="006205DF">
        <w:t>–</w:t>
      </w:r>
      <w:r w:rsidR="009D5C32" w:rsidRPr="006205DF">
        <w:tab/>
        <w:t>Kommissionens tilsagn om, at når den agter at trække et forslag tilbage, deltager det kompetente medlem af Kommissionen i udvalgenes møder for at drøfte denne hensigt</w:t>
      </w:r>
    </w:p>
    <w:p w14:paraId="4AB12CEA" w14:textId="1F5E196E" w:rsidR="009D5C32" w:rsidRPr="006205DF" w:rsidRDefault="00D33F92" w:rsidP="009D5C32">
      <w:pPr>
        <w:pStyle w:val="NormalHanging12a"/>
        <w:ind w:left="993" w:hanging="426"/>
      </w:pPr>
      <w:r w:rsidRPr="006205DF">
        <w:t>–</w:t>
      </w:r>
      <w:r w:rsidR="009D5C32" w:rsidRPr="006205DF">
        <w:tab/>
        <w:t>Kommissionens tilsagn om at give en omfattende begrundelse af og oplysninger om de ekstraordinære tilfælde og nødsituationer, hvor dens forslag er baseret på artikel 122 i TEUF, både ved indgivelse af anmodningen til Parlamentet og efter gennemførelsen af den pågældende retsakt</w:t>
      </w:r>
    </w:p>
    <w:p w14:paraId="0A14FB88" w14:textId="78025BF6" w:rsidR="009D5C32" w:rsidRPr="006205DF" w:rsidRDefault="00D33F92" w:rsidP="009D5C32">
      <w:pPr>
        <w:pStyle w:val="NormalHanging12a"/>
        <w:ind w:left="993" w:hanging="426"/>
      </w:pPr>
      <w:r w:rsidRPr="006205DF">
        <w:t>–</w:t>
      </w:r>
      <w:r w:rsidR="009D5C32" w:rsidRPr="006205DF">
        <w:tab/>
        <w:t>styrkelsen af Parlamentets initiativret i henhold til artikel 225 i TEUF, herunder forslag om ændring eller ophævelse af eksisterende lovgivning, ved at styrke Kommissionens opfølgning på Parlamentets anmodninger</w:t>
      </w:r>
    </w:p>
    <w:p w14:paraId="620257D0" w14:textId="0D8EE5C1" w:rsidR="009D5C32" w:rsidRPr="006205DF" w:rsidRDefault="00D33F92" w:rsidP="009D5C32">
      <w:pPr>
        <w:pStyle w:val="NormalHanging12a"/>
        <w:ind w:left="993" w:hanging="426"/>
      </w:pPr>
      <w:r w:rsidRPr="006205DF">
        <w:t>–</w:t>
      </w:r>
      <w:r w:rsidR="009D5C32" w:rsidRPr="006205DF">
        <w:tab/>
        <w:t xml:space="preserve">Kommissionens tilsagn om at den, når den anmoder Parlamentet om hurtigt at træffe afgørelse om et forslag, vil gøre dette skriftligt og </w:t>
      </w:r>
      <w:proofErr w:type="gramStart"/>
      <w:r w:rsidR="009D5C32" w:rsidRPr="006205DF">
        <w:t>give en begrundelse for</w:t>
      </w:r>
      <w:proofErr w:type="gramEnd"/>
      <w:r w:rsidR="009D5C32" w:rsidRPr="006205DF">
        <w:t xml:space="preserve"> anmodningen</w:t>
      </w:r>
    </w:p>
    <w:p w14:paraId="0EEFA460" w14:textId="3E10DA7B" w:rsidR="009D5C32" w:rsidRPr="006205DF" w:rsidRDefault="00D33F92" w:rsidP="009D5C32">
      <w:pPr>
        <w:pStyle w:val="NormalHanging12a"/>
        <w:ind w:left="993" w:hanging="426"/>
      </w:pPr>
      <w:r w:rsidRPr="006205DF">
        <w:t>–</w:t>
      </w:r>
      <w:r w:rsidR="009D5C32" w:rsidRPr="006205DF">
        <w:tab/>
        <w:t>den forbedrede informationsudveksling vedrørende internationale aftaler på alle stadier af forhandlingen, hvilket styrker den demokratiske ansvarlighed og gennemsigtigheden i udenrigspolitikken;</w:t>
      </w:r>
    </w:p>
    <w:p w14:paraId="1A81BA3D" w14:textId="77777777" w:rsidR="009D5C32" w:rsidRPr="006205DF" w:rsidRDefault="009D5C32" w:rsidP="009D5C32">
      <w:pPr>
        <w:pStyle w:val="NormalHanging12a"/>
        <w:ind w:left="851"/>
        <w:rPr>
          <w:bCs/>
          <w:iCs/>
        </w:rPr>
      </w:pPr>
      <w:r w:rsidRPr="006205DF">
        <w:t>3.</w:t>
      </w:r>
      <w:r w:rsidRPr="006205DF">
        <w:tab/>
        <w:t xml:space="preserve">mener, at demokratisk kontrol med Kommissionen ikke blot kræver en passende retlig ramme, men også en følelse af politisk ansvar og engagement; henleder opmærksomheden på den formelle udveksling mellem medlemmer af Parlamentet og Kommissionen under plenarmødet, herunder i spørgetiden, som en hjørnesten i det europæiske demokrati; forpligter sig til at investere yderligere i og fremme en parlamentarisk kultur, således at deltagelsen i disse møder sikres på begge sider, </w:t>
      </w:r>
      <w:r w:rsidRPr="006205DF">
        <w:lastRenderedPageBreak/>
        <w:t>hvilket muliggør en meningsfuld og væsentlig udveksling mellem Parlamentet og Kommissionen;</w:t>
      </w:r>
    </w:p>
    <w:p w14:paraId="7DD274F2" w14:textId="77777777" w:rsidR="009D5C32" w:rsidRDefault="009D5C32" w:rsidP="009D5C32">
      <w:pPr>
        <w:pStyle w:val="NormalHanging12a"/>
      </w:pPr>
      <w:r w:rsidRPr="006205DF">
        <w:t>4.</w:t>
      </w:r>
      <w:r w:rsidRPr="006205DF">
        <w:tab/>
        <w:t>beklager, at Kommissionen ikke har angivet, om nye lovgivningsinitiativer vil blive ledsaget af en konsekvensanalyse, og ikke har givet en behørig begrundelse, hvis der ikke foreligger en konsekvensanalyse;</w:t>
      </w:r>
    </w:p>
    <w:p w14:paraId="02666647" w14:textId="6A2CB429" w:rsidR="007B60A5" w:rsidRPr="006205DF" w:rsidRDefault="007B60A5" w:rsidP="009D5C32">
      <w:pPr>
        <w:pStyle w:val="NormalHanging12a"/>
        <w:rPr>
          <w:bCs/>
          <w:iCs/>
        </w:rPr>
      </w:pPr>
      <w:r>
        <w:t>5.</w:t>
      </w:r>
      <w:r>
        <w:tab/>
      </w:r>
      <w:r w:rsidRPr="007B60A5">
        <w:t xml:space="preserve">opfordrer Kommissionen til i lyset af den reviderede aftale og i sin rolle som traktaternes vogter at forny sine bestræbelser på at opfylde forpligtelsen i artikel 226 i TEUF og fremme vedtagelsen af en forordning om udøvelsen af Europa-Parlamentets undersøgelsesbeføjelse, som for længst skulle have været vedtaget; forventer, at Kommissionen overholder princippet om gensidigt loyalt samarbejde, når den vurderer Parlamentets forslag </w:t>
      </w:r>
      <w:r w:rsidR="00B1481C">
        <w:t>i denne henseende</w:t>
      </w:r>
      <w:r w:rsidRPr="007B60A5">
        <w:t>, og samarbejder i god tro med Europa-Parlamentet om at løse eventuelle udestående spørgsmål;</w:t>
      </w:r>
    </w:p>
    <w:p w14:paraId="0DDD705D" w14:textId="500877DD" w:rsidR="009D5C32" w:rsidRPr="006205DF" w:rsidRDefault="007B60A5" w:rsidP="009D5C32">
      <w:pPr>
        <w:pStyle w:val="NormalHanging12a"/>
        <w:rPr>
          <w:bCs/>
          <w:iCs/>
        </w:rPr>
      </w:pPr>
      <w:r>
        <w:t>6</w:t>
      </w:r>
      <w:r w:rsidR="009D5C32" w:rsidRPr="006205DF">
        <w:t>.</w:t>
      </w:r>
      <w:r w:rsidR="009D5C32" w:rsidRPr="006205DF">
        <w:tab/>
        <w:t>forventer, at Kommissionen fuldt ud overholder både de nye og de eksisterende bestemmelser i aftalen, og mener, at Europa-Parlamentet regelmæssigt bør overvåge gennemførelsen af aftalen fra dens ikrafttræden.</w:t>
      </w:r>
    </w:p>
    <w:p w14:paraId="032C4A6C" w14:textId="6FEB337F" w:rsidR="009D5C32" w:rsidRPr="006205DF" w:rsidRDefault="007B60A5" w:rsidP="009D5C32">
      <w:pPr>
        <w:pStyle w:val="NormalHanging12a"/>
      </w:pPr>
      <w:r>
        <w:t>7</w:t>
      </w:r>
      <w:r w:rsidR="009D5C32" w:rsidRPr="006205DF">
        <w:t>.</w:t>
      </w:r>
      <w:r w:rsidR="009D5C32" w:rsidRPr="006205DF">
        <w:tab/>
        <w:t>godkender indgåelsen af aftalen, der er vedføjet som bilag;</w:t>
      </w:r>
    </w:p>
    <w:p w14:paraId="552FD245" w14:textId="2D2383A7" w:rsidR="009D5C32" w:rsidRPr="006205DF" w:rsidRDefault="007B60A5" w:rsidP="009D5C32">
      <w:pPr>
        <w:pStyle w:val="NormalHanging12a"/>
      </w:pPr>
      <w:r>
        <w:t>8</w:t>
      </w:r>
      <w:r w:rsidR="009D5C32" w:rsidRPr="006205DF">
        <w:t>.</w:t>
      </w:r>
      <w:r w:rsidR="009D5C32" w:rsidRPr="006205DF">
        <w:tab/>
        <w:t xml:space="preserve">pålægger sin formand at undertegne denne afgørelse sammen med Kommissionens formand og drage omsorg for, at den offentliggøres i </w:t>
      </w:r>
      <w:r w:rsidR="009D5C32" w:rsidRPr="006205DF">
        <w:rPr>
          <w:i/>
          <w:iCs/>
        </w:rPr>
        <w:t>Den Europæiske Unions Tidende</w:t>
      </w:r>
      <w:r w:rsidR="009D5C32" w:rsidRPr="006205DF">
        <w:t>;</w:t>
      </w:r>
    </w:p>
    <w:p w14:paraId="26A29463" w14:textId="467E6287" w:rsidR="009D5C32" w:rsidRPr="006205DF" w:rsidRDefault="007B60A5" w:rsidP="009D5C32">
      <w:pPr>
        <w:pStyle w:val="NormalHanging12a"/>
      </w:pPr>
      <w:r>
        <w:t>9</w:t>
      </w:r>
      <w:r w:rsidR="009D5C32" w:rsidRPr="006205DF">
        <w:t>.</w:t>
      </w:r>
      <w:r w:rsidR="009D5C32" w:rsidRPr="006205DF">
        <w:tab/>
        <w:t>pålægger sin formand at sende denne afgørelse med bilag til Rådet, Kommissionen og medlemsstaternes parlamenter til orientering.</w:t>
      </w:r>
    </w:p>
    <w:p w14:paraId="462352FC" w14:textId="77777777" w:rsidR="009D5C32" w:rsidRPr="006205DF" w:rsidRDefault="009D5C32" w:rsidP="009D5C32">
      <w:pPr>
        <w:jc w:val="both"/>
        <w:sectPr w:rsidR="009D5C32" w:rsidRPr="006205DF" w:rsidSect="006205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1F44E8" w14:textId="034CDF1B" w:rsidR="006C3740" w:rsidRPr="006C3740" w:rsidRDefault="006C3740" w:rsidP="006C3740">
      <w:pPr>
        <w:keepNext/>
        <w:spacing w:after="480"/>
        <w:jc w:val="center"/>
        <w:rPr>
          <w:rFonts w:eastAsia="Calibri"/>
          <w:b/>
          <w:sz w:val="28"/>
          <w:szCs w:val="28"/>
          <w:lang w:eastAsia="en-US"/>
        </w:rPr>
      </w:pPr>
      <w:bookmarkStart w:id="6" w:name="_Toc223689679"/>
      <w:bookmarkStart w:id="7" w:name="_Toc223621385"/>
      <w:r w:rsidRPr="006C3740">
        <w:rPr>
          <w:b/>
          <w:sz w:val="28"/>
          <w:szCs w:val="28"/>
        </w:rPr>
        <w:lastRenderedPageBreak/>
        <w:t xml:space="preserve">BILAG: </w:t>
      </w:r>
      <w:r w:rsidRPr="006C3740">
        <w:rPr>
          <w:rFonts w:eastAsia="Calibri"/>
          <w:b/>
          <w:sz w:val="28"/>
          <w:szCs w:val="28"/>
          <w:lang w:eastAsia="en-US"/>
        </w:rPr>
        <w:t>RAMMEAFTALE OM FORBINDELSERNE MELLEM EUROPA-PARLAMENTET OG EUROPA-KOMMISSIONEN</w:t>
      </w:r>
    </w:p>
    <w:p w14:paraId="3EA32E74" w14:textId="77777777" w:rsidR="006C3740" w:rsidRPr="006C3740" w:rsidRDefault="006C3740" w:rsidP="006C3740">
      <w:pPr>
        <w:widowControl/>
        <w:spacing w:before="600" w:after="120"/>
        <w:jc w:val="both"/>
        <w:rPr>
          <w:rFonts w:eastAsia="Calibri"/>
          <w:szCs w:val="24"/>
          <w:lang w:eastAsia="en-US"/>
        </w:rPr>
      </w:pPr>
      <w:r w:rsidRPr="006C3740">
        <w:rPr>
          <w:rFonts w:eastAsia="Calibri"/>
          <w:szCs w:val="24"/>
          <w:lang w:eastAsia="en-US"/>
        </w:rPr>
        <w:t>EUROPA-PARLAMENTET OG EUROPA-KOMMISSIONEN (i det følgende benævnt "de to institutioner") har –</w:t>
      </w:r>
    </w:p>
    <w:p w14:paraId="1539FE7F" w14:textId="77777777" w:rsidR="006C3740" w:rsidRPr="006C3740" w:rsidRDefault="006C3740" w:rsidP="006C3740">
      <w:pPr>
        <w:widowControl/>
        <w:spacing w:before="120" w:after="120"/>
        <w:ind w:left="851" w:hanging="851"/>
        <w:jc w:val="both"/>
        <w:rPr>
          <w:rFonts w:eastAsia="Calibri"/>
          <w:szCs w:val="24"/>
          <w:lang w:eastAsia="en-US"/>
        </w:rPr>
      </w:pPr>
      <w:r w:rsidRPr="006C3740">
        <w:rPr>
          <w:rFonts w:eastAsia="Calibri"/>
          <w:szCs w:val="24"/>
          <w:lang w:eastAsia="en-US"/>
        </w:rPr>
        <w:t>–</w:t>
      </w:r>
      <w:r w:rsidRPr="006C3740">
        <w:rPr>
          <w:rFonts w:eastAsia="Calibri"/>
          <w:szCs w:val="24"/>
          <w:lang w:eastAsia="en-US"/>
        </w:rPr>
        <w:tab/>
        <w:t>under henvisning til traktaten om Den Europæiske Union (TEU), traktaten om Den Europæiske Unions funktionsmåde (TEUF), særlig artikel 295, og traktaten om oprettelse af Det Europæiske Atomenergifællesskab (i det følgende benævnt "traktaterne"),</w:t>
      </w:r>
    </w:p>
    <w:p w14:paraId="6CE50641" w14:textId="77777777" w:rsidR="006C3740" w:rsidRPr="006C3740" w:rsidRDefault="006C3740" w:rsidP="006C3740">
      <w:pPr>
        <w:widowControl/>
        <w:spacing w:before="120" w:after="120"/>
        <w:ind w:left="851" w:hanging="851"/>
        <w:jc w:val="both"/>
        <w:rPr>
          <w:rFonts w:eastAsia="Calibri"/>
          <w:szCs w:val="24"/>
          <w:lang w:eastAsia="en-US"/>
        </w:rPr>
      </w:pPr>
      <w:r w:rsidRPr="006C3740">
        <w:rPr>
          <w:rFonts w:eastAsia="Calibri"/>
          <w:szCs w:val="24"/>
          <w:lang w:eastAsia="en-US"/>
        </w:rPr>
        <w:t>–</w:t>
      </w:r>
      <w:r w:rsidRPr="006C3740">
        <w:rPr>
          <w:rFonts w:eastAsia="Calibri"/>
          <w:szCs w:val="24"/>
          <w:lang w:eastAsia="en-US"/>
        </w:rPr>
        <w:tab/>
        <w:t>under henvisning til de interinstitutionelle aftaler og dokumenter, der regulerer forbindelserne mellem de to institutioner,</w:t>
      </w:r>
    </w:p>
    <w:p w14:paraId="292DEDB1" w14:textId="77777777" w:rsidR="006C3740" w:rsidRPr="006C3740" w:rsidRDefault="006C3740" w:rsidP="006C3740">
      <w:pPr>
        <w:widowControl/>
        <w:spacing w:before="120" w:after="120"/>
        <w:ind w:left="851" w:hanging="851"/>
        <w:jc w:val="both"/>
        <w:rPr>
          <w:rFonts w:eastAsia="Calibri" w:cs="Arial"/>
          <w:strike/>
          <w:szCs w:val="18"/>
          <w:lang w:eastAsia="en-US"/>
        </w:rPr>
      </w:pPr>
      <w:r w:rsidRPr="006C3740">
        <w:rPr>
          <w:rFonts w:eastAsia="Calibri"/>
          <w:szCs w:val="24"/>
          <w:lang w:eastAsia="en-US"/>
        </w:rPr>
        <w:t>–</w:t>
      </w:r>
      <w:r w:rsidRPr="006C3740">
        <w:rPr>
          <w:rFonts w:eastAsia="Calibri"/>
          <w:szCs w:val="24"/>
          <w:lang w:eastAsia="en-US"/>
        </w:rPr>
        <w:tab/>
        <w:t>under henvisning til Parlamentets forretningsorden,</w:t>
      </w:r>
    </w:p>
    <w:p w14:paraId="62045F5D" w14:textId="77777777" w:rsidR="006C3740" w:rsidRPr="006C3740" w:rsidRDefault="006C3740" w:rsidP="006C3740">
      <w:pPr>
        <w:widowControl/>
        <w:spacing w:before="120" w:after="120"/>
        <w:ind w:left="851" w:hanging="851"/>
        <w:jc w:val="both"/>
        <w:rPr>
          <w:rFonts w:eastAsia="Calibri"/>
          <w:szCs w:val="24"/>
          <w:lang w:eastAsia="en-US"/>
        </w:rPr>
      </w:pPr>
      <w:r w:rsidRPr="006C3740">
        <w:rPr>
          <w:rFonts w:eastAsia="Calibri"/>
          <w:szCs w:val="24"/>
          <w:lang w:eastAsia="en-US"/>
        </w:rPr>
        <w:t>–</w:t>
      </w:r>
      <w:r w:rsidRPr="006C3740">
        <w:rPr>
          <w:rFonts w:eastAsia="Calibri"/>
          <w:szCs w:val="24"/>
          <w:lang w:eastAsia="en-US"/>
        </w:rPr>
        <w:tab/>
        <w:t>under henvisning til de udstedte politiske retningslinjer og de relevante redegørelser, som den valgte formand for Kommissionen forelagde den 18. juli 2024, og til den fælles erklæring om de politiske principper, der skulle danne grundlag for en revision af rammeaftalen fra 2010 om forbindelserne mellem Europa-Parlamentet og Europa-Kommissionen, som den valgte formand for Kommissionen og formanden for Parlamentet udsendte den 21. oktober 2024,</w:t>
      </w:r>
    </w:p>
    <w:p w14:paraId="5CCB583D" w14:textId="77777777" w:rsidR="006C3740" w:rsidRPr="006C3740" w:rsidRDefault="006C3740" w:rsidP="006C3740">
      <w:pPr>
        <w:widowControl/>
        <w:spacing w:before="120" w:after="120"/>
        <w:ind w:left="851"/>
        <w:jc w:val="both"/>
        <w:rPr>
          <w:rFonts w:eastAsia="Calibri"/>
          <w:szCs w:val="24"/>
          <w:lang w:eastAsia="en-US"/>
        </w:rPr>
      </w:pPr>
      <w:r w:rsidRPr="006C3740">
        <w:rPr>
          <w:rFonts w:eastAsia="Calibri"/>
          <w:szCs w:val="24"/>
          <w:lang w:eastAsia="en-US"/>
        </w:rPr>
        <w:t>og ud fra følgende betragtninger:</w:t>
      </w:r>
    </w:p>
    <w:p w14:paraId="0004F3C1"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A.</w:t>
      </w:r>
      <w:r w:rsidRPr="006C3740">
        <w:rPr>
          <w:rFonts w:eastAsia="Calibri"/>
          <w:szCs w:val="24"/>
          <w:lang w:eastAsia="en-US"/>
        </w:rPr>
        <w:tab/>
        <w:t>Lissabontraktaten styrker den demokratiske legitimitet i Unionens beslutningsproces,</w:t>
      </w:r>
    </w:p>
    <w:p w14:paraId="5907F38D"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B.</w:t>
      </w:r>
      <w:r w:rsidRPr="006C3740">
        <w:rPr>
          <w:rFonts w:eastAsia="Calibri"/>
          <w:szCs w:val="24"/>
          <w:lang w:eastAsia="en-US"/>
        </w:rPr>
        <w:tab/>
        <w:t>De to institutioner tillægger en effektiv gennemførelse og implementering af EU-retten den allerstørste betydning.</w:t>
      </w:r>
    </w:p>
    <w:p w14:paraId="21174A28"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C.</w:t>
      </w:r>
      <w:r w:rsidRPr="006C3740">
        <w:rPr>
          <w:rFonts w:eastAsia="Calibri"/>
          <w:szCs w:val="24"/>
          <w:lang w:eastAsia="en-US"/>
        </w:rPr>
        <w:tab/>
        <w:t>Denne rammeaftale berører ikke Parlamentets, Kommissionens eller nogen anden EU-institutions eller noget andet EU-organs kompetencer og prærogativer, men søger at sikre, at disse kompetencer og prærogativer udøves så effektivt og så gennemsigtigt som muligt.</w:t>
      </w:r>
    </w:p>
    <w:p w14:paraId="1584B162"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D.</w:t>
      </w:r>
      <w:r w:rsidRPr="006C3740">
        <w:rPr>
          <w:rFonts w:eastAsia="Calibri"/>
          <w:szCs w:val="24"/>
          <w:lang w:eastAsia="en-US"/>
        </w:rPr>
        <w:tab/>
        <w:t>Denne rammeaftale bør fortolkes i overensstemmelse med de institutionelle rammer, der er fastlagt i traktaterne.</w:t>
      </w:r>
    </w:p>
    <w:p w14:paraId="1E95AFB4"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E.</w:t>
      </w:r>
      <w:r w:rsidRPr="006C3740">
        <w:rPr>
          <w:rFonts w:eastAsia="Calibri"/>
          <w:szCs w:val="24"/>
          <w:lang w:eastAsia="en-US"/>
        </w:rPr>
        <w:tab/>
        <w:t>Kommissionen tager behørigt hensyn til de roller, traktaterne tildeler henholdsvis Parlamentet og Rådet, især hvad angår det grundlæggende princip om ligebehandling, der er fastlagt i punkt 9.</w:t>
      </w:r>
    </w:p>
    <w:p w14:paraId="6F826195" w14:textId="77777777" w:rsidR="006C3740" w:rsidRPr="006C3740" w:rsidRDefault="006C3740" w:rsidP="006C3740">
      <w:pPr>
        <w:widowControl/>
        <w:spacing w:before="120" w:after="120"/>
        <w:ind w:left="851" w:hanging="851"/>
        <w:jc w:val="both"/>
        <w:rPr>
          <w:rFonts w:eastAsia="Calibri"/>
          <w:szCs w:val="24"/>
          <w:lang w:eastAsia="en-US"/>
        </w:rPr>
      </w:pPr>
      <w:r w:rsidRPr="006C3740">
        <w:rPr>
          <w:rFonts w:eastAsia="Calibri"/>
          <w:szCs w:val="24"/>
          <w:lang w:eastAsia="en-US"/>
        </w:rPr>
        <w:t>F.</w:t>
      </w:r>
      <w:r w:rsidRPr="006C3740">
        <w:rPr>
          <w:rFonts w:eastAsia="Calibri"/>
          <w:szCs w:val="24"/>
          <w:lang w:eastAsia="en-US"/>
        </w:rPr>
        <w:tab/>
        <w:t>Unionens funktionsmåde i henhold til artikel 10, stk. 1, i TEU bygger på det repræsentative demokrati.</w:t>
      </w:r>
    </w:p>
    <w:p w14:paraId="77E67F1F" w14:textId="77777777" w:rsidR="006C3740" w:rsidRPr="006C3740" w:rsidRDefault="006C3740" w:rsidP="006C3740">
      <w:pPr>
        <w:widowControl/>
        <w:spacing w:before="120" w:after="120"/>
        <w:ind w:left="851" w:hanging="851"/>
        <w:jc w:val="both"/>
        <w:rPr>
          <w:rFonts w:eastAsia="Calibri" w:cs="Arial"/>
          <w:bCs/>
          <w:iCs/>
          <w:szCs w:val="18"/>
          <w:lang w:eastAsia="en-US"/>
        </w:rPr>
      </w:pPr>
      <w:r w:rsidRPr="006C3740">
        <w:rPr>
          <w:rFonts w:eastAsia="Calibri"/>
          <w:szCs w:val="24"/>
          <w:lang w:eastAsia="en-US"/>
        </w:rPr>
        <w:t>G.</w:t>
      </w:r>
      <w:r w:rsidRPr="006C3740">
        <w:rPr>
          <w:rFonts w:eastAsia="Calibri"/>
          <w:szCs w:val="24"/>
          <w:lang w:eastAsia="en-US"/>
        </w:rPr>
        <w:tab/>
        <w:t>Kommissionen i henhold til artikel 17, stk. 8, i TEU er samlet ansvarlig over for Parlamentet.</w:t>
      </w:r>
    </w:p>
    <w:p w14:paraId="60A7BAFA" w14:textId="77777777" w:rsidR="006C3740" w:rsidRPr="006C3740" w:rsidRDefault="006C3740" w:rsidP="006C3740">
      <w:pPr>
        <w:widowControl/>
        <w:spacing w:before="120" w:after="120" w:line="280" w:lineRule="exact"/>
        <w:ind w:left="851" w:hanging="851"/>
        <w:jc w:val="both"/>
        <w:rPr>
          <w:rFonts w:eastAsia="Calibri" w:cs="Arial"/>
          <w:bCs/>
          <w:iCs/>
          <w:szCs w:val="18"/>
          <w:lang w:eastAsia="en-US"/>
        </w:rPr>
      </w:pPr>
      <w:r w:rsidRPr="006C3740">
        <w:rPr>
          <w:rFonts w:eastAsia="Calibri"/>
          <w:szCs w:val="24"/>
          <w:lang w:eastAsia="en-US"/>
        </w:rPr>
        <w:t>H.</w:t>
      </w:r>
      <w:r w:rsidRPr="006C3740">
        <w:rPr>
          <w:rFonts w:eastAsia="Calibri"/>
          <w:szCs w:val="24"/>
          <w:lang w:eastAsia="en-US"/>
        </w:rPr>
        <w:tab/>
        <w:t>Det er hensigtsmæssigt at ajourføre rammeaftalen fra oktober 2010</w:t>
      </w:r>
      <w:r w:rsidRPr="006C3740">
        <w:rPr>
          <w:rFonts w:eastAsia="Calibri" w:cs="Arial"/>
          <w:bCs/>
          <w:iCs/>
          <w:szCs w:val="18"/>
          <w:vertAlign w:val="superscript"/>
          <w:lang w:eastAsia="en-US"/>
        </w:rPr>
        <w:footnoteReference w:id="1"/>
      </w:r>
      <w:r w:rsidRPr="006C3740">
        <w:rPr>
          <w:rFonts w:eastAsia="Calibri"/>
          <w:szCs w:val="24"/>
          <w:lang w:eastAsia="en-US"/>
        </w:rPr>
        <w:t xml:space="preserve"> som ændret i februar 2018</w:t>
      </w:r>
      <w:r w:rsidRPr="006C3740">
        <w:rPr>
          <w:rFonts w:eastAsia="Calibri" w:cs="Arial"/>
          <w:bCs/>
          <w:iCs/>
          <w:szCs w:val="18"/>
          <w:vertAlign w:val="superscript"/>
          <w:lang w:eastAsia="en-US"/>
        </w:rPr>
        <w:footnoteReference w:id="2"/>
      </w:r>
      <w:r w:rsidRPr="006C3740">
        <w:rPr>
          <w:rFonts w:eastAsia="Calibri"/>
          <w:szCs w:val="24"/>
          <w:lang w:eastAsia="en-US"/>
        </w:rPr>
        <w:t xml:space="preserve"> og erstatte den med den følgende tekst.</w:t>
      </w:r>
    </w:p>
    <w:p w14:paraId="1DBCE642"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lastRenderedPageBreak/>
        <w:t>I.</w:t>
      </w:r>
      <w:r w:rsidRPr="006C3740">
        <w:rPr>
          <w:rFonts w:eastAsia="Calibri"/>
          <w:b/>
          <w:i/>
          <w:szCs w:val="24"/>
          <w:lang w:eastAsia="en-US"/>
        </w:rPr>
        <w:tab/>
      </w:r>
      <w:r w:rsidRPr="006C3740">
        <w:rPr>
          <w:rFonts w:eastAsia="Calibri"/>
          <w:szCs w:val="24"/>
          <w:lang w:eastAsia="en-US"/>
        </w:rPr>
        <w:t>De to institutioner genkalder deres mål om at samarbejde med henblik på at ajourføre og forenkle lovgivning og undgå administrative byrder, samtidig med at det sikres, at lovgivningens mål opfyldes.</w:t>
      </w:r>
    </w:p>
    <w:p w14:paraId="72DA38DB"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J.</w:t>
      </w:r>
      <w:r w:rsidRPr="006C3740">
        <w:rPr>
          <w:rFonts w:eastAsia="Calibri"/>
          <w:szCs w:val="24"/>
          <w:lang w:eastAsia="en-US"/>
        </w:rPr>
        <w:tab/>
        <w:t>De to institutioner er fast besluttet på yderligere at forbedre informationsudvekslingen og fremme deres respektive medlemmers tilstedeværelse i plenarmøder og andre møder i Parlamentet. Parlamentet vil i denne forbindelse regelmæssigt vurdere situationen med henblik på yderligere at forbedre parlamentsmedlemmernes tilstedeværelse under plenarmøderne –</w:t>
      </w:r>
    </w:p>
    <w:p w14:paraId="38C42351" w14:textId="77777777" w:rsidR="006C3740" w:rsidRPr="006C3740" w:rsidRDefault="006C3740" w:rsidP="006C3740">
      <w:pPr>
        <w:widowControl/>
        <w:spacing w:before="120" w:after="120"/>
        <w:jc w:val="both"/>
        <w:rPr>
          <w:rFonts w:eastAsia="Calibri" w:cs="Arial"/>
          <w:szCs w:val="18"/>
          <w:lang w:eastAsia="en-US"/>
        </w:rPr>
      </w:pPr>
      <w:r w:rsidRPr="006C3740">
        <w:rPr>
          <w:rFonts w:eastAsia="Calibri"/>
          <w:szCs w:val="24"/>
          <w:lang w:eastAsia="en-US"/>
        </w:rPr>
        <w:t>vedtaget følgende aftale:</w:t>
      </w:r>
    </w:p>
    <w:p w14:paraId="578BBAB5" w14:textId="77777777" w:rsidR="006C3740" w:rsidRPr="006C3740" w:rsidRDefault="006C3740" w:rsidP="006C3740">
      <w:pPr>
        <w:keepNext/>
        <w:keepLines/>
        <w:widowControl/>
        <w:spacing w:before="120" w:after="120"/>
        <w:jc w:val="both"/>
        <w:rPr>
          <w:rFonts w:eastAsia="Calibri" w:cs="Arial"/>
          <w:b/>
          <w:szCs w:val="18"/>
          <w:lang w:eastAsia="en-US"/>
        </w:rPr>
      </w:pPr>
      <w:r w:rsidRPr="006C3740">
        <w:rPr>
          <w:rFonts w:eastAsia="Calibri"/>
          <w:b/>
          <w:szCs w:val="24"/>
          <w:lang w:eastAsia="en-US"/>
        </w:rPr>
        <w:t>I. ANVENDELSESOMRÅDE</w:t>
      </w:r>
    </w:p>
    <w:p w14:paraId="26869B41"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1.</w:t>
      </w:r>
      <w:r w:rsidRPr="006C3740">
        <w:rPr>
          <w:rFonts w:eastAsia="Calibri"/>
          <w:szCs w:val="24"/>
          <w:lang w:eastAsia="en-US"/>
        </w:rPr>
        <w:tab/>
        <w:t>Med henblik på bedre at afspejle det særlige partnerskab mellem Parlamentet og Kommissionen er de to institutioner enige om nedennævnte foranstaltninger, der skal styrke Kommissionens politiske ansvar og legitimitet, udvide den konstruktive dialog, forbedre informationsudvekslingen mellem de to institutioner og forbedre samarbejdet om procedurer og planlægning.</w:t>
      </w:r>
    </w:p>
    <w:p w14:paraId="14FEDCDD"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De er også enige om specifikke bestemmelser om:</w:t>
      </w:r>
    </w:p>
    <w:p w14:paraId="106BD25F" w14:textId="77777777" w:rsidR="006C3740" w:rsidRPr="006C3740" w:rsidRDefault="006C3740" w:rsidP="006C3740">
      <w:pPr>
        <w:widowControl/>
        <w:spacing w:before="120" w:after="120"/>
        <w:ind w:left="1418" w:hanging="567"/>
        <w:jc w:val="both"/>
        <w:rPr>
          <w:rFonts w:eastAsia="Calibri" w:cs="Arial"/>
          <w:szCs w:val="18"/>
          <w:lang w:eastAsia="en-US"/>
        </w:rPr>
      </w:pPr>
      <w:r w:rsidRPr="006C3740">
        <w:rPr>
          <w:rFonts w:eastAsia="Calibri"/>
          <w:szCs w:val="24"/>
          <w:lang w:eastAsia="en-US"/>
        </w:rPr>
        <w:t>–</w:t>
      </w:r>
      <w:r w:rsidRPr="006C3740">
        <w:rPr>
          <w:rFonts w:eastAsia="Calibri"/>
          <w:szCs w:val="24"/>
          <w:lang w:eastAsia="en-US"/>
        </w:rPr>
        <w:tab/>
        <w:t>Kommissionens møder med nationale eksperter, jf. bilag I</w:t>
      </w:r>
    </w:p>
    <w:p w14:paraId="13722FF3" w14:textId="77777777" w:rsidR="006C3740" w:rsidRPr="006C3740" w:rsidRDefault="006C3740" w:rsidP="006C3740">
      <w:pPr>
        <w:widowControl/>
        <w:spacing w:before="120" w:after="120"/>
        <w:ind w:left="1418" w:hanging="567"/>
        <w:jc w:val="both"/>
        <w:rPr>
          <w:rFonts w:eastAsia="Calibri" w:cs="Arial"/>
          <w:szCs w:val="18"/>
          <w:lang w:eastAsia="en-US"/>
        </w:rPr>
      </w:pPr>
      <w:r w:rsidRPr="006C3740">
        <w:rPr>
          <w:rFonts w:eastAsia="Calibri"/>
          <w:szCs w:val="24"/>
          <w:lang w:eastAsia="en-US"/>
        </w:rPr>
        <w:t>–</w:t>
      </w:r>
      <w:r w:rsidRPr="006C3740">
        <w:rPr>
          <w:rFonts w:eastAsia="Calibri"/>
          <w:szCs w:val="24"/>
          <w:lang w:eastAsia="en-US"/>
        </w:rPr>
        <w:tab/>
        <w:t>tilsendelse af fortrolige oplysninger til Parlamentet, jf. bilag II</w:t>
      </w:r>
    </w:p>
    <w:p w14:paraId="1EA641EA" w14:textId="77777777" w:rsidR="006C3740" w:rsidRPr="006C3740" w:rsidRDefault="006C3740" w:rsidP="006C3740">
      <w:pPr>
        <w:widowControl/>
        <w:spacing w:before="120" w:after="120"/>
        <w:ind w:left="1418" w:hanging="567"/>
        <w:jc w:val="both"/>
        <w:rPr>
          <w:rFonts w:eastAsia="Calibri" w:cs="Arial"/>
          <w:iCs/>
          <w:szCs w:val="18"/>
          <w:lang w:eastAsia="en-US"/>
        </w:rPr>
      </w:pPr>
      <w:r w:rsidRPr="006C3740">
        <w:rPr>
          <w:rFonts w:eastAsia="Calibri"/>
          <w:szCs w:val="24"/>
          <w:lang w:eastAsia="en-US"/>
        </w:rPr>
        <w:t>–</w:t>
      </w:r>
      <w:r w:rsidRPr="006C3740">
        <w:rPr>
          <w:rFonts w:eastAsia="Calibri"/>
          <w:szCs w:val="24"/>
          <w:lang w:eastAsia="en-US"/>
        </w:rPr>
        <w:tab/>
        <w:t>forhandling og indgåelse af internationale aftaler, jf. bilag III, og</w:t>
      </w:r>
    </w:p>
    <w:p w14:paraId="6B3B702B" w14:textId="77777777" w:rsidR="006C3740" w:rsidRPr="006C3740" w:rsidRDefault="006C3740" w:rsidP="006C3740">
      <w:pPr>
        <w:widowControl/>
        <w:spacing w:before="120" w:after="120"/>
        <w:ind w:left="1418" w:hanging="567"/>
        <w:jc w:val="both"/>
        <w:rPr>
          <w:rFonts w:eastAsia="Calibri" w:cs="Arial"/>
          <w:szCs w:val="18"/>
          <w:lang w:eastAsia="en-US"/>
        </w:rPr>
      </w:pPr>
      <w:r w:rsidRPr="006C3740">
        <w:rPr>
          <w:rFonts w:eastAsia="Calibri"/>
          <w:szCs w:val="24"/>
          <w:lang w:eastAsia="en-US"/>
        </w:rPr>
        <w:t>–</w:t>
      </w:r>
      <w:r w:rsidRPr="006C3740">
        <w:rPr>
          <w:rFonts w:eastAsia="Calibri"/>
          <w:szCs w:val="24"/>
          <w:lang w:eastAsia="en-US"/>
        </w:rPr>
        <w:tab/>
        <w:t>tidsplan for Kommissionens arbejdsprogram, jf. bilag IV.</w:t>
      </w:r>
    </w:p>
    <w:p w14:paraId="624B0A5E" w14:textId="77777777" w:rsidR="006C3740" w:rsidRPr="006C3740" w:rsidRDefault="006C3740" w:rsidP="006C3740">
      <w:pPr>
        <w:keepNext/>
        <w:keepLines/>
        <w:widowControl/>
        <w:spacing w:before="120" w:after="120"/>
        <w:jc w:val="both"/>
        <w:rPr>
          <w:rFonts w:eastAsia="Calibri" w:cs="Arial"/>
          <w:b/>
          <w:szCs w:val="18"/>
          <w:lang w:eastAsia="en-US"/>
        </w:rPr>
      </w:pPr>
      <w:r w:rsidRPr="006C3740">
        <w:rPr>
          <w:rFonts w:eastAsia="Calibri"/>
          <w:b/>
          <w:szCs w:val="24"/>
          <w:lang w:eastAsia="en-US"/>
        </w:rPr>
        <w:t>II. POLITISK ANSVAR</w:t>
      </w:r>
    </w:p>
    <w:p w14:paraId="73D9B5F3" w14:textId="77777777" w:rsidR="006C3740" w:rsidRPr="006C3740" w:rsidRDefault="006C3740" w:rsidP="006C3740">
      <w:pPr>
        <w:widowControl/>
        <w:spacing w:before="120" w:after="120"/>
        <w:ind w:left="851" w:hanging="851"/>
        <w:jc w:val="both"/>
        <w:rPr>
          <w:rFonts w:eastAsia="Calibri"/>
          <w:szCs w:val="24"/>
          <w:lang w:eastAsia="en-US"/>
        </w:rPr>
      </w:pPr>
      <w:r w:rsidRPr="006C3740">
        <w:rPr>
          <w:rFonts w:eastAsia="Calibri"/>
          <w:szCs w:val="24"/>
          <w:lang w:eastAsia="en-US"/>
        </w:rPr>
        <w:t>2.</w:t>
      </w:r>
      <w:r w:rsidRPr="006C3740">
        <w:rPr>
          <w:rFonts w:eastAsia="Calibri"/>
          <w:szCs w:val="24"/>
          <w:lang w:eastAsia="en-US"/>
        </w:rPr>
        <w:tab/>
        <w:t>Efter at være blevet foreslået af Det Europæiske Råd forelægger den indstillede formand for Kommissionen de politiske retningslinjer for formandens mandatperiode for Parlamentet, således at en udveksling af synspunkter med Parlamentet kan finde sted på velinformeret grundlag inden Parlamentets afstemning om valg.</w:t>
      </w:r>
    </w:p>
    <w:p w14:paraId="02262A82"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3.</w:t>
      </w:r>
      <w:r w:rsidRPr="006C3740">
        <w:rPr>
          <w:rFonts w:eastAsia="Calibri"/>
          <w:szCs w:val="24"/>
          <w:lang w:eastAsia="en-US"/>
        </w:rPr>
        <w:tab/>
        <w:t>Den valgte formand for Kommissionen underretter Parlamentet om den planlagte struktur og kønsbalance i det nye kommissærkollegium i god tid før indledningen af proceduren i Parlamentet for Parlamentets godkendelse af den nye Kommission. Parlamentet hører i overensstemmelse med sin forretningsorden den valgte formand for Kommissionen i god tid før indledningen af procedurerne for godkendelse af den nye Kommission. Parlamentet tager hensyn til bemærkningerne fra den valgte formand for Kommissionen.</w:t>
      </w:r>
    </w:p>
    <w:p w14:paraId="1C5137CC" w14:textId="77777777" w:rsidR="00981DB9" w:rsidRDefault="006C3740" w:rsidP="006C3740">
      <w:pPr>
        <w:widowControl/>
        <w:spacing w:before="120" w:after="120"/>
        <w:ind w:left="851"/>
        <w:jc w:val="both"/>
        <w:rPr>
          <w:rFonts w:eastAsia="Calibri"/>
          <w:szCs w:val="24"/>
          <w:lang w:eastAsia="en-US"/>
        </w:rPr>
      </w:pPr>
      <w:r w:rsidRPr="006C3740">
        <w:rPr>
          <w:rFonts w:eastAsia="Calibri"/>
          <w:szCs w:val="24"/>
          <w:lang w:eastAsia="en-US"/>
        </w:rPr>
        <w:t>De indstillede medlemmer af Kommissionen sikrer, at alle relevante oplysninger fremlægges i fuldt omfang, i overensstemmelse med uafhængighedsforpligtelsen i artikel 245 i TEUF.</w:t>
      </w:r>
    </w:p>
    <w:p w14:paraId="0D398131" w14:textId="07031535" w:rsidR="006C3740" w:rsidRPr="006C3740" w:rsidRDefault="006C3740" w:rsidP="006C3740">
      <w:pPr>
        <w:widowControl/>
        <w:spacing w:before="120" w:after="120"/>
        <w:ind w:left="851"/>
        <w:jc w:val="both"/>
        <w:rPr>
          <w:rFonts w:eastAsia="Calibri" w:cs="Arial"/>
          <w:b/>
          <w:bCs/>
          <w:i/>
          <w:iCs/>
          <w:szCs w:val="18"/>
          <w:lang w:eastAsia="en-US"/>
        </w:rPr>
      </w:pPr>
      <w:r w:rsidRPr="006C3740">
        <w:rPr>
          <w:rFonts w:eastAsia="Calibri"/>
          <w:szCs w:val="24"/>
          <w:lang w:eastAsia="en-US"/>
        </w:rPr>
        <w:t>Procedurerne udformes således, at det sikres, at den samlede indstillede Kommission vurderes på en åben, retfærdig og konsekvent måde.</w:t>
      </w:r>
    </w:p>
    <w:p w14:paraId="721DDE9C"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4.</w:t>
      </w:r>
      <w:r w:rsidRPr="006C3740">
        <w:rPr>
          <w:rFonts w:eastAsia="Calibri"/>
          <w:szCs w:val="24"/>
          <w:lang w:eastAsia="en-US"/>
        </w:rPr>
        <w:tab/>
        <w:t>Hvert enkelt medlem af Kommissionen påtager sig det politiske ansvar for indsatsen inden for sit ansvarsområde, uden at dette berører princippet om Kommissionens kollegialitet.</w:t>
      </w:r>
    </w:p>
    <w:p w14:paraId="7EF20523"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 xml:space="preserve">Kommissionens formand har det fulde ansvar for at identificere enhver interessekonflikt, som bevirker, at et kommissionsmedlem ikke kan udøve sit hverv. </w:t>
      </w:r>
    </w:p>
    <w:p w14:paraId="25BC1829"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lastRenderedPageBreak/>
        <w:t xml:space="preserve">Kommissionens formand er ligeledes ansvarlig for ethvert efterfølgende tiltag, der træffes i denne anledning, og underretter omgående Parlamentets formand herom skriftligt. </w:t>
      </w:r>
    </w:p>
    <w:p w14:paraId="3BF7ADE5" w14:textId="77777777" w:rsidR="006C3740" w:rsidRPr="006C3740" w:rsidRDefault="006C3740" w:rsidP="006C3740">
      <w:pPr>
        <w:widowControl/>
        <w:spacing w:before="120" w:after="120"/>
        <w:ind w:left="851"/>
        <w:jc w:val="both"/>
        <w:rPr>
          <w:rFonts w:eastAsia="Calibri" w:cs="Arial"/>
          <w:bCs/>
          <w:iCs/>
          <w:szCs w:val="18"/>
          <w:lang w:eastAsia="en-US"/>
        </w:rPr>
      </w:pPr>
      <w:r w:rsidRPr="006C3740">
        <w:rPr>
          <w:rFonts w:eastAsia="Calibri"/>
          <w:szCs w:val="24"/>
          <w:lang w:eastAsia="en-US"/>
        </w:rPr>
        <w:t>Kommissionsmedlemmers deltagelse i valgkampagner er reguleret i adfærdskodeksen for medlemmer af Europa-Kommissionen</w:t>
      </w:r>
      <w:r w:rsidRPr="006C3740">
        <w:rPr>
          <w:rFonts w:eastAsia="Calibri" w:cs="Arial"/>
          <w:bCs/>
          <w:iCs/>
          <w:szCs w:val="18"/>
          <w:u w:val="single"/>
          <w:vertAlign w:val="superscript"/>
          <w:lang w:eastAsia="en-US"/>
        </w:rPr>
        <w:footnoteReference w:id="3"/>
      </w:r>
      <w:r w:rsidRPr="006C3740">
        <w:rPr>
          <w:rFonts w:eastAsia="Calibri"/>
          <w:szCs w:val="24"/>
          <w:lang w:eastAsia="en-US"/>
        </w:rPr>
        <w:t>.</w:t>
      </w:r>
    </w:p>
    <w:p w14:paraId="27D6EB3B" w14:textId="77777777" w:rsidR="006C3740" w:rsidRPr="006C3740" w:rsidRDefault="006C3740" w:rsidP="006C3740">
      <w:pPr>
        <w:widowControl/>
        <w:spacing w:before="120" w:after="120"/>
        <w:ind w:left="851"/>
        <w:jc w:val="both"/>
        <w:rPr>
          <w:rFonts w:eastAsia="Calibri" w:cs="Arial"/>
          <w:bCs/>
          <w:iCs/>
          <w:szCs w:val="18"/>
          <w:lang w:eastAsia="en-US"/>
        </w:rPr>
      </w:pPr>
      <w:r w:rsidRPr="006C3740">
        <w:rPr>
          <w:rFonts w:eastAsia="Calibri"/>
          <w:szCs w:val="24"/>
          <w:lang w:eastAsia="en-US"/>
        </w:rPr>
        <w:t>Kommissionsmedlemmer kan deltage i valgkampagner til valg til Parlamentet, herunder som kandidater. De kan også vælges af de europæiske politiske partier som førende kandidater til posten som formand for Kommissionen ("spidskandidater").</w:t>
      </w:r>
    </w:p>
    <w:p w14:paraId="7B0B0362" w14:textId="77777777" w:rsidR="006C3740" w:rsidRPr="006C3740" w:rsidRDefault="006C3740" w:rsidP="006C3740">
      <w:pPr>
        <w:widowControl/>
        <w:spacing w:before="120" w:after="120"/>
        <w:ind w:left="851"/>
        <w:jc w:val="both"/>
        <w:rPr>
          <w:rFonts w:eastAsia="Calibri" w:cs="Arial"/>
          <w:bCs/>
          <w:iCs/>
          <w:szCs w:val="18"/>
          <w:lang w:eastAsia="en-US"/>
        </w:rPr>
      </w:pPr>
      <w:r w:rsidRPr="006C3740">
        <w:rPr>
          <w:rFonts w:eastAsia="Calibri"/>
          <w:szCs w:val="24"/>
          <w:lang w:eastAsia="en-US"/>
        </w:rPr>
        <w:t>Kommissionens formand underretter i god tid Parlamentet om, hvorvidt et eller flere kommissionsmedlemmer stiller op som kandidater til valg til Parlamentet, og om de foranstaltninger, der træffes for at sikre overholdelse af principperne om uafhængighed, hæderlighed og tilbageholdenhed fastsat i artikel 245 i TEUF og adfærdskodeksen for medlemmer af Europa-Kommissionen.</w:t>
      </w:r>
    </w:p>
    <w:p w14:paraId="708DB558"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Ethvert kommissionsmedlem, der stiller op som kandidat eller deltager i en valgkampagne til valg til Parlamentet, forpligter sig til at afstå fra under kampagnen at indtage en holdning, som ikke ville være i overensstemmelse med vedkommendes pligt til fortrolighed, eller som ville stride mod princippet om kollegialitet.</w:t>
      </w:r>
    </w:p>
    <w:p w14:paraId="0772DCCB" w14:textId="77777777" w:rsidR="006C3740" w:rsidRPr="006C3740" w:rsidRDefault="006C3740" w:rsidP="006C3740">
      <w:pPr>
        <w:widowControl/>
        <w:spacing w:before="120" w:after="120"/>
        <w:ind w:left="851"/>
        <w:jc w:val="both"/>
        <w:rPr>
          <w:rFonts w:eastAsia="Calibri" w:cs="Arial"/>
          <w:bCs/>
          <w:iCs/>
          <w:szCs w:val="18"/>
          <w:lang w:eastAsia="en-US"/>
        </w:rPr>
      </w:pPr>
      <w:r w:rsidRPr="006C3740">
        <w:rPr>
          <w:rFonts w:eastAsia="Calibri"/>
          <w:szCs w:val="24"/>
          <w:lang w:eastAsia="en-US"/>
        </w:rPr>
        <w:t>Kommissionsmedlemmer, der stiller op som kandidater eller deltager i valgkampagner til valg til Parlamentet, må ikke bruge Kommissionens menneskelige eller materielle ressourcer til aktiviteter, der har tilknytning til valgkampagnen.</w:t>
      </w:r>
    </w:p>
    <w:p w14:paraId="5C8D19E8"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5.</w:t>
      </w:r>
      <w:r w:rsidRPr="006C3740">
        <w:rPr>
          <w:rFonts w:eastAsia="Calibri"/>
          <w:szCs w:val="24"/>
          <w:lang w:eastAsia="en-US"/>
        </w:rPr>
        <w:tab/>
        <w:t>Udtrykker Parlamentet over for Kommissionens formand mistillid til et bestemt medlem af Kommissionen, overvejer formanden, om det pågældende medlem skal anmodes om at træde tilbage i overensstemmelse med artikel 17, stk. 6, i TEU. Formanden skal enten kræve, at medlemmet træder tilbage, eller under den følgende mødeperiode give Parlamentet begrundelsen for at nægte dette.</w:t>
      </w:r>
    </w:p>
    <w:p w14:paraId="2C27C208"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6.</w:t>
      </w:r>
      <w:r w:rsidRPr="006C3740">
        <w:rPr>
          <w:rFonts w:eastAsia="Calibri"/>
          <w:szCs w:val="24"/>
          <w:lang w:eastAsia="en-US"/>
        </w:rPr>
        <w:tab/>
        <w:t>Såfremt det bliver nødvendigt at udnævne en efterfølger for et kommissionsmedlem inden udløbet af medlemmets tjenesteperiode, jf. artikel 246, stk. 2, i TEUF, overvejer Kommissionens formand grundigt resultatet af høringen af Parlamentet, inden der gives samtykke til Rådets afgørelse.</w:t>
      </w:r>
    </w:p>
    <w:p w14:paraId="0C4B8434"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Parlamentet sikrer, at dets procedurer gennemføres hurtigst muligt, således at Kommissionens formand kan nå at overveje Parlamentets udtalelse grundigt, før kommissionsmedlemmet udnævnes.</w:t>
      </w:r>
    </w:p>
    <w:p w14:paraId="481B6375"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I tilfælde, hvor der kun er kort tid tilbage af Kommissionens tjenesteperiode, jf. artikel 246, stk. 3, i TEUF, overvejer Kommissionens formand ligeledes grundigt Parlamentets holdning.</w:t>
      </w:r>
    </w:p>
    <w:p w14:paraId="5DC34B8E"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7.</w:t>
      </w:r>
      <w:r w:rsidRPr="006C3740">
        <w:rPr>
          <w:rFonts w:eastAsia="Calibri"/>
          <w:szCs w:val="24"/>
          <w:lang w:eastAsia="en-US"/>
        </w:rPr>
        <w:tab/>
        <w:t>Agter Kommissionens formand at ændre fordelingen af ansvarsområder mellem kommissionsmedlemmerne i løbet af dens mandatperiode, jf. artikel 248 i TEUF, underretter formanden Parlamentet i god tid inden den relevante høring i Parlamentet om disse ændringer. Formandens afgørelse om ændring af fordelingen af ansvarsområder kan træde i kraft omgående.</w:t>
      </w:r>
    </w:p>
    <w:p w14:paraId="28366E70"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8.</w:t>
      </w:r>
      <w:r w:rsidRPr="006C3740">
        <w:rPr>
          <w:rFonts w:eastAsia="Calibri"/>
          <w:szCs w:val="24"/>
          <w:lang w:eastAsia="en-US"/>
        </w:rPr>
        <w:tab/>
        <w:t>Såfremt Kommissionen fremsætter forslag om en revision af adfærdskodeksen for medlemmer af Europa-Kommissionen vedrørende interessekonflikter eller etisk adfærd, anmoder den om en udtalelse fra Parlamentet.</w:t>
      </w:r>
    </w:p>
    <w:p w14:paraId="4B378F16" w14:textId="77777777" w:rsidR="006C3740" w:rsidRPr="006C3740" w:rsidRDefault="006C3740" w:rsidP="006C3740">
      <w:pPr>
        <w:keepNext/>
        <w:keepLines/>
        <w:widowControl/>
        <w:spacing w:before="120" w:after="120"/>
        <w:jc w:val="both"/>
        <w:rPr>
          <w:rFonts w:eastAsia="Calibri" w:cs="Arial"/>
          <w:b/>
          <w:szCs w:val="18"/>
          <w:lang w:eastAsia="en-US"/>
        </w:rPr>
      </w:pPr>
      <w:r w:rsidRPr="006C3740">
        <w:rPr>
          <w:rFonts w:eastAsia="Calibri"/>
          <w:b/>
          <w:szCs w:val="24"/>
          <w:lang w:eastAsia="en-US"/>
        </w:rPr>
        <w:lastRenderedPageBreak/>
        <w:t>III. KONSTRUKTIV DIALOG OG INFORMATIONSUDVEKSLING</w:t>
      </w:r>
    </w:p>
    <w:p w14:paraId="2D791503" w14:textId="77777777" w:rsidR="006C3740" w:rsidRPr="006C3740" w:rsidRDefault="006C3740" w:rsidP="006C3740">
      <w:pPr>
        <w:keepNext/>
        <w:keepLines/>
        <w:widowControl/>
        <w:spacing w:before="120" w:after="120"/>
        <w:jc w:val="both"/>
        <w:rPr>
          <w:rFonts w:eastAsia="Calibri" w:cs="Arial"/>
          <w:b/>
          <w:szCs w:val="18"/>
          <w:lang w:eastAsia="en-US"/>
        </w:rPr>
      </w:pPr>
      <w:r w:rsidRPr="006C3740">
        <w:rPr>
          <w:rFonts w:eastAsia="Calibri"/>
          <w:b/>
          <w:szCs w:val="24"/>
          <w:lang w:eastAsia="en-US"/>
        </w:rPr>
        <w:t>i) Almindelige bestemmelser</w:t>
      </w:r>
    </w:p>
    <w:p w14:paraId="1927DBA6"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9.</w:t>
      </w:r>
      <w:r w:rsidRPr="006C3740">
        <w:rPr>
          <w:rFonts w:eastAsia="Calibri"/>
          <w:szCs w:val="24"/>
          <w:lang w:eastAsia="en-US"/>
        </w:rPr>
        <w:tab/>
        <w:t xml:space="preserve">Kommissionen garanterer, at den vil overholde det grundlæggende princip om ligebehandling af Parlamentet og Rådet, navnlig hvad angår adgang til møder og udlevering af bidrag eller anden information, især om lovgivnings- og budgetmæssige spørgsmål. </w:t>
      </w:r>
    </w:p>
    <w:p w14:paraId="292234B1"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10.</w:t>
      </w:r>
      <w:r w:rsidRPr="006C3740">
        <w:rPr>
          <w:rFonts w:eastAsia="Calibri"/>
          <w:szCs w:val="24"/>
          <w:lang w:eastAsia="en-US"/>
        </w:rPr>
        <w:tab/>
        <w:t xml:space="preserve">Kommissionen samarbejder med Parlamentet og Rådet på lige fod og under fuld overholdelse af balancen mellem institutionerne og de institutionelle prærogativer, som traktaterne tillægger dem. Hvor det er relevant, tager Kommissionen alle nødvendige initiativer med henblik på at forlige fælleslovgivernes holdninger, idet den fungerer som en ærlig mægler. </w:t>
      </w:r>
    </w:p>
    <w:p w14:paraId="204C256C"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11.</w:t>
      </w:r>
      <w:r w:rsidRPr="006C3740">
        <w:rPr>
          <w:rFonts w:eastAsia="Calibri"/>
          <w:szCs w:val="24"/>
          <w:lang w:eastAsia="en-US"/>
        </w:rPr>
        <w:tab/>
        <w:t>Kommissionen træffer inden for rammerne af sine beføjelser foranstaltninger til bedre at inddrage Parlamentet, således at der i videst muligt omfang tages hensyn til Parlamentets synspunkter på området for den fælles udenrigs- og sikkerhedspolitik.</w:t>
      </w:r>
    </w:p>
    <w:p w14:paraId="24445FC7"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12.</w:t>
      </w:r>
      <w:r w:rsidRPr="006C3740">
        <w:rPr>
          <w:rFonts w:eastAsia="Calibri"/>
          <w:szCs w:val="24"/>
          <w:lang w:eastAsia="en-US"/>
        </w:rPr>
        <w:tab/>
        <w:t>Der skal indføres en række ordninger med henblik på at udmønte det særlige partnerskab mellem Parlamentet og Kommissionen i praksis:</w:t>
      </w:r>
    </w:p>
    <w:p w14:paraId="6E1B09F7" w14:textId="77777777" w:rsidR="006C3740" w:rsidRPr="006C3740" w:rsidRDefault="006C3740" w:rsidP="006C3740">
      <w:pPr>
        <w:widowControl/>
        <w:spacing w:before="120" w:after="120"/>
        <w:ind w:left="1418" w:hanging="568"/>
        <w:jc w:val="both"/>
        <w:rPr>
          <w:rFonts w:eastAsia="Calibri"/>
          <w:szCs w:val="24"/>
          <w:lang w:eastAsia="en-US"/>
        </w:rPr>
      </w:pPr>
      <w:r w:rsidRPr="006C3740">
        <w:rPr>
          <w:rFonts w:eastAsia="Calibri"/>
          <w:szCs w:val="24"/>
          <w:lang w:eastAsia="en-US"/>
        </w:rPr>
        <w:t>–</w:t>
      </w:r>
      <w:r w:rsidRPr="006C3740">
        <w:rPr>
          <w:rFonts w:eastAsia="Calibri"/>
          <w:szCs w:val="24"/>
          <w:lang w:eastAsia="en-US"/>
        </w:rPr>
        <w:tab/>
        <w:t>Kommissionens formand mødes efter anmodning fra Parlamentet og mindst to gange om året med Formandskonferencen for at drøfte spørgsmål af fælles interesse.</w:t>
      </w:r>
    </w:p>
    <w:p w14:paraId="1E5A3D2C" w14:textId="77777777" w:rsidR="006C3740" w:rsidRPr="006C3740" w:rsidRDefault="006C3740" w:rsidP="006C3740">
      <w:pPr>
        <w:widowControl/>
        <w:spacing w:before="120" w:after="120"/>
        <w:ind w:left="1418" w:hanging="568"/>
        <w:jc w:val="both"/>
        <w:rPr>
          <w:rFonts w:eastAsia="Calibri"/>
          <w:szCs w:val="24"/>
          <w:lang w:eastAsia="en-US"/>
        </w:rPr>
      </w:pPr>
      <w:r w:rsidRPr="006C3740">
        <w:rPr>
          <w:rFonts w:eastAsia="Calibri"/>
          <w:szCs w:val="24"/>
          <w:lang w:eastAsia="en-US"/>
        </w:rPr>
        <w:t>–</w:t>
      </w:r>
      <w:r w:rsidRPr="006C3740">
        <w:rPr>
          <w:rFonts w:eastAsia="Calibri"/>
          <w:szCs w:val="24"/>
          <w:lang w:eastAsia="en-US"/>
        </w:rPr>
        <w:tab/>
        <w:t>Kommissionens formand fører en løbende dialog med Parlamentets formand om centrale horisontale spørgsmål og større lovgivningsforslag. Denne dialog bør også omfatte indbydelse af Parlamentets formand til at deltage i kommissærkollegiets møder.</w:t>
      </w:r>
    </w:p>
    <w:p w14:paraId="06E97EF4" w14:textId="77777777" w:rsidR="006C3740" w:rsidRPr="006C3740" w:rsidRDefault="006C3740" w:rsidP="006C3740">
      <w:pPr>
        <w:widowControl/>
        <w:spacing w:before="120" w:after="120"/>
        <w:ind w:left="1418" w:hanging="568"/>
        <w:jc w:val="both"/>
        <w:rPr>
          <w:rFonts w:eastAsia="Calibri"/>
          <w:szCs w:val="24"/>
          <w:lang w:eastAsia="en-US"/>
        </w:rPr>
      </w:pPr>
      <w:r w:rsidRPr="006C3740">
        <w:rPr>
          <w:rFonts w:eastAsia="Calibri"/>
          <w:szCs w:val="24"/>
          <w:lang w:eastAsia="en-US"/>
        </w:rPr>
        <w:t>–</w:t>
      </w:r>
      <w:r w:rsidRPr="006C3740">
        <w:rPr>
          <w:rFonts w:eastAsia="Calibri"/>
          <w:szCs w:val="24"/>
          <w:lang w:eastAsia="en-US"/>
        </w:rPr>
        <w:tab/>
        <w:t>Kommissionens formand eller det kommissionsmedlem, der er ansvarligt for interinstitutionelle forbindelser, skal indbydes til at deltage i Formandskonferencens og Udvalgsformandskonferencens møder, når der skal drøftes specifikke spørgsmål vedrørende fastlæggelse af dagsordener for plenarmøder, de interinstitutionelle forbindelser mellem Parlamentet og Kommissionen samt lovgivnings- og budgetmæssige spørgsmål.</w:t>
      </w:r>
    </w:p>
    <w:p w14:paraId="46B8126F" w14:textId="77777777" w:rsidR="006C3740" w:rsidRPr="006C3740" w:rsidRDefault="006C3740" w:rsidP="006C3740">
      <w:pPr>
        <w:widowControl/>
        <w:spacing w:before="120" w:after="120"/>
        <w:ind w:left="1418" w:hanging="568"/>
        <w:jc w:val="both"/>
        <w:rPr>
          <w:rFonts w:eastAsia="Calibri"/>
          <w:szCs w:val="24"/>
          <w:lang w:eastAsia="en-US"/>
        </w:rPr>
      </w:pPr>
      <w:r w:rsidRPr="006C3740">
        <w:rPr>
          <w:rFonts w:eastAsia="Calibri"/>
          <w:szCs w:val="24"/>
          <w:lang w:eastAsia="en-US"/>
        </w:rPr>
        <w:t>–</w:t>
      </w:r>
      <w:r w:rsidRPr="006C3740">
        <w:rPr>
          <w:rFonts w:eastAsia="Calibri"/>
          <w:szCs w:val="24"/>
          <w:lang w:eastAsia="en-US"/>
        </w:rPr>
        <w:tab/>
        <w:t>Der afholdes årligt møder mellem Formandskonferencen, Udvalgsformandskonferencen og kommissærkollegiet med henblik på at drøfte relevante spørgsmål, herunder forberedelsen og gennemførelsen af Kommissionens arbejdsprogram.</w:t>
      </w:r>
    </w:p>
    <w:p w14:paraId="1EA80438" w14:textId="77777777" w:rsidR="006C3740" w:rsidRPr="006C3740" w:rsidRDefault="006C3740" w:rsidP="006C3740">
      <w:pPr>
        <w:widowControl/>
        <w:spacing w:before="120" w:after="120"/>
        <w:ind w:left="1418" w:hanging="568"/>
        <w:jc w:val="both"/>
        <w:rPr>
          <w:rFonts w:eastAsia="Calibri"/>
          <w:szCs w:val="24"/>
          <w:lang w:eastAsia="en-US"/>
        </w:rPr>
      </w:pPr>
      <w:r w:rsidRPr="006C3740">
        <w:rPr>
          <w:rFonts w:eastAsia="Calibri"/>
          <w:szCs w:val="24"/>
          <w:lang w:eastAsia="en-US"/>
        </w:rPr>
        <w:t>–</w:t>
      </w:r>
      <w:r w:rsidRPr="006C3740">
        <w:rPr>
          <w:rFonts w:eastAsia="Calibri"/>
          <w:szCs w:val="24"/>
          <w:lang w:eastAsia="en-US"/>
        </w:rPr>
        <w:tab/>
        <w:t>Formandskonferencen og Udvalgsformandskonferencen underretter i god tid Kommissionen om resultaterne af deres drøftelser, når disse har en interinstitutionel dimension. Parlamentet holder endvidere Kommissionen fuldt og regelmæssigt underrettet om resultatet af dets møder vedrørende tilrettelæggelsen af mødeperioder under hensyntagen til Kommissionens synspunkter. Dette berører ikke punkt 57.</w:t>
      </w:r>
    </w:p>
    <w:p w14:paraId="2EB68E4B" w14:textId="77777777" w:rsidR="006C3740" w:rsidRPr="006C3740" w:rsidRDefault="006C3740" w:rsidP="006C3740">
      <w:pPr>
        <w:widowControl/>
        <w:spacing w:before="120" w:after="120"/>
        <w:ind w:left="1418" w:hanging="568"/>
        <w:jc w:val="both"/>
        <w:rPr>
          <w:rFonts w:eastAsia="Calibri" w:cs="Arial"/>
          <w:szCs w:val="18"/>
          <w:lang w:eastAsia="en-US"/>
        </w:rPr>
      </w:pPr>
      <w:r w:rsidRPr="006C3740">
        <w:rPr>
          <w:rFonts w:eastAsia="Calibri"/>
          <w:szCs w:val="24"/>
          <w:lang w:eastAsia="en-US"/>
        </w:rPr>
        <w:t>–</w:t>
      </w:r>
      <w:r w:rsidRPr="006C3740">
        <w:rPr>
          <w:rFonts w:eastAsia="Calibri"/>
          <w:szCs w:val="24"/>
          <w:lang w:eastAsia="en-US"/>
        </w:rPr>
        <w:tab/>
        <w:t>Med henblik på at sikre en regelmæssig udveksling af relevant information mellem de to institutioner mødes Parlamentets og Kommissionens generalsekretærer med jævne mellemrum.</w:t>
      </w:r>
    </w:p>
    <w:p w14:paraId="2C7DA4B2"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13.</w:t>
      </w:r>
      <w:r w:rsidRPr="006C3740">
        <w:rPr>
          <w:rFonts w:eastAsia="Calibri"/>
          <w:szCs w:val="24"/>
          <w:lang w:eastAsia="en-US"/>
        </w:rPr>
        <w:tab/>
        <w:t>De enkelte medlemmer af Kommissionen sikrer, at der foregår en regelmæssig og direkte informationsudveksling mellem kommissionsmedlemmet og formanden for det relevante parlamentsudvalg.</w:t>
      </w:r>
    </w:p>
    <w:p w14:paraId="6B240525" w14:textId="77777777" w:rsidR="006C3740" w:rsidRPr="006C3740" w:rsidRDefault="006C3740" w:rsidP="006C3740">
      <w:pPr>
        <w:widowControl/>
        <w:spacing w:before="120" w:after="120"/>
        <w:ind w:left="851" w:hanging="851"/>
        <w:jc w:val="both"/>
        <w:rPr>
          <w:rFonts w:eastAsia="Calibri"/>
          <w:szCs w:val="24"/>
          <w:lang w:eastAsia="en-US"/>
        </w:rPr>
      </w:pPr>
      <w:r w:rsidRPr="006C3740">
        <w:rPr>
          <w:rFonts w:eastAsia="Calibri"/>
          <w:szCs w:val="24"/>
          <w:lang w:eastAsia="en-US"/>
        </w:rPr>
        <w:lastRenderedPageBreak/>
        <w:t>14.</w:t>
      </w:r>
      <w:r w:rsidRPr="006C3740">
        <w:rPr>
          <w:rFonts w:eastAsia="Calibri"/>
          <w:szCs w:val="24"/>
          <w:lang w:eastAsia="en-US"/>
        </w:rPr>
        <w:tab/>
        <w:t>Kommissionen offentliggør ikke lovgivningsmæssige forslag eller andre vigtige initiativer eller beslutninger, før den skriftligt har underrettet Parlamentet herom.</w:t>
      </w:r>
    </w:p>
    <w:p w14:paraId="5FE65D64"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På grundlag af Kommissionens arbejdsprogram fastlægger de to institutioner på forhånd og efter fælles aftale, hvilke initiativer af særlig betydning, der skal forelægges plenarforsamlingen. Parlamentet kan beslutte, at disse initiativer af særlig betydning skal forelægges i form af en debat, der skal finde sted umiddelbart efter kommissærkollegiets vedtagelse af dem. Kommissionen forelægger principielt først plenarforsamlingen disse initiativer og først derefter offentligheden.</w:t>
      </w:r>
    </w:p>
    <w:p w14:paraId="2399B666"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På samme måde fastlægger de to institutioner, hvilke forslag og initiativer der skal orienteres om på Formandskonferencen eller på passende måde formidles til det relevante parlamentsudvalg eller dets formand.</w:t>
      </w:r>
    </w:p>
    <w:p w14:paraId="5AF71E33"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Disse afgørelser træffes inden for rammerne af den løbende dialog mellem de to institutioner, jf. denne aftales punkt 12, og ajourføres regelmæssigt under behørig hensyntagen til enhver politisk udvikling.</w:t>
      </w:r>
    </w:p>
    <w:p w14:paraId="554E7EBD"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 xml:space="preserve">Derudover underretter Kommissionen på en fyldestgørende og rettidig måde Parlamentet, herunder dets parlamentsudvalg, om andre kommende politiske initiativer og lovgivningsmæssige forslag, der ikke er omfattet af Kommissionens arbejdsprogram, og som falder ind under Parlamentets lovgivningsmæssige og budgetmæssige beføjelser. </w:t>
      </w:r>
    </w:p>
    <w:p w14:paraId="3F610E4C"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Kommissionen fremsender også på en struktureret måde fyldestgørende, rettidige og detaljerede oplysninger til Parlamentet, herunder til dets parlamentsudvalg, således at Parlamentet kan udøve sine politiske kontrol- og høringsfunktioner som fastsat i traktaterne.</w:t>
      </w:r>
    </w:p>
    <w:p w14:paraId="096E5A32"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15.</w:t>
      </w:r>
      <w:r w:rsidRPr="006C3740">
        <w:rPr>
          <w:rFonts w:eastAsia="Calibri"/>
          <w:szCs w:val="24"/>
          <w:lang w:eastAsia="en-US"/>
        </w:rPr>
        <w:tab/>
        <w:t xml:space="preserve">Såfremt et internt kommissionsdokument – som Parlamentet ikke er blevet orienteret om i henhold til denne rammeaftale – bringes i omløb uden for institutionerne, kan Parlamentets formand anmode om, at det straks oversendes til Parlamentet, således at det kan videregives til ethvert medlem af Parlamentet, der måtte anmode herom. </w:t>
      </w:r>
    </w:p>
    <w:p w14:paraId="6986E8CF"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16.</w:t>
      </w:r>
      <w:r w:rsidRPr="006C3740">
        <w:rPr>
          <w:rFonts w:eastAsia="Calibri"/>
          <w:szCs w:val="24"/>
          <w:lang w:eastAsia="en-US"/>
        </w:rPr>
        <w:tab/>
        <w:t>Kommissionen fremlægger i forbindelse med sit arbejde med at forberede og gennemføre EU-lovgivning, herunder "soft law" og delegerede retsakter, fuldstændig information om og dokumentation for sine møder med nationale eksperter. Såfremt Parlamentet anmoder herom, kan Kommissionen også indbyde Parlamentets eksperter til disse møder.</w:t>
      </w:r>
    </w:p>
    <w:p w14:paraId="779E3353"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De relevante bestemmelser er fastlagt i bilag I.</w:t>
      </w:r>
    </w:p>
    <w:p w14:paraId="0B23E719"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17.</w:t>
      </w:r>
      <w:r w:rsidRPr="006C3740">
        <w:rPr>
          <w:rFonts w:eastAsia="Calibri"/>
          <w:szCs w:val="24"/>
          <w:lang w:eastAsia="en-US"/>
        </w:rPr>
        <w:tab/>
        <w:t xml:space="preserve">Senest tre måneder efter vedtagelsen af en parlamentsbeslutning underretter Kommissionen skriftligt Parlamentet om, hvordan den har reageret på specifikke anmodninger rettet til den i Parlamentets beslutninger, herunder i tilfælde, hvor den ikke har været i stand til at følge Parlamentets synspunkter. </w:t>
      </w:r>
    </w:p>
    <w:p w14:paraId="7B656BF1"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Denne frist kan forkortes, såfremt en anmodning er af hastende karakter. Fristen kan forlænges med en måned, såfremt en anmodning kræver et mere omfattende forarbejde, og dette dokumenteres behørigt. Parlamentet sørger for, at denne underretning distribueres bredt inden for institutionen.</w:t>
      </w:r>
    </w:p>
    <w:p w14:paraId="7CEAEFCA"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 xml:space="preserve">Parlamentet bestræber sig på at undgå, at der stilles forespørgsler til mundtlig eller skriftlig besvarelse om emner, som Kommissionen i forvejen har taget stilling til i en skriftlig opfølgningsmeddelelse til Parlamentet. </w:t>
      </w:r>
    </w:p>
    <w:p w14:paraId="5BFE004F" w14:textId="77777777" w:rsidR="006C3740" w:rsidRPr="006C3740" w:rsidRDefault="006C3740" w:rsidP="006C3740">
      <w:pPr>
        <w:widowControl/>
        <w:spacing w:before="120" w:after="120" w:line="280" w:lineRule="exact"/>
        <w:ind w:left="851" w:hanging="851"/>
        <w:jc w:val="both"/>
        <w:rPr>
          <w:rFonts w:eastAsia="Calibri" w:cs="Arial"/>
          <w:iCs/>
          <w:szCs w:val="18"/>
          <w:lang w:eastAsia="en-US"/>
        </w:rPr>
      </w:pPr>
      <w:r w:rsidRPr="006C3740">
        <w:rPr>
          <w:rFonts w:eastAsia="Calibri"/>
          <w:szCs w:val="24"/>
          <w:lang w:eastAsia="en-US"/>
        </w:rPr>
        <w:lastRenderedPageBreak/>
        <w:t>18.</w:t>
      </w:r>
      <w:r w:rsidRPr="006C3740">
        <w:rPr>
          <w:rFonts w:eastAsia="Calibri"/>
          <w:szCs w:val="24"/>
          <w:lang w:eastAsia="en-US"/>
        </w:rPr>
        <w:tab/>
        <w:t>I overensstemmelse med punkt 12, femte led, underretter Parlamentet behørigt Kommissionen, når det agter at udarbejde en lovgivningsmæssig initiativbetænkning med anmodning om et forslag til EU-retsakt i henhold til artikel 225 i TEUF.</w:t>
      </w:r>
    </w:p>
    <w:p w14:paraId="3A5EAE24" w14:textId="77777777" w:rsidR="006C3740" w:rsidRPr="006C3740" w:rsidRDefault="006C3740" w:rsidP="006C3740">
      <w:pPr>
        <w:widowControl/>
        <w:spacing w:before="120" w:after="120" w:line="280" w:lineRule="exact"/>
        <w:ind w:left="851"/>
        <w:jc w:val="both"/>
        <w:rPr>
          <w:rFonts w:eastAsia="Calibri" w:cs="Arial"/>
          <w:iCs/>
          <w:szCs w:val="18"/>
          <w:lang w:eastAsia="en-US"/>
        </w:rPr>
      </w:pPr>
      <w:r w:rsidRPr="006C3740">
        <w:rPr>
          <w:rFonts w:eastAsia="Calibri"/>
          <w:szCs w:val="24"/>
          <w:lang w:eastAsia="en-US"/>
        </w:rPr>
        <w:t>Derefter indbyder det kompetente udvalg Kommissionen til en drøftelse om udkastet til betænkning. Drøftelser med Kommissionen og officielle meddelelser fra formanden til de ansvarlige kommissionsmedlemmer fortsætter under hele forberedelsesprocessen, når det er relevant.</w:t>
      </w:r>
    </w:p>
    <w:p w14:paraId="5D4B73F1" w14:textId="77777777" w:rsidR="006C3740" w:rsidRPr="006C3740" w:rsidRDefault="006C3740" w:rsidP="006C3740">
      <w:pPr>
        <w:widowControl/>
        <w:spacing w:before="120" w:after="120"/>
        <w:ind w:left="851"/>
        <w:jc w:val="both"/>
        <w:rPr>
          <w:rFonts w:eastAsia="Calibri" w:cs="Arial"/>
          <w:iCs/>
          <w:szCs w:val="18"/>
          <w:lang w:eastAsia="en-US"/>
        </w:rPr>
      </w:pPr>
      <w:r w:rsidRPr="006C3740">
        <w:rPr>
          <w:rFonts w:eastAsia="Calibri"/>
          <w:szCs w:val="24"/>
          <w:lang w:eastAsia="en-US"/>
        </w:rPr>
        <w:t xml:space="preserve">Enhver anmodning om et forslag til EU-retsakt, som Parlamentet fremsætter i henhold til artikel 225 i TEUF, ledsages af en betænkning, der redegør for grundene til, at Parlamentet mener, at en EU-retsakt er nødvendig til gennemførelse af traktaterne, idet der også tages hensyn til den forventede byrde og de finansielle virkninger af den pågældende retsakt. Det kompetente udvalg kan med henblik herpå anmode Kommissionen om teknisk rådgivning. </w:t>
      </w:r>
    </w:p>
    <w:p w14:paraId="32ABCEBA" w14:textId="77777777" w:rsidR="006C3740" w:rsidRPr="006C3740" w:rsidRDefault="006C3740" w:rsidP="006C3740">
      <w:pPr>
        <w:widowControl/>
        <w:spacing w:before="120" w:after="120"/>
        <w:ind w:left="851"/>
        <w:jc w:val="both"/>
        <w:rPr>
          <w:rFonts w:eastAsia="Calibri" w:cs="Arial"/>
          <w:iCs/>
          <w:szCs w:val="18"/>
          <w:lang w:eastAsia="en-US"/>
        </w:rPr>
      </w:pPr>
      <w:r w:rsidRPr="006C3740">
        <w:rPr>
          <w:rFonts w:eastAsia="Calibri"/>
          <w:szCs w:val="24"/>
          <w:lang w:eastAsia="en-US"/>
        </w:rPr>
        <w:t>Kommissionen foretager en hurtig og detaljeret behandling af anmodninger om forslag til EU-retsakter, som Parlamentet fremsætter i henhold til artikel 225 i TEUF, herunder forslag om ændring eller ophævelse af eksisterende lovgivning.</w:t>
      </w:r>
    </w:p>
    <w:p w14:paraId="042677D0" w14:textId="77777777" w:rsidR="006C3740" w:rsidRPr="006C3740" w:rsidRDefault="006C3740" w:rsidP="006C3740">
      <w:pPr>
        <w:widowControl/>
        <w:spacing w:before="120" w:after="120"/>
        <w:ind w:left="851"/>
        <w:jc w:val="both"/>
        <w:rPr>
          <w:rFonts w:eastAsia="Calibri" w:cs="Arial"/>
          <w:iCs/>
          <w:szCs w:val="18"/>
          <w:lang w:eastAsia="en-US"/>
        </w:rPr>
      </w:pPr>
      <w:r w:rsidRPr="006C3740">
        <w:rPr>
          <w:rFonts w:eastAsia="Calibri"/>
          <w:szCs w:val="24"/>
          <w:lang w:eastAsia="en-US"/>
        </w:rPr>
        <w:t>Kommission besvarer sådanne anmodninger inden for tre måneder med angivelse af, hvordan den agter at følge op på dem, ved at vedtage en specifik meddelelse. Derefter kan Kommissionen blive anmodet om at afgive en redegørelse på plenarmødet for at underrette Parlamentet om de opfølgende tiltag, den agter at træffe, eller blive indbudt af det kompetente udvalg til et af dets kommende møder for at fremlægge sådanne oplysninger og udveksle synspunkter med udvalget.</w:t>
      </w:r>
    </w:p>
    <w:p w14:paraId="52CF098E" w14:textId="29300FF8" w:rsidR="006C3740" w:rsidRPr="006C3740" w:rsidRDefault="006C3740" w:rsidP="006C3740">
      <w:pPr>
        <w:widowControl/>
        <w:spacing w:before="120" w:after="120"/>
        <w:ind w:left="851"/>
        <w:jc w:val="both"/>
        <w:rPr>
          <w:rFonts w:eastAsia="Calibri" w:cs="Arial"/>
          <w:bCs/>
          <w:iCs/>
          <w:szCs w:val="18"/>
          <w:lang w:eastAsia="en-US"/>
        </w:rPr>
      </w:pPr>
      <w:r w:rsidRPr="006C3740">
        <w:rPr>
          <w:rFonts w:eastAsia="Calibri"/>
          <w:szCs w:val="24"/>
          <w:lang w:eastAsia="en-US"/>
        </w:rPr>
        <w:t>Under fuld overholdelse af proportionalitetsprincippet og nærhedsprincippet og i overensstemmelse med den interinstitutionelle aftale om bedre lovgivning</w:t>
      </w:r>
      <w:r w:rsidR="00BC2B53" w:rsidRPr="006C3740">
        <w:rPr>
          <w:rFonts w:eastAsia="Calibri"/>
          <w:szCs w:val="18"/>
          <w:vertAlign w:val="superscript"/>
          <w:lang w:eastAsia="en-US"/>
        </w:rPr>
        <w:footnoteReference w:id="4"/>
      </w:r>
      <w:r w:rsidRPr="006C3740">
        <w:rPr>
          <w:rFonts w:eastAsia="Calibri"/>
          <w:szCs w:val="24"/>
          <w:lang w:eastAsia="en-US"/>
        </w:rPr>
        <w:t xml:space="preserve"> fremsætter Kommissionen senest efter ét år et lovgivningsmæssigt forslag, eller den medtager forslaget i det følgende års arbejdsprogram. Kommissionen orienterer efter anmodning Parlamentet om det forberedende arbejde. Hvis Kommissionen ikke fremsætter et forslag, giver den Parlamentet den detaljerede begrundelse, herunder vedrørende eventuelle spørgsmål, som fælleslovgiverne har rejst i forbindelse med analyser vedrørende "europæisk nytteværdi" og vedrørende "omkostningerne ved ikke at virkeliggøre EU", og forelægger, hvor det er relevant, en analyse af mulige alternativer.</w:t>
      </w:r>
    </w:p>
    <w:p w14:paraId="6BAE5FC1" w14:textId="77777777" w:rsidR="006C3740" w:rsidRPr="006C3740" w:rsidRDefault="006C3740" w:rsidP="006C3740">
      <w:pPr>
        <w:widowControl/>
        <w:spacing w:before="120" w:after="120" w:line="280" w:lineRule="exact"/>
        <w:ind w:left="851"/>
        <w:jc w:val="both"/>
        <w:rPr>
          <w:rFonts w:eastAsia="Calibri" w:cs="Arial"/>
          <w:bCs/>
          <w:iCs/>
          <w:szCs w:val="18"/>
          <w:lang w:eastAsia="en-US"/>
        </w:rPr>
      </w:pPr>
      <w:r w:rsidRPr="006C3740">
        <w:rPr>
          <w:rFonts w:eastAsia="Calibri"/>
          <w:szCs w:val="24"/>
          <w:lang w:eastAsia="en-US"/>
        </w:rPr>
        <w:t>Når Parlamentet som led i budgetproceduren beslutter at foreslå et pilotprojekt eller et forberedende tiltag i forbindelse med en anmodning om et forslag til EU-retsakt, der er under udarbejdelse eller som er blevet vedtaget af Parlamentet i henhold til artikel 225 i TEUF, sender Parlamentet sit forslag til et pilotprojekt eller et forberedende tiltag til Kommissionen med særlig henvisning til forbindelsen til den anmodning, der er udarbejdet eller vedtaget i henhold til artikel 225 i TEUF.</w:t>
      </w:r>
    </w:p>
    <w:p w14:paraId="1B9C60C8" w14:textId="77777777" w:rsidR="006C3740" w:rsidRPr="006C3740" w:rsidRDefault="006C3740" w:rsidP="006C3740">
      <w:pPr>
        <w:widowControl/>
        <w:spacing w:before="120" w:after="120"/>
        <w:ind w:left="851"/>
        <w:jc w:val="both"/>
        <w:rPr>
          <w:rFonts w:eastAsia="Calibri" w:cs="Arial"/>
          <w:bCs/>
          <w:iCs/>
          <w:szCs w:val="18"/>
          <w:lang w:eastAsia="en-US"/>
        </w:rPr>
      </w:pPr>
      <w:r w:rsidRPr="006C3740">
        <w:rPr>
          <w:rFonts w:eastAsia="Calibri"/>
          <w:szCs w:val="24"/>
          <w:lang w:eastAsia="en-US"/>
        </w:rPr>
        <w:t>Efter anmodning fra Parlamentet yder Kommissionen teknisk ekspertise og støtte i forbindelse med udformningen af et sådant pilotprojekt eller et sådan forberedende tiltag. Bevillinger på budgettet til pilotprojekter og forberedende tiltag må kun gennemføres, forudsat at betingelserne i finansforordningens</w:t>
      </w:r>
      <w:r w:rsidRPr="006C3740">
        <w:rPr>
          <w:rFonts w:eastAsia="Calibri" w:cs="Arial"/>
          <w:bCs/>
          <w:iCs/>
          <w:szCs w:val="18"/>
          <w:vertAlign w:val="superscript"/>
          <w:lang w:eastAsia="en-US"/>
        </w:rPr>
        <w:footnoteReference w:id="5"/>
      </w:r>
      <w:r w:rsidRPr="006C3740">
        <w:rPr>
          <w:rFonts w:eastAsia="Calibri"/>
          <w:szCs w:val="24"/>
          <w:lang w:eastAsia="en-US"/>
        </w:rPr>
        <w:t xml:space="preserve"> artikel 58 er opfyldt.</w:t>
      </w:r>
    </w:p>
    <w:p w14:paraId="5939A143"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lastRenderedPageBreak/>
        <w:t>19.</w:t>
      </w:r>
      <w:r w:rsidRPr="006C3740">
        <w:rPr>
          <w:rFonts w:eastAsia="Calibri"/>
          <w:szCs w:val="24"/>
          <w:lang w:eastAsia="en-US"/>
        </w:rPr>
        <w:tab/>
        <w:t>Kommissionen forpligter sig endvidere til at indlede et tæt og tidligt samarbejde med Parlamentet om enhver anmodning om lovgivningsinitiativer hidrørende fra europæiske borgerinitiativer.</w:t>
      </w:r>
    </w:p>
    <w:p w14:paraId="12EC618E"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20.</w:t>
      </w:r>
      <w:r w:rsidRPr="006C3740">
        <w:rPr>
          <w:rFonts w:eastAsia="Calibri"/>
          <w:szCs w:val="24"/>
          <w:lang w:eastAsia="en-US"/>
        </w:rPr>
        <w:tab/>
        <w:t xml:space="preserve">Såfremt der fremsættes forslag om lovgivningsmæssige retsakter på grundlag af initiativer, henstillinger eller begæringer i henhold til artikel 289, stk. 4, i TEUF, underretter Kommissionen efter anmodning Parlamentets relevante udvalg om sin holdning til disse forslag. </w:t>
      </w:r>
    </w:p>
    <w:p w14:paraId="116752BD"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21.</w:t>
      </w:r>
      <w:r w:rsidRPr="006C3740">
        <w:rPr>
          <w:rFonts w:eastAsia="Calibri"/>
          <w:szCs w:val="24"/>
          <w:lang w:eastAsia="en-US"/>
        </w:rPr>
        <w:tab/>
        <w:t>For så vidt angår dechargeproceduren finder de specifikke bestemmelser i punkt 40 anvendelse.</w:t>
      </w:r>
    </w:p>
    <w:p w14:paraId="43DDE172"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22.</w:t>
      </w:r>
      <w:r w:rsidRPr="006C3740">
        <w:rPr>
          <w:rFonts w:eastAsia="Calibri"/>
          <w:szCs w:val="24"/>
          <w:lang w:eastAsia="en-US"/>
        </w:rPr>
        <w:tab/>
        <w:t>De to institutioner er enige om at samarbejde på området for forbindelser med de nationale parlamenter.</w:t>
      </w:r>
    </w:p>
    <w:p w14:paraId="321EA283"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Parlamentet og Kommissionen samarbejder om gennemførelsen af protokol nr. 2 til TEUF om anvendelse af nærhedsprincippet og proportionalitetsprincippet. Et sådant samarbejde omfatter ordninger for enhver nødvendig oversættelse af begrundede udtalelser fra nationale parlamenter.</w:t>
      </w:r>
    </w:p>
    <w:p w14:paraId="5C4D5C19" w14:textId="77777777" w:rsidR="006C3740" w:rsidRPr="006C3740" w:rsidRDefault="006C3740" w:rsidP="006C3740">
      <w:pPr>
        <w:widowControl/>
        <w:spacing w:before="120" w:after="120"/>
        <w:ind w:left="851"/>
        <w:jc w:val="both"/>
        <w:rPr>
          <w:rFonts w:eastAsia="Calibri" w:cs="Arial"/>
          <w:bCs/>
          <w:iCs/>
          <w:szCs w:val="18"/>
          <w:lang w:eastAsia="en-US"/>
        </w:rPr>
      </w:pPr>
      <w:r w:rsidRPr="006C3740">
        <w:rPr>
          <w:rFonts w:eastAsia="Calibri"/>
          <w:szCs w:val="24"/>
          <w:lang w:eastAsia="en-US"/>
        </w:rPr>
        <w:t>Når de i artikel 7 i protokol nr. 2 til TEUF omhandlede tærskler er nået, sørger Kommissionen for oversættelser af alle de begrundede udtalelser, der er fremsat af nationale parlamenter, sammen med sin egen holdning hertil.</w:t>
      </w:r>
    </w:p>
    <w:p w14:paraId="1ED30320"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23.</w:t>
      </w:r>
      <w:r w:rsidRPr="006C3740">
        <w:rPr>
          <w:rFonts w:eastAsia="Calibri"/>
          <w:szCs w:val="24"/>
          <w:lang w:eastAsia="en-US"/>
        </w:rPr>
        <w:tab/>
        <w:t>Kommissionen underretter Parlamentet om listen over de ekspertgrupper, der er nedsat til at bistå Kommissionen under udøvelsen af dens initiativret. Denne liste ajourføres regelmæssigt og offentliggøres.</w:t>
      </w:r>
    </w:p>
    <w:p w14:paraId="202BA683"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I denne sammenhæng underretter Kommissionen på passende måde det kompetente parlamentsudvalg på specifik og begrundet anmodning fra udvalgets formand om sådanne gruppers virksomhed og sammensætning.</w:t>
      </w:r>
    </w:p>
    <w:p w14:paraId="459FB8CB" w14:textId="77777777" w:rsidR="006C3740" w:rsidRPr="006C3740" w:rsidRDefault="006C3740" w:rsidP="006C3740">
      <w:pPr>
        <w:widowControl/>
        <w:spacing w:before="120" w:after="120"/>
        <w:ind w:left="851" w:hanging="851"/>
        <w:jc w:val="both"/>
        <w:rPr>
          <w:rFonts w:eastAsia="Calibri" w:cs="Arial"/>
          <w:bCs/>
          <w:iCs/>
          <w:szCs w:val="18"/>
          <w:lang w:eastAsia="en-US"/>
        </w:rPr>
      </w:pPr>
      <w:r w:rsidRPr="006C3740">
        <w:rPr>
          <w:rFonts w:eastAsia="Calibri"/>
          <w:szCs w:val="24"/>
          <w:lang w:eastAsia="en-US"/>
        </w:rPr>
        <w:t>24.</w:t>
      </w:r>
      <w:r w:rsidRPr="006C3740">
        <w:rPr>
          <w:rFonts w:eastAsia="Calibri"/>
          <w:i/>
          <w:szCs w:val="24"/>
          <w:lang w:eastAsia="en-US"/>
        </w:rPr>
        <w:tab/>
      </w:r>
      <w:r w:rsidRPr="006C3740">
        <w:rPr>
          <w:rFonts w:eastAsia="Calibri"/>
          <w:szCs w:val="24"/>
          <w:lang w:eastAsia="en-US"/>
        </w:rPr>
        <w:t>De to institutioner fører gennem passende kanaler en konstruktiv dialog om spørgsmål vedrørende vigtige administrative forhold, særlig spørgsmål, der har direkte virkninger for Parlamentets egen administration. Når Kommissionen deler oplysninger med Rådet om disse spørgsmål og om deres potentielle finansielle virkninger, deles disse oplysninger samtidig med Parlamentet.</w:t>
      </w:r>
    </w:p>
    <w:p w14:paraId="1B812F58" w14:textId="77777777" w:rsidR="006C3740" w:rsidRPr="006C3740" w:rsidRDefault="006C3740" w:rsidP="006C3740">
      <w:pPr>
        <w:widowControl/>
        <w:spacing w:before="120" w:after="120" w:line="280" w:lineRule="exact"/>
        <w:ind w:left="851" w:hanging="851"/>
        <w:jc w:val="both"/>
        <w:rPr>
          <w:rFonts w:eastAsia="Calibri" w:cs="Arial"/>
          <w:bCs/>
          <w:iCs/>
          <w:szCs w:val="18"/>
          <w:lang w:eastAsia="en-US"/>
        </w:rPr>
      </w:pPr>
      <w:r w:rsidRPr="006C3740">
        <w:rPr>
          <w:rFonts w:eastAsia="Calibri"/>
          <w:szCs w:val="24"/>
          <w:lang w:eastAsia="en-US"/>
        </w:rPr>
        <w:t>25.</w:t>
      </w:r>
      <w:bookmarkStart w:id="8" w:name="_Hlk208306996"/>
      <w:r w:rsidRPr="006C3740">
        <w:rPr>
          <w:rFonts w:eastAsia="Calibri"/>
          <w:szCs w:val="24"/>
          <w:lang w:eastAsia="en-US"/>
        </w:rPr>
        <w:tab/>
        <w:t>Når Parlamentet udarbejder ændringer til sin forretningsorden, som vil påvirke Parlamentets forbindelser med Kommissionen, sender det disse ændringer rettidigt til Kommissionen, inden det anmoder om dens udtalelse. Hvis Kommissionen agter at afgive en udtalelse, gør den dette i god tid inden afstemningen om disse ændringsforslag i det kompetente udvalg. Det kompetente udvalg tager denne udtalelse i betragtning og involverer Kommissionen på en meningsfuld måde inden afstemningen i det kompetente udvalg.</w:t>
      </w:r>
    </w:p>
    <w:p w14:paraId="46021684" w14:textId="77777777" w:rsidR="006C3740" w:rsidRPr="006C3740" w:rsidRDefault="006C3740" w:rsidP="006C3740">
      <w:pPr>
        <w:widowControl/>
        <w:spacing w:before="120" w:after="120"/>
        <w:ind w:left="851"/>
        <w:jc w:val="both"/>
        <w:rPr>
          <w:rFonts w:eastAsia="Calibri" w:cs="Arial"/>
          <w:bCs/>
          <w:iCs/>
          <w:szCs w:val="18"/>
          <w:lang w:eastAsia="en-US"/>
        </w:rPr>
      </w:pPr>
      <w:r w:rsidRPr="006C3740">
        <w:rPr>
          <w:rFonts w:eastAsia="Calibri"/>
          <w:szCs w:val="24"/>
          <w:lang w:eastAsia="en-US"/>
        </w:rPr>
        <w:t>Det kommissionsmedlem, der er ansvarligt for interinstitutionelle forbindelser, skal have mulighed for at udveksle synspunkter med Parlamentet i overensstemmelse med de relevante bestemmelser i rammeaftalen og afgive en redegørelse på plenarmødet inden afstemningen.</w:t>
      </w:r>
      <w:bookmarkEnd w:id="8"/>
    </w:p>
    <w:p w14:paraId="59268DBC"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26.</w:t>
      </w:r>
      <w:r w:rsidRPr="006C3740">
        <w:rPr>
          <w:rFonts w:eastAsia="Calibri"/>
          <w:szCs w:val="24"/>
          <w:lang w:eastAsia="en-US"/>
        </w:rPr>
        <w:tab/>
        <w:t>Påberåbes der fortrolighed med hensyn til oplysninger, der videregives i henhold til denne rammeaftale, finder bestemmelserne i bilag II anvendelse.</w:t>
      </w:r>
    </w:p>
    <w:p w14:paraId="37183F96" w14:textId="77777777" w:rsidR="006C3740" w:rsidRPr="006C3740" w:rsidRDefault="006C3740" w:rsidP="006C3740">
      <w:pPr>
        <w:widowControl/>
        <w:spacing w:before="120" w:after="120"/>
        <w:jc w:val="both"/>
        <w:rPr>
          <w:rFonts w:eastAsia="Calibri" w:cs="Arial"/>
          <w:b/>
          <w:bCs/>
          <w:i/>
          <w:iCs/>
          <w:szCs w:val="18"/>
          <w:lang w:eastAsia="en-US"/>
        </w:rPr>
      </w:pPr>
      <w:r w:rsidRPr="006C3740">
        <w:rPr>
          <w:rFonts w:eastAsia="Calibri"/>
          <w:b/>
          <w:szCs w:val="24"/>
          <w:lang w:eastAsia="en-US"/>
        </w:rPr>
        <w:t>ii) Internationale aftaler og udvidelse</w:t>
      </w:r>
    </w:p>
    <w:p w14:paraId="384C329D" w14:textId="77777777" w:rsidR="006C3740" w:rsidRPr="006C3740" w:rsidRDefault="006C3740" w:rsidP="006C3740">
      <w:pPr>
        <w:widowControl/>
        <w:spacing w:before="120" w:after="120"/>
        <w:ind w:left="851" w:hanging="851"/>
        <w:jc w:val="both"/>
        <w:rPr>
          <w:rFonts w:eastAsia="Calibri"/>
          <w:szCs w:val="24"/>
          <w:lang w:eastAsia="en-US"/>
        </w:rPr>
      </w:pPr>
      <w:r w:rsidRPr="006C3740">
        <w:rPr>
          <w:rFonts w:eastAsia="Calibri"/>
          <w:szCs w:val="24"/>
          <w:lang w:eastAsia="en-US"/>
        </w:rPr>
        <w:lastRenderedPageBreak/>
        <w:t>27.</w:t>
      </w:r>
      <w:r w:rsidRPr="006C3740">
        <w:rPr>
          <w:rFonts w:eastAsia="Calibri"/>
          <w:szCs w:val="24"/>
          <w:lang w:eastAsia="en-US"/>
        </w:rPr>
        <w:tab/>
        <w:t>For at gøre det muligt for Parlamentet at udøve sin funktion med politisk kontrol, skal det omgående og fuldt ud underrettes i alle faser af forhandlingen om og indgåelsen af internationale aftaler, herunder ved fastlæggelsen af forhandlingsdirektiverne. Kommissionen handler på en måde, der giver dens forpligtelser i henhold til artikel 218 i TEUF fuld virkning, samtidig med at hver institutions rolle i overensstemmelse med artikel 13, stk. 2, i TEU respekteres.</w:t>
      </w:r>
    </w:p>
    <w:p w14:paraId="5E3E71B2"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Kommissionen anvender de i bilag III fastlagte ordninger.</w:t>
      </w:r>
    </w:p>
    <w:p w14:paraId="1C9CB081" w14:textId="77777777" w:rsidR="006C3740" w:rsidRPr="006C3740" w:rsidRDefault="006C3740" w:rsidP="006C3740">
      <w:pPr>
        <w:widowControl/>
        <w:spacing w:before="120" w:after="120"/>
        <w:ind w:left="851" w:hanging="851"/>
        <w:jc w:val="both"/>
        <w:rPr>
          <w:rFonts w:eastAsia="Calibri"/>
          <w:szCs w:val="24"/>
          <w:lang w:eastAsia="en-US"/>
        </w:rPr>
      </w:pPr>
      <w:r w:rsidRPr="006C3740">
        <w:rPr>
          <w:rFonts w:eastAsia="Calibri"/>
          <w:szCs w:val="24"/>
          <w:lang w:eastAsia="en-US"/>
        </w:rPr>
        <w:t>28.</w:t>
      </w:r>
      <w:r w:rsidRPr="006C3740">
        <w:rPr>
          <w:rFonts w:eastAsia="Calibri"/>
          <w:szCs w:val="24"/>
          <w:lang w:eastAsia="en-US"/>
        </w:rPr>
        <w:tab/>
        <w:t>Hvis Kommissionen indleder forhandlinger med tredjelande om nærmere bestemmelser for interparlamentarisk samarbejde i henhold til en international aftale, indhenter Kommissionen Parlamentets synspunkter og tager dem i betragtning.</w:t>
      </w:r>
    </w:p>
    <w:p w14:paraId="422BFB7C" w14:textId="77777777" w:rsidR="006C3740" w:rsidRPr="006C3740" w:rsidRDefault="006C3740" w:rsidP="006C3740">
      <w:pPr>
        <w:widowControl/>
        <w:spacing w:before="120" w:after="120" w:line="280" w:lineRule="exact"/>
        <w:ind w:left="851" w:hanging="851"/>
        <w:jc w:val="both"/>
        <w:rPr>
          <w:rFonts w:eastAsia="Calibri" w:cs="Arial"/>
          <w:szCs w:val="18"/>
          <w:lang w:eastAsia="en-US"/>
        </w:rPr>
      </w:pPr>
      <w:r w:rsidRPr="006C3740">
        <w:rPr>
          <w:rFonts w:eastAsia="Calibri"/>
          <w:szCs w:val="24"/>
          <w:lang w:eastAsia="en-US"/>
        </w:rPr>
        <w:t xml:space="preserve">29. </w:t>
      </w:r>
      <w:r w:rsidRPr="006C3740">
        <w:rPr>
          <w:rFonts w:eastAsia="Calibri"/>
          <w:szCs w:val="24"/>
          <w:lang w:eastAsia="en-US"/>
        </w:rPr>
        <w:tab/>
        <w:t>Hvis Kommissionen agter at foreslå Rådet midlertidig anvendelse af en international aftale, underretter den Parlamentet så tidligt som muligt, og den begrunder dette, idet den tager hensyn til, at artikel 218, stk. 5, i TEUF kun tillader midlertidig anvendelse, når det er nødvendigt.</w:t>
      </w:r>
    </w:p>
    <w:p w14:paraId="2C5BADD9"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Uden at det berører Kommissionens initiativret og under fuld overholdelse af den institutionelle balance, foreslår Kommissionen, når den foreslår en rådsafgørelse om undertegnelse og midlertidig anvendelse, at Rådet i den pågældende afgørelse bemyndiger Kommissionen til at give meddelelse om midlertidig anvendelse til tredjeparter på en sådan måde, at Parlamentet er i stand til at give sin godkendelse i henhold til artikel 218, stk. 6, i TEUF inden for en rimelig frist, medmindre andet er behørigt begrundet af andre omstændigheder. I et sådant tilfælde bestræber Parlamentet sig på at tilrettelægge godkendelsesproceduren på en sådan måde, at en sådan meddelelse kan sendes til tredjeparten eller tredjeparterne i den internationale aftale så hurtigt som muligt efter vedtagelsen af rådsafgørelsen om undertegnelse og midlertidig anvendelse.</w:t>
      </w:r>
    </w:p>
    <w:p w14:paraId="54292397" w14:textId="77777777" w:rsidR="006C3740" w:rsidRPr="006C3740" w:rsidRDefault="006C3740" w:rsidP="006C3740">
      <w:pPr>
        <w:widowControl/>
        <w:spacing w:before="120" w:after="120" w:line="280" w:lineRule="exact"/>
        <w:ind w:left="851" w:hanging="851"/>
        <w:jc w:val="both"/>
        <w:rPr>
          <w:rFonts w:eastAsia="Calibri"/>
          <w:szCs w:val="24"/>
          <w:lang w:eastAsia="en-US"/>
        </w:rPr>
      </w:pPr>
      <w:r w:rsidRPr="006C3740">
        <w:rPr>
          <w:rFonts w:eastAsia="Calibri"/>
          <w:szCs w:val="24"/>
          <w:lang w:eastAsia="en-US"/>
        </w:rPr>
        <w:t xml:space="preserve">30. </w:t>
      </w:r>
      <w:r w:rsidRPr="006C3740">
        <w:rPr>
          <w:rFonts w:eastAsia="Calibri"/>
          <w:szCs w:val="24"/>
          <w:lang w:eastAsia="en-US"/>
        </w:rPr>
        <w:tab/>
        <w:t>Kommissionen skal omgående og fuldt ud underrette Parlamentet om ethvert forslag, der fremsættes i henhold til artikel 218, stk. 9, i TEUF, samt om ethvert tilfælde, hvor Kommissionen gør brug af den bemyndigelse, den er tillagt i henhold til artikel 218, stk. 7, i TEUF.</w:t>
      </w:r>
    </w:p>
    <w:p w14:paraId="494735D1" w14:textId="77777777" w:rsidR="006C3740" w:rsidRPr="006C3740" w:rsidRDefault="006C3740" w:rsidP="006C3740">
      <w:pPr>
        <w:widowControl/>
        <w:spacing w:before="120" w:after="120"/>
        <w:ind w:left="851" w:hanging="851"/>
        <w:jc w:val="both"/>
        <w:rPr>
          <w:rFonts w:eastAsia="Calibri"/>
          <w:szCs w:val="24"/>
          <w:lang w:eastAsia="en-US"/>
        </w:rPr>
      </w:pPr>
      <w:r w:rsidRPr="006C3740">
        <w:rPr>
          <w:rFonts w:eastAsia="Calibri"/>
          <w:szCs w:val="24"/>
          <w:lang w:eastAsia="en-US"/>
        </w:rPr>
        <w:t>31.</w:t>
      </w:r>
      <w:r w:rsidRPr="006C3740">
        <w:rPr>
          <w:rFonts w:eastAsia="Calibri"/>
          <w:szCs w:val="24"/>
          <w:lang w:eastAsia="en-US"/>
        </w:rPr>
        <w:tab/>
        <w:t>I lyset af artikel 13, stk. 2, i TEU og for at sikre en ligelig informationsudveksling underretter Kommissionen, når den forhandler og indgår ikkebindende internationale aftaler, loParlamentet, med forbehold af anvendelsen af reglerne om fremsendelse af fortrolige oplysninger i bilag II.</w:t>
      </w:r>
    </w:p>
    <w:p w14:paraId="4BE86439" w14:textId="77777777" w:rsidR="006C3740" w:rsidRPr="006C3740" w:rsidRDefault="006C3740" w:rsidP="006C3740">
      <w:pPr>
        <w:widowControl/>
        <w:spacing w:before="120" w:after="120" w:line="280" w:lineRule="exact"/>
        <w:ind w:left="851" w:hanging="851"/>
        <w:jc w:val="both"/>
        <w:rPr>
          <w:rFonts w:eastAsia="Calibri" w:cs="Arial"/>
          <w:szCs w:val="18"/>
          <w:lang w:eastAsia="en-US"/>
        </w:rPr>
      </w:pPr>
      <w:r w:rsidRPr="006C3740">
        <w:rPr>
          <w:rFonts w:eastAsia="Calibri"/>
          <w:szCs w:val="24"/>
          <w:lang w:eastAsia="en-US"/>
        </w:rPr>
        <w:t>32.</w:t>
      </w:r>
      <w:r w:rsidRPr="006C3740">
        <w:rPr>
          <w:rFonts w:eastAsia="Calibri"/>
          <w:szCs w:val="24"/>
          <w:lang w:eastAsia="en-US"/>
        </w:rPr>
        <w:tab/>
        <w:t>Når et tredjeland ansøger om at tiltræde en international aftale, som Unionen er part i, og som giver de kontraherende parter mulighed for at gøre indsigelse mod et tredjelands tiltrædelse, underrettes Parlamentet om denne ansøgning samtidig med Rådet.</w:t>
      </w:r>
    </w:p>
    <w:p w14:paraId="2D59BB9F" w14:textId="77777777" w:rsidR="006C3740" w:rsidRPr="006C3740" w:rsidRDefault="006C3740" w:rsidP="006C3740">
      <w:pPr>
        <w:widowControl/>
        <w:spacing w:before="120" w:after="120" w:line="280" w:lineRule="exact"/>
        <w:ind w:left="851" w:hanging="851"/>
        <w:jc w:val="both"/>
        <w:rPr>
          <w:rFonts w:eastAsia="Calibri" w:cs="Arial"/>
          <w:i/>
          <w:iCs/>
          <w:szCs w:val="18"/>
          <w:lang w:eastAsia="en-US"/>
        </w:rPr>
      </w:pPr>
      <w:r w:rsidRPr="006C3740">
        <w:rPr>
          <w:rFonts w:eastAsia="Calibri"/>
          <w:szCs w:val="24"/>
          <w:lang w:eastAsia="en-US"/>
        </w:rPr>
        <w:t>33.</w:t>
      </w:r>
      <w:r w:rsidRPr="006C3740">
        <w:rPr>
          <w:rFonts w:eastAsia="Calibri"/>
          <w:i/>
          <w:szCs w:val="24"/>
          <w:lang w:eastAsia="en-US"/>
        </w:rPr>
        <w:tab/>
      </w:r>
      <w:r w:rsidRPr="006C3740">
        <w:rPr>
          <w:rFonts w:eastAsia="Calibri"/>
          <w:szCs w:val="24"/>
          <w:lang w:eastAsia="en-US"/>
        </w:rPr>
        <w:t>Parlamentet skal forsynes med den i punkt 27 omhandlede underretning i så god tid, at det i givet fald kan udtrykke sine synspunkter, og således at Kommissionen er i stand til at tage hensyn til Parlamentets synspunkter i videst muligt omfang. Denne underretning af Parlamentet skal som hovedregel ske via de kompetente parlamentsudvalg og, hvor det er relevant, på et plenarmøde.</w:t>
      </w:r>
      <w:r w:rsidRPr="006C3740">
        <w:rPr>
          <w:rFonts w:eastAsia="Calibri"/>
          <w:i/>
          <w:szCs w:val="24"/>
          <w:lang w:eastAsia="en-US"/>
        </w:rPr>
        <w:t xml:space="preserve"> </w:t>
      </w:r>
    </w:p>
    <w:p w14:paraId="667F7F3A" w14:textId="77777777" w:rsidR="006C3740" w:rsidRPr="006C3740" w:rsidRDefault="006C3740" w:rsidP="006C3740">
      <w:pPr>
        <w:widowControl/>
        <w:spacing w:before="120" w:after="120"/>
        <w:ind w:left="851"/>
        <w:jc w:val="both"/>
        <w:rPr>
          <w:rFonts w:eastAsia="Calibri" w:cs="Arial"/>
          <w:iCs/>
          <w:szCs w:val="18"/>
          <w:lang w:eastAsia="en-US"/>
        </w:rPr>
      </w:pPr>
      <w:r w:rsidRPr="006C3740">
        <w:rPr>
          <w:rFonts w:eastAsia="Calibri"/>
          <w:szCs w:val="24"/>
          <w:lang w:eastAsia="en-US"/>
        </w:rPr>
        <w:t>Parlamentet og Kommissionen påtager sig at fastsætte passende procedurer og sikkerhedsforanstaltninger for tilsendelse af fortrolige oplysninger fra Kommissionen til Parlamentet i overensstemmelse med bestemmelserne i bilag II.</w:t>
      </w:r>
    </w:p>
    <w:p w14:paraId="4440C450"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lastRenderedPageBreak/>
        <w:t>34.</w:t>
      </w:r>
      <w:r w:rsidRPr="006C3740">
        <w:rPr>
          <w:rFonts w:eastAsia="Calibri"/>
          <w:szCs w:val="24"/>
          <w:lang w:eastAsia="en-US"/>
        </w:rPr>
        <w:tab/>
        <w:t>De to institutioner anerkender, at det som følge af deres forskellige institutionelle roller er Kommissionen, der repræsenterer Den Europæiske Union i internationale forhandlinger, med undtagelse af forhandlinger om den fælles udenrigs- og sikkerhedspolitik og andre i traktaterne fastlagte tilfælde.</w:t>
      </w:r>
    </w:p>
    <w:p w14:paraId="03B80EA7"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Hvor Kommissionen repræsenterer Unionen på internationale konferencer, giver den på Parlamentets anmodning en delegation af medlemmer af Europa-Parlamentet mulighed for at deltage som observatører i EU-delegationer, således at Parlamentet omgående kan underrettes fuldt ud om aktiviteterne på konferencen. Kommissionen påtager sig i givet fald systematisk at orientere parlamentsdelegationen om resultatet af forhandlingerne.</w:t>
      </w:r>
    </w:p>
    <w:p w14:paraId="4716CB20"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Medlemmer af Europa-Parlamentet må ikke deltage direkte i disse forhandlinger. De kan dog, inden for rammerne af de juridiske, tekniske og diplomatiske muligheder, tildeles observatørstatus af Kommissionen. Afviser Kommissionen at gøre dette, oplyser den Parlamentet om grundene hertil.</w:t>
      </w:r>
    </w:p>
    <w:p w14:paraId="507B55C7"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Herudover giver Kommissionen medlemmer af Europa-Parlamentet mulighed for at deltage som observatører i alle relevante møder under dens ansvar før og efter forhandlingsmøderne.</w:t>
      </w:r>
    </w:p>
    <w:p w14:paraId="26969441" w14:textId="77777777" w:rsidR="006C3740" w:rsidRPr="006C3740" w:rsidRDefault="006C3740" w:rsidP="006C3740">
      <w:pPr>
        <w:widowControl/>
        <w:spacing w:before="120" w:after="120"/>
        <w:ind w:left="851" w:hanging="851"/>
        <w:jc w:val="both"/>
        <w:rPr>
          <w:rFonts w:eastAsia="Calibri" w:cs="Arial"/>
          <w:b/>
          <w:i/>
          <w:szCs w:val="18"/>
          <w:lang w:eastAsia="en-US"/>
        </w:rPr>
      </w:pPr>
      <w:r w:rsidRPr="006C3740">
        <w:rPr>
          <w:rFonts w:eastAsia="Calibri"/>
          <w:szCs w:val="24"/>
          <w:lang w:eastAsia="en-US"/>
        </w:rPr>
        <w:t>35.</w:t>
      </w:r>
      <w:r w:rsidRPr="006C3740">
        <w:rPr>
          <w:rFonts w:eastAsia="Calibri"/>
          <w:szCs w:val="24"/>
          <w:lang w:eastAsia="en-US"/>
        </w:rPr>
        <w:tab/>
        <w:t>Kommissionen holder på samme betingelser systematisk Parlamentet underrettet om og sikrer så vidt mulig adgang for medlemmer af Europa-Parlamentet, der indgår i EU-delegationer, til møder, herunder så vidt muligt forberedende og koordinerende møder, i organer oprettet ved multilaterale internationale aftaler, der involverer Unionen, når sådanne organer skal træffe afgørelser, der kræver Parlamentets godkendelse, eller hvis gennemførelse kan kræve vedtagelse af retsakter i overensstemmelse med den almindelige lovgivningsprocedure, eller afgørelser, der indebærer væsentlige finansielle forpligtelser for Unionen over for tredjelande.</w:t>
      </w:r>
      <w:r w:rsidRPr="006C3740">
        <w:rPr>
          <w:rFonts w:eastAsia="Calibri"/>
          <w:b/>
          <w:i/>
          <w:szCs w:val="24"/>
          <w:lang w:eastAsia="en-US"/>
        </w:rPr>
        <w:t xml:space="preserve"> </w:t>
      </w:r>
    </w:p>
    <w:p w14:paraId="79C236BC"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36.</w:t>
      </w:r>
      <w:r w:rsidRPr="006C3740">
        <w:rPr>
          <w:rFonts w:eastAsia="Calibri"/>
          <w:szCs w:val="24"/>
          <w:lang w:eastAsia="en-US"/>
        </w:rPr>
        <w:tab/>
        <w:t>Kommissionen giver endvidere parlamentsdelegationer, der indgår i EU-delegationer ved internationale konferencer, adgang til at benytte alle EU-delegationernes faciliteter ved disse lejligheder, i overensstemmelse med det overordnede princip om godt samarbejde mellem institutionerne og inden for rammerne af den disponible logistik.</w:t>
      </w:r>
    </w:p>
    <w:p w14:paraId="2ABAC22F"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Parlamentets formand sender senest fire uger før en konferences begyndelse et forslag til Kommissionens formand om optagelse af en parlamentsdelegation i EU-delegationen med angivelse af parlamentsdelegationslederens navn og antallet af medlemmer af Europa-Parlamentet, der ønskes optaget. Denne frist kan undtagelsesvist forkortes i behørigt begrundede tilfælde.</w:t>
      </w:r>
    </w:p>
    <w:p w14:paraId="59B85087"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Antallet af medlemmer af Europa-Parlamentet i parlamentsdelegationen og af disses medarbejdere skal være proportionalt med den samlede EU-delegations størrelse.</w:t>
      </w:r>
    </w:p>
    <w:p w14:paraId="0EF62183"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37.</w:t>
      </w:r>
      <w:r w:rsidRPr="006C3740">
        <w:rPr>
          <w:rFonts w:eastAsia="Calibri"/>
          <w:szCs w:val="24"/>
          <w:lang w:eastAsia="en-US"/>
        </w:rPr>
        <w:tab/>
        <w:t>Kommissionen holder Parlamentet fuldt orienteret om fremskridtene i tiltrædelsesforhandlinger og navnlig om vigtige aspekter og udviklinger, således at det i god tid kan udtrykke sine synspunkter gennem de relevante parlamentsprocedurer.</w:t>
      </w:r>
    </w:p>
    <w:p w14:paraId="13706999"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38.</w:t>
      </w:r>
      <w:r w:rsidRPr="006C3740">
        <w:rPr>
          <w:rFonts w:eastAsia="Calibri"/>
          <w:szCs w:val="24"/>
          <w:lang w:eastAsia="en-US"/>
        </w:rPr>
        <w:tab/>
        <w:t>Såfremt Parlamentet vedtager en henstilling i henhold til sin forretningsorden om de forhold, der er omtalt i punkt 37, og såfremt Kommissionen af vægtige grunde beslutter, at den ikke kan støtte den pågældende henstilling, redegør den for grundene over for Parlamentet på et plenarmøde eller på det førstkommende møde i det relevante parlamentsudvalg.</w:t>
      </w:r>
    </w:p>
    <w:p w14:paraId="5A8FBF3D" w14:textId="77777777" w:rsidR="006C3740" w:rsidRPr="006C3740" w:rsidRDefault="006C3740" w:rsidP="006C3740">
      <w:pPr>
        <w:widowControl/>
        <w:spacing w:before="120" w:after="120"/>
        <w:jc w:val="both"/>
        <w:rPr>
          <w:rFonts w:eastAsia="Calibri" w:cs="Arial"/>
          <w:b/>
          <w:szCs w:val="18"/>
          <w:lang w:eastAsia="en-US"/>
        </w:rPr>
      </w:pPr>
      <w:r w:rsidRPr="006C3740">
        <w:rPr>
          <w:rFonts w:eastAsia="Calibri"/>
          <w:b/>
          <w:szCs w:val="24"/>
          <w:lang w:eastAsia="en-US"/>
        </w:rPr>
        <w:t>iii) Gennemførelse af budgettet</w:t>
      </w:r>
    </w:p>
    <w:p w14:paraId="57A86AE3" w14:textId="77777777" w:rsidR="006C3740" w:rsidRPr="006C3740" w:rsidRDefault="006C3740" w:rsidP="006C3740">
      <w:pPr>
        <w:widowControl/>
        <w:spacing w:before="120" w:after="120"/>
        <w:ind w:left="851" w:hanging="851"/>
        <w:jc w:val="both"/>
        <w:rPr>
          <w:rFonts w:eastAsia="Calibri" w:cs="Arial"/>
          <w:iCs/>
          <w:szCs w:val="18"/>
          <w:lang w:eastAsia="en-US"/>
        </w:rPr>
      </w:pPr>
      <w:r w:rsidRPr="006C3740">
        <w:rPr>
          <w:rFonts w:eastAsia="Calibri"/>
          <w:szCs w:val="24"/>
          <w:lang w:eastAsia="en-US"/>
        </w:rPr>
        <w:lastRenderedPageBreak/>
        <w:t>39.</w:t>
      </w:r>
      <w:r w:rsidRPr="006C3740">
        <w:rPr>
          <w:rFonts w:eastAsia="Calibri"/>
          <w:szCs w:val="24"/>
          <w:lang w:eastAsia="en-US"/>
        </w:rPr>
        <w:tab/>
        <w:t>Inden Kommissionen på donorkonferencer giver finansielle tilsagn, som indebærer nye finansielle forpligtelser og kræver budgetmyndighedens samtykke, underretter den budgetmyndigheden og tager dennes bemærkninger under overvejelse.</w:t>
      </w:r>
      <w:r w:rsidRPr="006C3740">
        <w:rPr>
          <w:rFonts w:eastAsia="Calibri"/>
          <w:b/>
          <w:szCs w:val="24"/>
          <w:lang w:eastAsia="en-US"/>
        </w:rPr>
        <w:t xml:space="preserve"> </w:t>
      </w:r>
      <w:r w:rsidRPr="006C3740">
        <w:rPr>
          <w:rFonts w:eastAsia="Calibri"/>
          <w:szCs w:val="24"/>
          <w:lang w:eastAsia="en-US"/>
        </w:rPr>
        <w:t>I forbindelse med alle finansielle tilsagn gør Kommissionen sit yderste for at informere budgetmyndigheden om finansieringskilderne til de finansielle forpligtelser.</w:t>
      </w:r>
    </w:p>
    <w:p w14:paraId="73197D99"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40.</w:t>
      </w:r>
      <w:r w:rsidRPr="006C3740">
        <w:rPr>
          <w:rFonts w:eastAsia="Calibri"/>
          <w:szCs w:val="24"/>
          <w:lang w:eastAsia="en-US"/>
        </w:rPr>
        <w:tab/>
        <w:t>I forbindelse med den årlige dechargeprocedure i henhold til artikel 319 i TEUF forelægger Kommissionen alle de oplysninger, der er nødvendige for at kontrollere gennemførelsen af budgettet for det pågældende år, og som formanden for det parlamentsudvalg, der er ansvarligt for dechargeproceduren i henhold til Parlamentets forretningsorden, anmoder om til dette formål.</w:t>
      </w:r>
    </w:p>
    <w:p w14:paraId="33F44F71"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Fremkommer der nye aspekter vedrørende tidligere år, der allerede er givet decharge for, forelægger Kommissionen alle nødvendige oplysninger om sagen med henblik på at nå frem til en løsning, der er acceptabel for begge parter.</w:t>
      </w:r>
    </w:p>
    <w:p w14:paraId="3E987B71" w14:textId="77777777" w:rsidR="006C3740" w:rsidRPr="006C3740" w:rsidRDefault="006C3740" w:rsidP="006C3740">
      <w:pPr>
        <w:widowControl/>
        <w:spacing w:before="120" w:after="120"/>
        <w:jc w:val="both"/>
        <w:rPr>
          <w:rFonts w:eastAsia="Calibri" w:cs="Arial"/>
          <w:b/>
          <w:szCs w:val="18"/>
          <w:lang w:eastAsia="en-US"/>
        </w:rPr>
      </w:pPr>
      <w:r w:rsidRPr="006C3740">
        <w:rPr>
          <w:rFonts w:eastAsia="Calibri"/>
          <w:b/>
          <w:szCs w:val="24"/>
          <w:lang w:eastAsia="en-US"/>
        </w:rPr>
        <w:t>iv) Forholdet til decentrale agenturer</w:t>
      </w:r>
    </w:p>
    <w:p w14:paraId="7AC46C46"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41.</w:t>
      </w:r>
      <w:r w:rsidRPr="006C3740">
        <w:rPr>
          <w:rFonts w:eastAsia="Calibri"/>
          <w:szCs w:val="24"/>
          <w:lang w:eastAsia="en-US"/>
        </w:rPr>
        <w:tab/>
        <w:t>Kandidater til posten som administrerende direktør for reguleringsagenturer bør deltage i høringer i parlamentsudvalg.</w:t>
      </w:r>
    </w:p>
    <w:p w14:paraId="5C7AAB8B"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I forbindelse med drøftelserne i den interinstitutionelle arbejdsgruppe om agenturer, der blev nedsat i marts 2009, vedtog Kommissionen, Parlamentet og Rådet endvidere en fælles tilgang til spørgsmålet om de decentrale agenturers rolle og stilling i Unionens institutionelle landskab, der fastsætter fælles retningslinjer for oprettelsen, opbygningen og driften af disse agenturer samt finansierings- budget-, tilsyns- og forvaltningsspørgsmål.</w:t>
      </w:r>
    </w:p>
    <w:p w14:paraId="6913E5E9" w14:textId="77777777" w:rsidR="006C3740" w:rsidRPr="006C3740" w:rsidRDefault="006C3740" w:rsidP="006C3740">
      <w:pPr>
        <w:widowControl/>
        <w:spacing w:before="120" w:after="120"/>
        <w:jc w:val="both"/>
        <w:rPr>
          <w:rFonts w:eastAsia="Calibri" w:cs="Arial"/>
          <w:b/>
          <w:szCs w:val="18"/>
          <w:lang w:eastAsia="en-US"/>
        </w:rPr>
      </w:pPr>
      <w:r w:rsidRPr="006C3740">
        <w:rPr>
          <w:rFonts w:eastAsia="Calibri"/>
          <w:b/>
          <w:szCs w:val="24"/>
          <w:lang w:eastAsia="en-US"/>
        </w:rPr>
        <w:t>IV. SAMARBEJDE OM LOVGIVNINGSMÆSSIGE PROCEDURER OG -PLANLÆGNING</w:t>
      </w:r>
    </w:p>
    <w:p w14:paraId="3B68037F" w14:textId="77777777" w:rsidR="006C3740" w:rsidRPr="006C3740" w:rsidRDefault="006C3740" w:rsidP="006C3740">
      <w:pPr>
        <w:widowControl/>
        <w:spacing w:before="120" w:after="120"/>
        <w:jc w:val="both"/>
        <w:rPr>
          <w:rFonts w:eastAsia="Calibri" w:cs="Arial"/>
          <w:b/>
          <w:szCs w:val="18"/>
          <w:lang w:eastAsia="en-US"/>
        </w:rPr>
      </w:pPr>
      <w:r w:rsidRPr="006C3740">
        <w:rPr>
          <w:rFonts w:eastAsia="Calibri"/>
          <w:b/>
          <w:szCs w:val="24"/>
          <w:lang w:eastAsia="en-US"/>
        </w:rPr>
        <w:t>i) Kommissionens arbejdsprogram og Den Europæiske Unions programmering</w:t>
      </w:r>
    </w:p>
    <w:p w14:paraId="205AEF89"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42.</w:t>
      </w:r>
      <w:r w:rsidRPr="006C3740">
        <w:rPr>
          <w:rFonts w:eastAsia="Calibri"/>
          <w:szCs w:val="24"/>
          <w:lang w:eastAsia="en-US"/>
        </w:rPr>
        <w:tab/>
        <w:t>Kommissionen tager initiativ til Unionens årlige og flerårige programmering med henblik på at indgå interinstitutionelle aftaler.</w:t>
      </w:r>
    </w:p>
    <w:p w14:paraId="5BA430C9"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43.</w:t>
      </w:r>
      <w:r w:rsidRPr="006C3740">
        <w:rPr>
          <w:rFonts w:eastAsia="Calibri"/>
          <w:szCs w:val="24"/>
          <w:lang w:eastAsia="en-US"/>
        </w:rPr>
        <w:tab/>
        <w:t>Kommissionen forelægger hvert år sit arbejdsprogram.</w:t>
      </w:r>
    </w:p>
    <w:p w14:paraId="44F07CF0"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44.</w:t>
      </w:r>
      <w:r w:rsidRPr="006C3740">
        <w:rPr>
          <w:rFonts w:eastAsia="Calibri"/>
          <w:szCs w:val="24"/>
          <w:lang w:eastAsia="en-US"/>
        </w:rPr>
        <w:tab/>
        <w:t>De to institutioner samarbejder i overensstemmelse med den tidsplan, der er fastsat i bilag IV.</w:t>
      </w:r>
    </w:p>
    <w:p w14:paraId="58F5EEEF" w14:textId="77777777" w:rsidR="006C3740" w:rsidRPr="006C3740" w:rsidRDefault="006C3740" w:rsidP="006C3740">
      <w:pPr>
        <w:widowControl/>
        <w:spacing w:before="120" w:after="120" w:line="280" w:lineRule="exact"/>
        <w:ind w:left="851"/>
        <w:jc w:val="both"/>
        <w:rPr>
          <w:rFonts w:eastAsia="Calibri" w:cs="Arial"/>
          <w:szCs w:val="18"/>
          <w:lang w:eastAsia="en-US"/>
        </w:rPr>
      </w:pPr>
      <w:r w:rsidRPr="006C3740">
        <w:rPr>
          <w:rFonts w:eastAsia="Calibri"/>
          <w:szCs w:val="24"/>
          <w:lang w:eastAsia="en-US"/>
        </w:rPr>
        <w:t xml:space="preserve">Kommissionen tager hensyn til Parlamentets prioriteter. </w:t>
      </w:r>
    </w:p>
    <w:p w14:paraId="6DDC284E"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Uden at det berører Kommissionens initiativret, giver Kommissionen så mange detaljer som muligt om, hvad der er planlagt under hvert punkt i dens arbejdsprogram, herunder de lovgivningsmæssige og ikkelovgivningsmæssige initiativer, der foreslås, og de forventede tidsfrister.</w:t>
      </w:r>
    </w:p>
    <w:p w14:paraId="32031E3D"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45.</w:t>
      </w:r>
      <w:r w:rsidRPr="006C3740">
        <w:rPr>
          <w:rFonts w:eastAsia="Calibri"/>
          <w:szCs w:val="24"/>
          <w:lang w:eastAsia="en-US"/>
        </w:rPr>
        <w:tab/>
        <w:t>Kommissionen skal give en forklaring, hvis den ikke er i stand til at fremsætte specifikke forslag i sit arbejdsprogram for det pågældende år, eller hvis den fraviger dette arbejdsprogram. Det kommissionsmedlem, der er ansvarlig for interinstitutionelle forbindelser, forpligter sig til regelmæssigt at aflægge beretning til Udvalgsformandskonferencen om den politiske gennemførelse af Kommissionens arbejdsprogram for det pågældende år.</w:t>
      </w:r>
    </w:p>
    <w:p w14:paraId="3CABE533" w14:textId="77777777" w:rsidR="006C3740" w:rsidRPr="006C3740" w:rsidRDefault="006C3740" w:rsidP="006C3740">
      <w:pPr>
        <w:widowControl/>
        <w:spacing w:before="120" w:after="120"/>
        <w:jc w:val="both"/>
        <w:rPr>
          <w:rFonts w:eastAsia="Calibri" w:cs="Arial"/>
          <w:b/>
          <w:szCs w:val="18"/>
          <w:lang w:eastAsia="en-US"/>
        </w:rPr>
      </w:pPr>
      <w:r w:rsidRPr="006C3740">
        <w:rPr>
          <w:rFonts w:eastAsia="Calibri"/>
          <w:b/>
          <w:szCs w:val="24"/>
          <w:lang w:eastAsia="en-US"/>
        </w:rPr>
        <w:t>ii) Procedurer for vedtagelse af retsakter</w:t>
      </w:r>
    </w:p>
    <w:p w14:paraId="2984A39B"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lastRenderedPageBreak/>
        <w:t>46.</w:t>
      </w:r>
      <w:r w:rsidRPr="006C3740">
        <w:rPr>
          <w:rFonts w:eastAsia="Calibri"/>
          <w:szCs w:val="24"/>
          <w:lang w:eastAsia="en-US"/>
        </w:rPr>
        <w:tab/>
        <w:t xml:space="preserve">Kommissionen forpligter sig til omhyggeligt at gennemgå de ændringer, som Parlamentet vedtager til dens lovgivningsmæssige forslag, med henblik på at tage hensyn til dem i et eventuelt ændret forslag. </w:t>
      </w:r>
    </w:p>
    <w:p w14:paraId="60852F1F"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Når Kommissionen i henhold til artikel 294 i TEUF afgiver sin udtalelse om Parlamentets ændringer, forpligter den sig til at tage størst muligt hensyn til de ændringer, der er vedtaget ved andenbehandlingen; såfremt den af vægtige grunde og efter behandling i kollegiet beslutter ikke at vedtage eller støtte disse ændringer, skal den redegøre for sin beslutning over for Parlamentet og under alle omstændigheder i sin udtalelse om Parlamentets ændringer i medfør af artikel 294, stk. 7, litra c), i TEUF.</w:t>
      </w:r>
    </w:p>
    <w:p w14:paraId="706DB2D7"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47.</w:t>
      </w:r>
      <w:r w:rsidRPr="006C3740">
        <w:rPr>
          <w:rFonts w:eastAsia="Calibri"/>
          <w:szCs w:val="24"/>
          <w:lang w:eastAsia="en-US"/>
        </w:rPr>
        <w:tab/>
        <w:t>Når der er tale om et initiativ forelagt af mindst en fjerdedel af medlemsstaterne, jf. artikel 76 i TEUF, forpligter Parlamentet sig til ikke at vedtage nogen betænkning i det relevante udvalg, før det har modtaget Kommissionens udtalelse om initiativet.</w:t>
      </w:r>
    </w:p>
    <w:p w14:paraId="3B72E89A"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Kommissionen forpligter sig til at afgive sin udtalelse om et sådant initiativ senest 10 uger efter dets forelæggelse.</w:t>
      </w:r>
    </w:p>
    <w:p w14:paraId="42523795" w14:textId="77777777" w:rsidR="006C3740" w:rsidRPr="006C3740" w:rsidRDefault="006C3740" w:rsidP="006C3740">
      <w:pPr>
        <w:widowControl/>
        <w:spacing w:before="120" w:after="120"/>
        <w:ind w:left="851" w:hanging="851"/>
        <w:jc w:val="both"/>
        <w:rPr>
          <w:rFonts w:eastAsia="Calibri" w:cs="Arial"/>
          <w:b/>
          <w:i/>
          <w:szCs w:val="18"/>
          <w:lang w:eastAsia="en-US"/>
        </w:rPr>
      </w:pPr>
      <w:r w:rsidRPr="006C3740">
        <w:rPr>
          <w:rFonts w:eastAsia="Calibri"/>
          <w:szCs w:val="24"/>
          <w:lang w:eastAsia="en-US"/>
        </w:rPr>
        <w:t>48.</w:t>
      </w:r>
      <w:r w:rsidRPr="006C3740">
        <w:rPr>
          <w:rFonts w:eastAsia="Calibri"/>
          <w:szCs w:val="24"/>
          <w:lang w:eastAsia="en-US"/>
        </w:rPr>
        <w:tab/>
        <w:t>Kommissionen giver en detaljeret begrundelse i god tid, før den trækker et forslag tilbage, som Parlamentet allerede har vedtaget en holdning til ved førstebehandling. Hvis de kompetente parlamentsudvalg anmoder herom, deltager det kompetente kommissionsmedlem i udvalgenes møder for at drøfte kommissærkollegiets hensigt om at trække forslaget tilbage, helst i forbindelse med strukturerede dialogudvekslinger.</w:t>
      </w:r>
    </w:p>
    <w:p w14:paraId="672B2E96"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Kommissionen indleder en ny mandatperiode med at gennemgå alle udestående forslag med henblik på enten at bekræfte dem politisk eller trække dem tilbage under behørig hensyntagen til de synspunkter, Parlamentet har udtrykt.</w:t>
      </w:r>
    </w:p>
    <w:p w14:paraId="7EA71A10"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49.</w:t>
      </w:r>
      <w:r w:rsidRPr="006C3740">
        <w:rPr>
          <w:rFonts w:eastAsia="Calibri"/>
          <w:szCs w:val="24"/>
          <w:lang w:eastAsia="en-US"/>
        </w:rPr>
        <w:tab/>
        <w:t>Ved særlige lovgivningsprocedurer, der kræver høring af Parlamentet, herunder andre procedurer, som den i artikel 148 i TEUF fastlagte, skal Kommissionen:</w:t>
      </w:r>
    </w:p>
    <w:p w14:paraId="6B9FD564" w14:textId="77777777" w:rsidR="006C3740" w:rsidRPr="006C3740" w:rsidRDefault="006C3740" w:rsidP="006C3740">
      <w:pPr>
        <w:widowControl/>
        <w:spacing w:before="120" w:after="120"/>
        <w:ind w:left="1418" w:hanging="567"/>
        <w:jc w:val="both"/>
        <w:rPr>
          <w:rFonts w:eastAsia="Calibri" w:cs="Arial"/>
          <w:szCs w:val="18"/>
          <w:lang w:eastAsia="en-US"/>
        </w:rPr>
      </w:pPr>
      <w:r w:rsidRPr="006C3740">
        <w:rPr>
          <w:rFonts w:eastAsia="Calibri"/>
          <w:szCs w:val="24"/>
          <w:lang w:eastAsia="en-US"/>
        </w:rPr>
        <w:t>i)</w:t>
      </w:r>
      <w:r w:rsidRPr="006C3740">
        <w:rPr>
          <w:rFonts w:eastAsia="Calibri"/>
          <w:szCs w:val="24"/>
          <w:lang w:eastAsia="en-US"/>
        </w:rPr>
        <w:tab/>
        <w:t>træffe foranstaltninger til at forbedre inddragelsen af Parlamentet, således at der i videst muligt omfang tages hensyn til Parlamentets synspunkter, navnlig ved at sikre, at Parlamentet får den fornødne tid til at behandle Kommissionens forslag</w:t>
      </w:r>
    </w:p>
    <w:p w14:paraId="6DCA47A6" w14:textId="77777777" w:rsidR="006C3740" w:rsidRPr="006C3740" w:rsidRDefault="006C3740" w:rsidP="006C3740">
      <w:pPr>
        <w:widowControl/>
        <w:spacing w:before="120" w:after="120"/>
        <w:ind w:left="1418" w:hanging="567"/>
        <w:jc w:val="both"/>
        <w:rPr>
          <w:rFonts w:eastAsia="Calibri" w:cs="Arial"/>
          <w:szCs w:val="18"/>
          <w:lang w:eastAsia="en-US"/>
        </w:rPr>
      </w:pPr>
      <w:r w:rsidRPr="006C3740">
        <w:rPr>
          <w:rFonts w:eastAsia="Calibri"/>
          <w:szCs w:val="24"/>
          <w:lang w:eastAsia="en-US"/>
        </w:rPr>
        <w:t>ii)</w:t>
      </w:r>
      <w:r w:rsidRPr="006C3740">
        <w:rPr>
          <w:rFonts w:eastAsia="Calibri"/>
          <w:szCs w:val="24"/>
          <w:lang w:eastAsia="en-US"/>
        </w:rPr>
        <w:tab/>
        <w:t>sikre, at Rådets organer i god tid mindes om, at der ikke må indgås politiske aftaler om dens forslag, før Parlamentet har vedtaget sin udtalelse. Den anmoder om, at forhandlingerne afsluttes på ministerniveau, når medlemmerne af Rådet har haft et rimeligt tidsrum til at behandle Parlamentets udtalelse</w:t>
      </w:r>
    </w:p>
    <w:p w14:paraId="042BA1EC" w14:textId="77777777" w:rsidR="006C3740" w:rsidRPr="006C3740" w:rsidRDefault="006C3740" w:rsidP="006C3740">
      <w:pPr>
        <w:widowControl/>
        <w:spacing w:before="120" w:after="120"/>
        <w:ind w:left="1418" w:hanging="567"/>
        <w:jc w:val="both"/>
        <w:rPr>
          <w:rFonts w:eastAsia="Calibri" w:cs="Arial"/>
          <w:szCs w:val="18"/>
          <w:lang w:eastAsia="en-US"/>
        </w:rPr>
      </w:pPr>
      <w:r w:rsidRPr="006C3740">
        <w:rPr>
          <w:rFonts w:eastAsia="Calibri"/>
          <w:szCs w:val="24"/>
          <w:lang w:eastAsia="en-US"/>
        </w:rPr>
        <w:t>iii)</w:t>
      </w:r>
      <w:r w:rsidRPr="006C3740">
        <w:rPr>
          <w:rFonts w:eastAsia="Calibri"/>
          <w:szCs w:val="24"/>
          <w:lang w:eastAsia="en-US"/>
        </w:rPr>
        <w:tab/>
        <w:t>sikre, at Rådet følger de regler, som er udviklet i EU-Domstolens praksis, om at Parlamentet skal høres på ny, såfremt Rådet ændrer et kommissionsforslag væsentligt. Kommissionen skal orientere Parlamentet om eventuelle påmindelser til Rådet om, at der skal foretages fornyet høring</w:t>
      </w:r>
    </w:p>
    <w:p w14:paraId="18EF7C88" w14:textId="77777777" w:rsidR="006C3740" w:rsidRPr="006C3740" w:rsidRDefault="006C3740" w:rsidP="006C3740">
      <w:pPr>
        <w:widowControl/>
        <w:spacing w:before="120" w:after="120"/>
        <w:ind w:left="1418" w:hanging="567"/>
        <w:jc w:val="both"/>
        <w:rPr>
          <w:rFonts w:eastAsia="Calibri" w:cs="Arial"/>
          <w:szCs w:val="18"/>
          <w:lang w:eastAsia="en-US"/>
        </w:rPr>
      </w:pPr>
      <w:r w:rsidRPr="006C3740">
        <w:rPr>
          <w:rFonts w:eastAsia="Calibri"/>
          <w:szCs w:val="24"/>
          <w:lang w:eastAsia="en-US"/>
        </w:rPr>
        <w:t>iv)</w:t>
      </w:r>
      <w:r w:rsidRPr="006C3740">
        <w:rPr>
          <w:rFonts w:eastAsia="Calibri"/>
          <w:szCs w:val="24"/>
          <w:lang w:eastAsia="en-US"/>
        </w:rPr>
        <w:tab/>
        <w:t>forpligte sig til i givet fald at trække et lovgivningsforslag tilbage, som Parlamentet har forkastet. Såfremt Kommissionen af vægtige grunde efter behandling i kommissærkollegiet beslutter at fastholde forslaget, begrunder den dette i en redegørelse til Parlamentet.</w:t>
      </w:r>
    </w:p>
    <w:p w14:paraId="36891DD0"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50.</w:t>
      </w:r>
      <w:r w:rsidRPr="006C3740">
        <w:rPr>
          <w:rFonts w:eastAsia="Calibri"/>
          <w:szCs w:val="24"/>
          <w:lang w:eastAsia="en-US"/>
        </w:rPr>
        <w:tab/>
        <w:t>Kommissionen følger behørigt op på anmodninger fra Parlamentets formand om at indkalde til et interinstitutionelt møde i henhold til artikel 324 i TEUF.</w:t>
      </w:r>
    </w:p>
    <w:p w14:paraId="45497513"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lastRenderedPageBreak/>
        <w:t>51.</w:t>
      </w:r>
      <w:r w:rsidRPr="006C3740">
        <w:rPr>
          <w:rFonts w:eastAsia="Calibri"/>
          <w:szCs w:val="24"/>
          <w:lang w:eastAsia="en-US"/>
        </w:rPr>
        <w:tab/>
        <w:t>Med henblik på at forbedre den lovgivningsmæssige planlægning forpligter Parlamentet sig på sin side til:</w:t>
      </w:r>
    </w:p>
    <w:p w14:paraId="2E1D42CE" w14:textId="77777777" w:rsidR="006C3740" w:rsidRPr="006C3740" w:rsidRDefault="006C3740" w:rsidP="006C3740">
      <w:pPr>
        <w:widowControl/>
        <w:spacing w:before="120" w:after="120"/>
        <w:ind w:left="1418" w:hanging="567"/>
        <w:jc w:val="both"/>
        <w:rPr>
          <w:rFonts w:eastAsia="Calibri" w:cs="Arial"/>
          <w:szCs w:val="18"/>
          <w:lang w:eastAsia="en-US"/>
        </w:rPr>
      </w:pPr>
      <w:r w:rsidRPr="006C3740">
        <w:rPr>
          <w:rFonts w:eastAsia="Calibri"/>
          <w:szCs w:val="24"/>
          <w:lang w:eastAsia="en-US"/>
        </w:rPr>
        <w:t>i)</w:t>
      </w:r>
      <w:r w:rsidRPr="006C3740">
        <w:rPr>
          <w:rFonts w:eastAsia="Calibri"/>
          <w:szCs w:val="24"/>
          <w:lang w:eastAsia="en-US"/>
        </w:rPr>
        <w:tab/>
        <w:t>at planlægge de lovgivningsmæssige afsnit af sine dagsordener således, at de bringes i overensstemmelse med Kommissionens arbejdsprogram og de beslutninger, som det har vedtaget om programmet, navnlig med henblik på at forbedre planlægningen af de prioriterede forhandlinger</w:t>
      </w:r>
    </w:p>
    <w:p w14:paraId="339897B4" w14:textId="77777777" w:rsidR="006C3740" w:rsidRPr="006C3740" w:rsidRDefault="006C3740" w:rsidP="006C3740">
      <w:pPr>
        <w:widowControl/>
        <w:spacing w:before="120" w:after="120"/>
        <w:ind w:left="1418" w:hanging="567"/>
        <w:jc w:val="both"/>
        <w:rPr>
          <w:rFonts w:eastAsia="Calibri" w:cs="Arial"/>
          <w:szCs w:val="18"/>
          <w:lang w:eastAsia="en-US"/>
        </w:rPr>
      </w:pPr>
      <w:r w:rsidRPr="006C3740">
        <w:rPr>
          <w:rFonts w:eastAsia="Calibri"/>
          <w:szCs w:val="24"/>
          <w:lang w:eastAsia="en-US"/>
        </w:rPr>
        <w:t>ii)</w:t>
      </w:r>
      <w:r w:rsidRPr="006C3740">
        <w:rPr>
          <w:rFonts w:eastAsia="Calibri"/>
          <w:szCs w:val="24"/>
          <w:lang w:eastAsia="en-US"/>
        </w:rPr>
        <w:tab/>
        <w:t>i det omfang det er hensigtsmæssigt for proceduren, at overholde rimelige frister ved vedtagelsen af sin holdning ved førstebehandlingen under den almindelige lovgivningsprocedure og i forbindelse med høringsproceduren</w:t>
      </w:r>
    </w:p>
    <w:p w14:paraId="00009715" w14:textId="77777777" w:rsidR="006C3740" w:rsidRPr="006C3740" w:rsidRDefault="006C3740" w:rsidP="006C3740">
      <w:pPr>
        <w:widowControl/>
        <w:spacing w:before="120" w:after="120"/>
        <w:ind w:left="1418" w:hanging="567"/>
        <w:jc w:val="both"/>
        <w:rPr>
          <w:rFonts w:eastAsia="Calibri" w:cs="Arial"/>
          <w:szCs w:val="18"/>
          <w:lang w:eastAsia="en-US"/>
        </w:rPr>
      </w:pPr>
      <w:r w:rsidRPr="006C3740">
        <w:rPr>
          <w:rFonts w:eastAsia="Calibri"/>
          <w:szCs w:val="24"/>
          <w:lang w:eastAsia="en-US"/>
        </w:rPr>
        <w:t>iii)</w:t>
      </w:r>
      <w:r w:rsidRPr="006C3740">
        <w:rPr>
          <w:rFonts w:eastAsia="Calibri"/>
          <w:szCs w:val="24"/>
          <w:lang w:eastAsia="en-US"/>
        </w:rPr>
        <w:tab/>
        <w:t xml:space="preserve">i videst muligt omfang at udnævne ordførere for kommende forslag, så snart Kommissionens arbejdsprogram er vedtaget </w:t>
      </w:r>
    </w:p>
    <w:p w14:paraId="31B0A711" w14:textId="77777777" w:rsidR="006C3740" w:rsidRPr="006C3740" w:rsidRDefault="006C3740" w:rsidP="006C3740">
      <w:pPr>
        <w:widowControl/>
        <w:spacing w:before="120" w:after="120"/>
        <w:ind w:left="1418" w:hanging="567"/>
        <w:jc w:val="both"/>
        <w:rPr>
          <w:rFonts w:eastAsia="Calibri" w:cs="Arial"/>
          <w:szCs w:val="18"/>
          <w:lang w:eastAsia="en-US"/>
        </w:rPr>
      </w:pPr>
      <w:r w:rsidRPr="006C3740">
        <w:rPr>
          <w:rFonts w:eastAsia="Calibri"/>
          <w:szCs w:val="24"/>
          <w:lang w:eastAsia="en-US"/>
        </w:rPr>
        <w:t>iv)</w:t>
      </w:r>
      <w:r w:rsidRPr="006C3740">
        <w:rPr>
          <w:rFonts w:eastAsia="Calibri"/>
          <w:szCs w:val="24"/>
          <w:lang w:eastAsia="en-US"/>
        </w:rPr>
        <w:tab/>
        <w:t>at behandle anmodninger om fornyet høring som spørgsmål af absolut prioritet, forudsat at det har modtaget alle de nødvendige oplysninger.</w:t>
      </w:r>
    </w:p>
    <w:p w14:paraId="6BA87384" w14:textId="77777777" w:rsidR="00981DB9" w:rsidRDefault="006C3740" w:rsidP="00145CAF">
      <w:pPr>
        <w:widowControl/>
        <w:spacing w:before="120" w:after="120"/>
        <w:ind w:left="851" w:hanging="851"/>
        <w:jc w:val="both"/>
        <w:rPr>
          <w:rFonts w:eastAsia="Calibri"/>
          <w:szCs w:val="24"/>
          <w:lang w:eastAsia="en-US"/>
        </w:rPr>
      </w:pPr>
      <w:r w:rsidRPr="006C3740">
        <w:rPr>
          <w:rFonts w:eastAsia="Calibri"/>
          <w:szCs w:val="24"/>
          <w:lang w:eastAsia="en-US"/>
        </w:rPr>
        <w:t>52.</w:t>
      </w:r>
      <w:r w:rsidRPr="006C3740">
        <w:rPr>
          <w:rFonts w:eastAsia="Calibri"/>
          <w:szCs w:val="24"/>
          <w:lang w:eastAsia="en-US"/>
        </w:rPr>
        <w:tab/>
        <w:t xml:space="preserve">Parlamentet og Kommissionen minder om, at </w:t>
      </w:r>
      <w:r w:rsidRPr="006C3740">
        <w:rPr>
          <w:rFonts w:eastAsia="Calibri"/>
          <w:bCs/>
          <w:iCs/>
          <w:szCs w:val="18"/>
          <w:lang w:eastAsia="en-US"/>
        </w:rPr>
        <w:t xml:space="preserve">artikel 122 i TEUF, </w:t>
      </w:r>
      <w:r w:rsidRPr="006C3740">
        <w:rPr>
          <w:rFonts w:eastAsia="Calibri"/>
          <w:szCs w:val="24"/>
          <w:lang w:eastAsia="en-US"/>
        </w:rPr>
        <w:t xml:space="preserve">med forbehold af de øvrige procedurer i traktaterne kun kan anvendes undtagelsesvis og på de strenge betingelser, der er fastsat i nævnte bestemmelse. </w:t>
      </w:r>
    </w:p>
    <w:p w14:paraId="610617FC" w14:textId="3F16E052" w:rsidR="006C3740" w:rsidRPr="006C3740" w:rsidRDefault="006C3740" w:rsidP="00981DB9">
      <w:pPr>
        <w:widowControl/>
        <w:spacing w:before="120" w:after="120"/>
        <w:ind w:left="851"/>
        <w:jc w:val="both"/>
        <w:rPr>
          <w:rFonts w:eastAsia="Calibri" w:cs="Arial"/>
          <w:bCs/>
          <w:iCs/>
          <w:szCs w:val="18"/>
          <w:lang w:eastAsia="en-US"/>
        </w:rPr>
      </w:pPr>
      <w:r w:rsidRPr="006C3740">
        <w:rPr>
          <w:rFonts w:eastAsia="Calibri"/>
          <w:szCs w:val="24"/>
          <w:lang w:eastAsia="en-US"/>
        </w:rPr>
        <w:t>Kommissionen forpligter sig til straks at give en fyldestgørende begrundelse og oplysninger om de usædvanlige tilfælde og nødsituationer, hvor Kommissionens forslag er baseret på artikel 122 i TEUF.</w:t>
      </w:r>
    </w:p>
    <w:p w14:paraId="41D2F9E2" w14:textId="77777777" w:rsidR="006C3740" w:rsidRPr="006C3740" w:rsidRDefault="006C3740" w:rsidP="006C3740">
      <w:pPr>
        <w:widowControl/>
        <w:spacing w:before="120" w:after="120"/>
        <w:ind w:left="851"/>
        <w:jc w:val="both"/>
        <w:rPr>
          <w:rFonts w:eastAsia="Calibri" w:cs="Arial"/>
          <w:bCs/>
          <w:iCs/>
          <w:szCs w:val="18"/>
          <w:lang w:eastAsia="en-US"/>
        </w:rPr>
      </w:pPr>
      <w:r w:rsidRPr="006C3740">
        <w:rPr>
          <w:rFonts w:eastAsia="Calibri"/>
          <w:szCs w:val="24"/>
          <w:lang w:eastAsia="en-US"/>
        </w:rPr>
        <w:t>Når den foreslåede retsakt potentielt kan have betydelige virkninger for Unionens budget, finder proceduren i den Fælles erklæring fra Europa-Parlamentet, Rådet og Kommissionen om budgetkontrol med nye forslag på grundlag af artikel 122 i TEUF med potentielt betydelige virkninger for Unionens budget</w:t>
      </w:r>
      <w:r w:rsidRPr="006C3740">
        <w:rPr>
          <w:rFonts w:eastAsia="Calibri" w:cs="Arial"/>
          <w:bCs/>
          <w:iCs/>
          <w:szCs w:val="18"/>
          <w:vertAlign w:val="superscript"/>
          <w:lang w:eastAsia="en-US"/>
        </w:rPr>
        <w:footnoteReference w:id="6"/>
      </w:r>
      <w:r w:rsidRPr="006C3740">
        <w:rPr>
          <w:rFonts w:eastAsia="Calibri"/>
          <w:szCs w:val="24"/>
          <w:lang w:eastAsia="en-US"/>
        </w:rPr>
        <w:t>, der blev undertegnet den 16. december 2020, anvendelse.</w:t>
      </w:r>
    </w:p>
    <w:p w14:paraId="55C93D0D" w14:textId="77777777" w:rsidR="006C3740" w:rsidRPr="006C3740" w:rsidRDefault="006C3740" w:rsidP="006C3740">
      <w:pPr>
        <w:widowControl/>
        <w:spacing w:before="120" w:after="120"/>
        <w:ind w:left="851"/>
        <w:jc w:val="both"/>
        <w:rPr>
          <w:rFonts w:eastAsia="Calibri"/>
          <w:bCs/>
          <w:iCs/>
          <w:szCs w:val="24"/>
          <w:lang w:eastAsia="en-US"/>
        </w:rPr>
      </w:pPr>
      <w:r w:rsidRPr="006C3740">
        <w:rPr>
          <w:rFonts w:eastAsia="Calibri"/>
          <w:szCs w:val="24"/>
          <w:lang w:eastAsia="en-US"/>
        </w:rPr>
        <w:t>Tidligst tre måneder efter ikrafttrædelsen af den retsakt, der er baseret på artikel 122 i TEUF, og derefter med passende mellemrum aflægger det ansvarlige kommissionsmedlem efter anmodning fra Parlamentets formand rapport om gennemførelsen af den pågældende retsakt, herunder en vurdering af retsakten.</w:t>
      </w:r>
    </w:p>
    <w:p w14:paraId="2437EF6B" w14:textId="77777777" w:rsidR="006C3740" w:rsidRPr="006C3740" w:rsidRDefault="006C3740" w:rsidP="006C3740">
      <w:pPr>
        <w:widowControl/>
        <w:spacing w:before="120" w:after="120" w:line="280" w:lineRule="exact"/>
        <w:ind w:left="851" w:hanging="851"/>
        <w:jc w:val="both"/>
        <w:rPr>
          <w:rFonts w:eastAsia="Calibri" w:cs="Arial"/>
          <w:iCs/>
          <w:szCs w:val="18"/>
          <w:lang w:eastAsia="en-US"/>
        </w:rPr>
      </w:pPr>
      <w:r w:rsidRPr="006C3740">
        <w:rPr>
          <w:rFonts w:eastAsia="Calibri"/>
          <w:szCs w:val="24"/>
          <w:lang w:eastAsia="en-US"/>
        </w:rPr>
        <w:t>53.</w:t>
      </w:r>
      <w:r w:rsidRPr="006C3740">
        <w:rPr>
          <w:rFonts w:eastAsia="Calibri"/>
          <w:szCs w:val="24"/>
          <w:lang w:eastAsia="en-US"/>
        </w:rPr>
        <w:tab/>
        <w:t xml:space="preserve">Hvis uforudsete udviklinger berettiger det, kan Kommissionen anmode Parlamentet om at træffe en uopsættelig afgørelse om et forslag. </w:t>
      </w:r>
    </w:p>
    <w:p w14:paraId="10E8B198" w14:textId="77777777" w:rsidR="006C3740" w:rsidRPr="006C3740" w:rsidRDefault="006C3740" w:rsidP="006C3740">
      <w:pPr>
        <w:widowControl/>
        <w:spacing w:before="120" w:after="120" w:line="280" w:lineRule="exact"/>
        <w:ind w:left="851"/>
        <w:jc w:val="both"/>
        <w:rPr>
          <w:rFonts w:eastAsia="Calibri" w:cs="Arial"/>
          <w:iCs/>
          <w:szCs w:val="18"/>
          <w:lang w:eastAsia="en-US"/>
        </w:rPr>
      </w:pPr>
      <w:r w:rsidRPr="006C3740">
        <w:rPr>
          <w:rFonts w:eastAsia="Calibri"/>
          <w:szCs w:val="24"/>
          <w:lang w:eastAsia="en-US"/>
        </w:rPr>
        <w:t>En sådan anmodning indgives skriftligt og indeholde en begrundelse for anmodningen og en angivelse af lovpligtige frister, hvor det er relevant.</w:t>
      </w:r>
    </w:p>
    <w:p w14:paraId="49F1BFE7" w14:textId="77777777" w:rsidR="006C3740" w:rsidRPr="006C3740" w:rsidRDefault="006C3740" w:rsidP="006C3740">
      <w:pPr>
        <w:widowControl/>
        <w:spacing w:before="120" w:after="120"/>
        <w:ind w:left="851"/>
        <w:jc w:val="both"/>
        <w:rPr>
          <w:rFonts w:eastAsia="Calibri" w:cs="Arial"/>
          <w:iCs/>
          <w:szCs w:val="18"/>
          <w:lang w:eastAsia="en-US"/>
        </w:rPr>
      </w:pPr>
      <w:r w:rsidRPr="006C3740">
        <w:rPr>
          <w:rFonts w:eastAsia="Calibri"/>
          <w:szCs w:val="24"/>
          <w:lang w:eastAsia="en-US"/>
        </w:rPr>
        <w:t xml:space="preserve">Inden afstemningen om anmodningen om en procedure med henblik på at der træffes en uopsættelig afgørelse gives Kommissionen, såfremt den anmoder herom, mulighed for at fremsætte en redegørelse på plenarmødet for at forklare sin anmodning. </w:t>
      </w:r>
    </w:p>
    <w:p w14:paraId="5A5BD6C9"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54.</w:t>
      </w:r>
      <w:r w:rsidRPr="006C3740">
        <w:rPr>
          <w:rFonts w:eastAsia="Calibri"/>
          <w:szCs w:val="24"/>
          <w:lang w:eastAsia="en-US"/>
        </w:rPr>
        <w:tab/>
        <w:t>Kommissionen sikrer, at dens konsekvensanalyser gennemføres på dens ansvar ved en gennemsigtig procedure, der sikrer en uafhængig analyse. Konsekvensanalyserne offentliggøres rettidigt og tager højde for en række forskellige scenarier, herunder "undlade at handle"-løsningen, og forelægges principielt det relevante parlamentsudvalg i løbet af fasen med information til de nationale parlamenter i henhold til protokol nr. 1 og 2 til TEUF.</w:t>
      </w:r>
    </w:p>
    <w:p w14:paraId="104BBD02" w14:textId="77777777" w:rsidR="006C3740" w:rsidRPr="006C3740" w:rsidRDefault="006C3740" w:rsidP="006C3740">
      <w:pPr>
        <w:widowControl/>
        <w:spacing w:before="120" w:after="120"/>
        <w:ind w:left="851" w:hanging="851"/>
        <w:jc w:val="both"/>
        <w:rPr>
          <w:rFonts w:eastAsia="Calibri" w:cs="Arial"/>
          <w:bCs/>
          <w:iCs/>
          <w:szCs w:val="18"/>
          <w:lang w:eastAsia="en-US"/>
        </w:rPr>
      </w:pPr>
      <w:r w:rsidRPr="006C3740">
        <w:rPr>
          <w:rFonts w:eastAsia="Calibri"/>
          <w:szCs w:val="24"/>
          <w:lang w:eastAsia="en-US"/>
        </w:rPr>
        <w:lastRenderedPageBreak/>
        <w:t>55.</w:t>
      </w:r>
      <w:r w:rsidRPr="006C3740">
        <w:rPr>
          <w:rFonts w:eastAsia="Calibri"/>
          <w:szCs w:val="24"/>
          <w:lang w:eastAsia="en-US"/>
        </w:rPr>
        <w:tab/>
        <w:t>På områder, hvor Parlamentet normalt er inddraget i lovgivningsprocessen, anvender Kommissionen, hvor det er relevant og behørigt begrundet, "soft law" efter at have givet Parlamentet lejlighed til at give udtryk for sine synspunkter. Kommissionen giver, når den vedtager sit forslag, en grundig redegørelse for, hvordan Parlamentets synspunkter er blevet tilgodeset.</w:t>
      </w:r>
    </w:p>
    <w:p w14:paraId="449E9CFD"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56.</w:t>
      </w:r>
      <w:r w:rsidRPr="006C3740">
        <w:rPr>
          <w:rFonts w:eastAsia="Calibri"/>
          <w:szCs w:val="24"/>
          <w:lang w:eastAsia="en-US"/>
        </w:rPr>
        <w:tab/>
        <w:t>For at sikre bedre overvågning af gennemførelsen og anvendelsen af EU-retten, bestræber Kommissionen og Parlamentet sig på at indføje obligatoriske sammenligningstabeller og fastlægge en bindende frist for gennemførelsen, som for direktivers vedkommende normalt ikke bør overstige to år.</w:t>
      </w:r>
    </w:p>
    <w:p w14:paraId="13F976A5"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Kommissionen stiller i tilgift til sine særberetninger og den årlige beretning om gennemførelsen af EU-retten oversigter over alle traktatbrudsprocedurer fra tidspunktet for åbningsskrivelsen, til rådighed for Parlamentet, herunder – efter anmodning fra Parlamentet, på enkeltsagsbasis og under overholdelse af fortrolighedsreglerne, især dem, der er anerkendt af EU-Domstolen – oplysninger om de spørgsmål, som traktatbrudsproceduren vedrører.</w:t>
      </w:r>
    </w:p>
    <w:p w14:paraId="64495E86" w14:textId="77777777" w:rsidR="006C3740" w:rsidRPr="006C3740" w:rsidRDefault="006C3740" w:rsidP="006C3740">
      <w:pPr>
        <w:widowControl/>
        <w:spacing w:before="120" w:after="120"/>
        <w:jc w:val="both"/>
        <w:rPr>
          <w:rFonts w:eastAsia="Calibri" w:cs="Arial"/>
          <w:b/>
          <w:szCs w:val="18"/>
          <w:lang w:eastAsia="en-US"/>
        </w:rPr>
      </w:pPr>
      <w:r w:rsidRPr="006C3740">
        <w:rPr>
          <w:rFonts w:eastAsia="Calibri"/>
          <w:b/>
          <w:szCs w:val="24"/>
          <w:lang w:eastAsia="en-US"/>
        </w:rPr>
        <w:t>V. KOMMISISONENS DELTAGELSE I PARLAMENTETS ARBEJDE</w:t>
      </w:r>
    </w:p>
    <w:p w14:paraId="6DBC1890" w14:textId="77777777" w:rsidR="006C3740" w:rsidRPr="006C3740" w:rsidRDefault="006C3740" w:rsidP="006C3740">
      <w:pPr>
        <w:widowControl/>
        <w:spacing w:before="120" w:after="120"/>
        <w:ind w:left="851" w:hanging="851"/>
        <w:jc w:val="both"/>
        <w:rPr>
          <w:rFonts w:eastAsia="Calibri" w:cs="Arial"/>
          <w:strike/>
          <w:szCs w:val="18"/>
          <w:lang w:eastAsia="en-US"/>
        </w:rPr>
      </w:pPr>
      <w:r w:rsidRPr="006C3740">
        <w:rPr>
          <w:rFonts w:eastAsia="Calibri"/>
          <w:szCs w:val="24"/>
          <w:lang w:eastAsia="en-US"/>
        </w:rPr>
        <w:t>57.</w:t>
      </w:r>
      <w:r w:rsidRPr="006C3740">
        <w:rPr>
          <w:rFonts w:eastAsia="Calibri"/>
          <w:szCs w:val="24"/>
          <w:lang w:eastAsia="en-US"/>
        </w:rPr>
        <w:tab/>
        <w:t>Kommissionen er på anmodning til stede på Parlamentets plenarmøder eller andre møder.</w:t>
      </w:r>
    </w:p>
    <w:p w14:paraId="64073D01" w14:textId="77777777" w:rsidR="006C3740" w:rsidRPr="006C3740" w:rsidRDefault="006C3740" w:rsidP="006C3740">
      <w:pPr>
        <w:widowControl/>
        <w:spacing w:before="120" w:after="120" w:line="280" w:lineRule="exact"/>
        <w:ind w:left="851"/>
        <w:jc w:val="both"/>
        <w:rPr>
          <w:rFonts w:eastAsia="Calibri" w:cs="Arial"/>
          <w:szCs w:val="18"/>
          <w:lang w:eastAsia="en-US"/>
        </w:rPr>
      </w:pPr>
      <w:r w:rsidRPr="006C3740">
        <w:rPr>
          <w:rFonts w:eastAsia="Calibri"/>
          <w:szCs w:val="24"/>
          <w:lang w:eastAsia="en-US"/>
        </w:rPr>
        <w:t xml:space="preserve">Kommissionen sikrer, at kommissionsmedlemmer er til stede på plenarmøderne enten for at dække dagsordenspunkter, der henhører under deres ansvarsområde, eller efter specifik anmodning fra Parlamentet som led i dets politiske tilsynsfunktion, medmindre der er behørigt begrundede årsager til, at de ikke deltager. Hvor særlige omstændigheder i forbindelse med et punkt på dagsordenen berettiger det, kan Parlamentet anmode om, at et bestemt kommissionsmedlem er til stede på plenarmødet. </w:t>
      </w:r>
    </w:p>
    <w:p w14:paraId="04BC3066"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Hvor der foretages ændringer i plenarforsamlingens dagsordener, gør Kommissionen sit yderste for at sikre en passende repræsentation svarende til dagsordenspunkterne.</w:t>
      </w:r>
    </w:p>
    <w:p w14:paraId="42997526"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Parlamentet søger at sikre, at dagsordenspunkter for en mødeperiode, som hører under samme kommissionsmedlems ansvarsområder, som hovedregel opføres samlet. Hvor Kommissionen foreslår en bestemt tidsplan for et punkt på dagsordenen for at gøre det lettere for det ansvarlige kommissionsmedlem at deltage, vil Parlamentet tilstræbe at imødekomme denne anmodning.</w:t>
      </w:r>
    </w:p>
    <w:p w14:paraId="14300035"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58.</w:t>
      </w:r>
      <w:r w:rsidRPr="006C3740">
        <w:rPr>
          <w:rFonts w:eastAsia="Calibri"/>
          <w:szCs w:val="24"/>
          <w:lang w:eastAsia="en-US"/>
        </w:rPr>
        <w:tab/>
        <w:t>For hver mødeperiode kan Parlamentet indbyde Kommissionen til spørgetid af en varighed på op til 90 minutter om et eller flere temaer, som Formandskonferencen vedtager senest torsdag før den pågældende mødeperiode. De kommissionsmedlemmer, der deltager i spørgetiden, skal have et ansvarsområde, som er relevant for det tema, der vil blive stillet spørgsmål om.</w:t>
      </w:r>
    </w:p>
    <w:p w14:paraId="1084BD16"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Der kan også afholdes spørgetid med Kommissionens formand efter modtagelse af indbydelse fra Parlamentets formand.</w:t>
      </w:r>
    </w:p>
    <w:p w14:paraId="4F56A193"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59.</w:t>
      </w:r>
      <w:r w:rsidRPr="006C3740">
        <w:rPr>
          <w:rFonts w:eastAsia="Calibri"/>
          <w:szCs w:val="24"/>
          <w:lang w:eastAsia="en-US"/>
        </w:rPr>
        <w:tab/>
        <w:t>Kommissionsmedlemmer skal høres, hvis de anmoder om det.</w:t>
      </w:r>
    </w:p>
    <w:p w14:paraId="4981612A"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 xml:space="preserve">Uden at det berører artikel 230 i TEUF, vedtager de to institutioner generelle regler for fordelingen af taletid mellem sig. </w:t>
      </w:r>
    </w:p>
    <w:p w14:paraId="03795D28"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De to institutioner er enige om, at deres vejledende tildeling af taletid bør respekteres.</w:t>
      </w:r>
    </w:p>
    <w:p w14:paraId="61F7734A"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lastRenderedPageBreak/>
        <w:t>60.</w:t>
      </w:r>
      <w:r w:rsidRPr="006C3740">
        <w:rPr>
          <w:rFonts w:eastAsia="Calibri"/>
          <w:szCs w:val="24"/>
          <w:lang w:eastAsia="en-US"/>
        </w:rPr>
        <w:tab/>
        <w:t xml:space="preserve">For at sikre, at kommissionsmedlemmer kan være til stede, forpligter Parlamentet sig til at bestræbe sig på at fastholde sine endelige forslag til dagsorden. </w:t>
      </w:r>
    </w:p>
    <w:p w14:paraId="6D0EBAB7"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Såfremt Parlamentet ændrer sit endelige forslag til dagsorden eller rækkefølgen af punkterne på dagsordenen for en mødeperiode, underretter det omgående Kommissionen. Kommissionen gør sit bedste for at sikre, at det ansvarlige kommissionsmedlem kan være til stede.</w:t>
      </w:r>
    </w:p>
    <w:p w14:paraId="691E00B4"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61.</w:t>
      </w:r>
      <w:r w:rsidRPr="006C3740">
        <w:rPr>
          <w:rFonts w:eastAsia="Calibri"/>
          <w:szCs w:val="24"/>
          <w:lang w:eastAsia="en-US"/>
        </w:rPr>
        <w:tab/>
        <w:t>Kommissionen kan senest frem til Formandskonferencens vedtagelse af det endelige forslag til dagsorden for en mødeperiode foreslå medtagelse af punkter på dagsordenen. Parlamentet tager størst muligt hensyn til sådanne forslag.</w:t>
      </w:r>
    </w:p>
    <w:p w14:paraId="3F0DEDE8"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62.</w:t>
      </w:r>
      <w:r w:rsidRPr="006C3740">
        <w:rPr>
          <w:rFonts w:eastAsia="Calibri"/>
          <w:szCs w:val="24"/>
          <w:lang w:eastAsia="en-US"/>
        </w:rPr>
        <w:tab/>
        <w:t>Parlamentsudvalg tilstræber at fastholde deres forslag til dagsorden og deres dagsordener.</w:t>
      </w:r>
    </w:p>
    <w:p w14:paraId="146CA212"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Ændrer et parlamentsudvalg sit forslag til dagsorden eller sin dagsorden, underrettes Kommissionen omgående herom. Parlamentsudvalgene bestræber sig navnlig på at overholde en rimelig frist med henblik på at muliggøre kommissionsmedlemmers tilstedeværelse på deres møder.</w:t>
      </w:r>
    </w:p>
    <w:p w14:paraId="26923647"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63.</w:t>
      </w:r>
      <w:r w:rsidRPr="006C3740">
        <w:rPr>
          <w:rFonts w:eastAsia="Calibri"/>
          <w:szCs w:val="24"/>
          <w:lang w:eastAsia="en-US"/>
        </w:rPr>
        <w:tab/>
        <w:t>Kommissionsmedlemmerne og formændene for de tilsvarende parlamentsudvalg udarbejder i fællesskab en årlig tidsplan for kommissionsmedlemmernes deltagelse i udvalgene i overensstemmelse med deres ansvarsområde med henblik på strukturerede dialoger og andre udvekslinger.</w:t>
      </w:r>
    </w:p>
    <w:p w14:paraId="5238FBF0"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64.</w:t>
      </w:r>
      <w:r w:rsidRPr="006C3740">
        <w:rPr>
          <w:rFonts w:eastAsia="Calibri"/>
          <w:szCs w:val="24"/>
          <w:lang w:eastAsia="en-US"/>
        </w:rPr>
        <w:tab/>
        <w:t xml:space="preserve">Når kommissionsmedlemmer indbydes hertil, deltager de i parlamentsudvalgsmøder for at drøfte spørgsmål vedrørende specifikke sager eller gennemførelsen af EU-retsakter og -programmer eller for at give oplysninger om spørgsmål af betydning for udvalget, medmindre der er behørigt begrundede årsager til, at de ikke deltager. </w:t>
      </w:r>
    </w:p>
    <w:p w14:paraId="6F25FE3A"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Er der ikke udtrykkeligt anmodet om et kommissionsmedlems tilstedeværelse på et parlamentsudvalgsmøde, sikrer Kommissionen, at den er repræsenteret ved en højtstående tjenestemand, der er i stand til at give væsentlige svar på spørgsmål fra udvalgsmedlemmer.</w:t>
      </w:r>
    </w:p>
    <w:p w14:paraId="1F96E152"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65.</w:t>
      </w:r>
      <w:r w:rsidRPr="006C3740">
        <w:rPr>
          <w:rFonts w:eastAsia="Calibri"/>
          <w:szCs w:val="24"/>
          <w:lang w:eastAsia="en-US"/>
        </w:rPr>
        <w:tab/>
        <w:t>Når udvalget anmoder skriftligt og rettidigt om oplysninger, svarer Kommissionen i så god tid, at disse oplysninger kan tages i betragtning ved udarbejdelsen af Parlamentets holdning. Udvalget bestræber sig på at sikre, at skriftlige anmodninger ikke overlapper spørgsmål, der allerede er behandlet i forbindelse med en struktureret dialog eller udveksling af synspunkter med kommissionsmedlemmer.</w:t>
      </w:r>
    </w:p>
    <w:p w14:paraId="7A4ED024"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66.</w:t>
      </w:r>
      <w:r w:rsidRPr="006C3740">
        <w:rPr>
          <w:rFonts w:eastAsia="Calibri"/>
          <w:szCs w:val="24"/>
          <w:lang w:eastAsia="en-US"/>
        </w:rPr>
        <w:tab/>
        <w:t>Parlamentsudvalgene vil bestræbe sig på at samordne deres arbejde, herunder undgå afholdelse af parallelle møder om samme spørgsmål, og på ikke at afvige fra forslaget til dagsorden, således at Kommissionen kan sikre et passende repræsentationsniveau.</w:t>
      </w:r>
    </w:p>
    <w:p w14:paraId="3C93EE9D"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t>Er der på et udvalgsmøde vedrørende et kommissionsforslag blevet anmodet om tilstedeværelse af en højtstående tjenestemand (generaldirektør eller direktør), skal Kommissionens repræsentant kunne tage ordet.</w:t>
      </w:r>
    </w:p>
    <w:p w14:paraId="1235C87E" w14:textId="77777777" w:rsidR="006C3740" w:rsidRPr="006C3740" w:rsidRDefault="006C3740" w:rsidP="006C3740">
      <w:pPr>
        <w:widowControl/>
        <w:spacing w:before="120" w:after="120"/>
        <w:jc w:val="both"/>
        <w:rPr>
          <w:rFonts w:eastAsia="Calibri" w:cs="Arial"/>
          <w:b/>
          <w:szCs w:val="18"/>
          <w:lang w:eastAsia="en-US"/>
        </w:rPr>
      </w:pPr>
      <w:r w:rsidRPr="006C3740">
        <w:rPr>
          <w:rFonts w:eastAsia="Calibri"/>
          <w:b/>
          <w:szCs w:val="24"/>
          <w:lang w:eastAsia="en-US"/>
        </w:rPr>
        <w:t xml:space="preserve">VI. AFSLUTTENDE BESTEMMELSER </w:t>
      </w:r>
    </w:p>
    <w:p w14:paraId="345939E1"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67.</w:t>
      </w:r>
      <w:r w:rsidRPr="006C3740">
        <w:rPr>
          <w:rFonts w:eastAsia="Calibri"/>
          <w:szCs w:val="24"/>
          <w:lang w:eastAsia="en-US"/>
        </w:rPr>
        <w:tab/>
        <w:t>Kommissionen bekræfter sit tilsagn om snarest muligt at undersøge de lovgivningsmæssige retsakter, som ikke blev tilpasset til forskriftsproceduren med kontrol inden Lissabontraktatens ikrafttræden, med henblik på at vurdere, om det er nødvendigt at tilpasse disse retsakter til ordningen med delegerede retsakter, der er indført ved artikel 290 i TEUF.</w:t>
      </w:r>
    </w:p>
    <w:p w14:paraId="5E0E37BD" w14:textId="77777777" w:rsidR="006C3740" w:rsidRPr="006C3740" w:rsidRDefault="006C3740" w:rsidP="006C3740">
      <w:pPr>
        <w:widowControl/>
        <w:spacing w:before="120" w:after="120"/>
        <w:ind w:left="851"/>
        <w:jc w:val="both"/>
        <w:rPr>
          <w:rFonts w:eastAsia="Calibri" w:cs="Arial"/>
          <w:szCs w:val="18"/>
          <w:lang w:eastAsia="en-US"/>
        </w:rPr>
      </w:pPr>
      <w:r w:rsidRPr="006C3740">
        <w:rPr>
          <w:rFonts w:eastAsia="Calibri"/>
          <w:szCs w:val="24"/>
          <w:lang w:eastAsia="en-US"/>
        </w:rPr>
        <w:lastRenderedPageBreak/>
        <w:t>Det endelige mål om et sammenhængende system af delegerede retsakter og gennemførelsesretsakter, som er fuldt i overensstemmelse med traktaten, bør nås gennem en løbende vurdering af karakteren og indholdet af de foranstaltninger, som på nuværende tidspunkt er omfattet af forskriftsproceduren med kontrol, således at de efterhånden kan tilpasses ordningen i artikel 290 i TEUF.</w:t>
      </w:r>
    </w:p>
    <w:p w14:paraId="627D470B" w14:textId="459967CD"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68.</w:t>
      </w:r>
      <w:r w:rsidRPr="006C3740">
        <w:rPr>
          <w:rFonts w:eastAsia="Calibri"/>
          <w:szCs w:val="24"/>
          <w:lang w:eastAsia="en-US"/>
        </w:rPr>
        <w:tab/>
        <w:t xml:space="preserve">Bestemmelserne i denne rammeaftale supplerer den interinstitutionelle aftale om bedre lovgivning uden at berøre den, og de foregriber ikke en eventuel yderligere revision af samme. </w:t>
      </w:r>
    </w:p>
    <w:p w14:paraId="7B1B54B9" w14:textId="77777777" w:rsidR="006C3740" w:rsidRPr="006C3740" w:rsidRDefault="006C3740" w:rsidP="006C3740">
      <w:pPr>
        <w:widowControl/>
        <w:spacing w:before="120" w:after="120"/>
        <w:ind w:left="851"/>
        <w:jc w:val="both"/>
        <w:rPr>
          <w:rFonts w:eastAsia="Calibri" w:cs="Arial"/>
          <w:bCs/>
          <w:iCs/>
          <w:szCs w:val="18"/>
          <w:lang w:eastAsia="en-US"/>
        </w:rPr>
      </w:pPr>
      <w:r w:rsidRPr="006C3740">
        <w:rPr>
          <w:rFonts w:eastAsia="Calibri"/>
          <w:szCs w:val="24"/>
          <w:lang w:eastAsia="en-US"/>
        </w:rPr>
        <w:t>Parlamentet og Kommissionen er i relation til målet om bedre lovgivning enige om behovet for at forstærke den eksisterende interinstitutionelle kontaktmekanisme på politisk og på teknisk plan med henblik på at sikre et effektivt interinstitutionelt samarbejde mellem Parlamentet, Kommissionen og Rådet.</w:t>
      </w:r>
    </w:p>
    <w:p w14:paraId="628E3457" w14:textId="77777777" w:rsidR="006C3740" w:rsidRPr="006C3740" w:rsidRDefault="006C3740" w:rsidP="006C3740">
      <w:pPr>
        <w:widowControl/>
        <w:spacing w:before="120" w:after="120"/>
        <w:ind w:left="851" w:hanging="851"/>
        <w:jc w:val="both"/>
        <w:rPr>
          <w:rFonts w:eastAsia="Calibri" w:cs="Arial"/>
          <w:bCs/>
          <w:iCs/>
          <w:szCs w:val="18"/>
          <w:lang w:eastAsia="en-US"/>
        </w:rPr>
      </w:pPr>
      <w:r w:rsidRPr="006C3740">
        <w:rPr>
          <w:rFonts w:eastAsia="Calibri"/>
          <w:szCs w:val="24"/>
          <w:lang w:eastAsia="en-US"/>
        </w:rPr>
        <w:t>69.</w:t>
      </w:r>
      <w:r w:rsidRPr="006C3740">
        <w:rPr>
          <w:rFonts w:eastAsia="Calibri"/>
          <w:szCs w:val="24"/>
          <w:lang w:eastAsia="en-US"/>
        </w:rPr>
        <w:tab/>
        <w:t>Kommissionen forpligter sig til at tage initiativ til Unionens årlige og flerårige programmering med henblik på indgåelse af interinstitutionelle aftaler, i overensstemmelse med artikel 17 i TEU.</w:t>
      </w:r>
    </w:p>
    <w:p w14:paraId="047AE69E" w14:textId="77777777" w:rsidR="006C3740" w:rsidRPr="006C3740" w:rsidRDefault="006C3740" w:rsidP="006C3740">
      <w:pPr>
        <w:widowControl/>
        <w:spacing w:before="120" w:after="120"/>
        <w:ind w:left="851" w:hanging="851"/>
        <w:jc w:val="both"/>
        <w:rPr>
          <w:rFonts w:eastAsia="Calibri" w:cs="Arial"/>
          <w:szCs w:val="18"/>
          <w:lang w:eastAsia="en-US"/>
        </w:rPr>
      </w:pPr>
      <w:r w:rsidRPr="006C3740">
        <w:rPr>
          <w:rFonts w:eastAsia="Calibri"/>
          <w:szCs w:val="24"/>
          <w:lang w:eastAsia="en-US"/>
        </w:rPr>
        <w:t>70.</w:t>
      </w:r>
      <w:r w:rsidRPr="006C3740">
        <w:rPr>
          <w:rFonts w:eastAsia="Calibri"/>
          <w:b/>
          <w:i/>
          <w:szCs w:val="24"/>
          <w:lang w:eastAsia="en-US"/>
        </w:rPr>
        <w:tab/>
      </w:r>
      <w:r w:rsidRPr="006C3740">
        <w:rPr>
          <w:rFonts w:eastAsia="Calibri"/>
          <w:szCs w:val="24"/>
          <w:lang w:eastAsia="en-US"/>
        </w:rPr>
        <w:t xml:space="preserve">I løbet af hver valgperiode aftaler de to institutioner i fællesskab, om gennemførelsen af denne rammeaftale og dens bilag bør revideres. </w:t>
      </w:r>
    </w:p>
    <w:p w14:paraId="79EDFC48" w14:textId="77777777" w:rsidR="006C3740" w:rsidRPr="006C3740" w:rsidRDefault="006C3740" w:rsidP="006C3740">
      <w:pPr>
        <w:widowControl/>
        <w:spacing w:before="120"/>
        <w:jc w:val="both"/>
        <w:rPr>
          <w:rFonts w:eastAsia="Calibri" w:cs="Arial"/>
          <w:szCs w:val="18"/>
          <w:lang w:eastAsia="en-US"/>
        </w:rPr>
      </w:pPr>
      <w:r w:rsidRPr="006C3740">
        <w:rPr>
          <w:rFonts w:eastAsia="Calibri"/>
          <w:szCs w:val="24"/>
          <w:lang w:eastAsia="en-US"/>
        </w:rPr>
        <w:t>Udfærdiget i ..., den ... .</w:t>
      </w:r>
    </w:p>
    <w:p w14:paraId="39F461E6" w14:textId="77777777" w:rsidR="006C3740" w:rsidRPr="006C3740" w:rsidRDefault="006C3740" w:rsidP="006C3740">
      <w:pPr>
        <w:widowControl/>
        <w:tabs>
          <w:tab w:val="left" w:pos="4536"/>
        </w:tabs>
        <w:spacing w:before="720"/>
        <w:jc w:val="both"/>
        <w:rPr>
          <w:rFonts w:eastAsia="Calibri" w:cs="Arial"/>
          <w:i/>
          <w:iCs/>
          <w:szCs w:val="18"/>
          <w:lang w:eastAsia="en-US"/>
        </w:rPr>
      </w:pPr>
      <w:r w:rsidRPr="006C3740">
        <w:rPr>
          <w:rFonts w:eastAsia="Calibri"/>
          <w:i/>
          <w:szCs w:val="24"/>
          <w:lang w:eastAsia="en-US"/>
        </w:rPr>
        <w:t>På Europa-Parlamentets vegne</w:t>
      </w:r>
      <w:r w:rsidRPr="006C3740">
        <w:rPr>
          <w:rFonts w:eastAsia="Calibri"/>
          <w:i/>
          <w:szCs w:val="24"/>
          <w:lang w:eastAsia="en-US"/>
        </w:rPr>
        <w:tab/>
        <w:t>På Europa-Kommissionens vegne</w:t>
      </w:r>
    </w:p>
    <w:p w14:paraId="6F5C8540" w14:textId="77777777" w:rsidR="006C3740" w:rsidRPr="006C3740" w:rsidRDefault="006C3740" w:rsidP="006C3740">
      <w:pPr>
        <w:widowControl/>
        <w:tabs>
          <w:tab w:val="left" w:pos="4536"/>
        </w:tabs>
        <w:jc w:val="both"/>
        <w:rPr>
          <w:rFonts w:eastAsia="Calibri"/>
          <w:i/>
          <w:szCs w:val="24"/>
          <w:lang w:eastAsia="en-US"/>
        </w:rPr>
      </w:pPr>
      <w:r w:rsidRPr="006C3740">
        <w:rPr>
          <w:rFonts w:eastAsia="Calibri"/>
          <w:i/>
          <w:szCs w:val="24"/>
          <w:lang w:eastAsia="en-US"/>
        </w:rPr>
        <w:t>Formand</w:t>
      </w:r>
      <w:r w:rsidRPr="006C3740">
        <w:rPr>
          <w:rFonts w:eastAsia="Calibri"/>
          <w:i/>
          <w:szCs w:val="24"/>
          <w:lang w:eastAsia="en-US"/>
        </w:rPr>
        <w:tab/>
        <w:t>Formand</w:t>
      </w:r>
    </w:p>
    <w:p w14:paraId="4B70DA24" w14:textId="77777777" w:rsidR="006C3740" w:rsidRPr="006C3740" w:rsidRDefault="006C3740" w:rsidP="006C3740">
      <w:pPr>
        <w:widowControl/>
        <w:rPr>
          <w:rFonts w:eastAsia="Calibri"/>
          <w:i/>
          <w:szCs w:val="24"/>
          <w:lang w:eastAsia="en-US"/>
        </w:rPr>
        <w:sectPr w:rsidR="006C3740" w:rsidRPr="006C3740" w:rsidSect="006C3740">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6" w:h="16838"/>
          <w:pgMar w:top="1440" w:right="1440" w:bottom="1440" w:left="1440" w:header="708" w:footer="708" w:gutter="0"/>
          <w:cols w:space="708"/>
          <w:docGrid w:linePitch="360"/>
        </w:sectPr>
      </w:pPr>
    </w:p>
    <w:p w14:paraId="436D7484" w14:textId="77777777" w:rsidR="006C3740" w:rsidRPr="006C3740" w:rsidRDefault="006C3740" w:rsidP="006C3740">
      <w:pPr>
        <w:widowControl/>
        <w:tabs>
          <w:tab w:val="left" w:pos="4536"/>
        </w:tabs>
        <w:jc w:val="both"/>
        <w:rPr>
          <w:rFonts w:eastAsia="Calibri"/>
          <w:szCs w:val="24"/>
          <w:lang w:eastAsia="en-US"/>
        </w:rPr>
      </w:pPr>
    </w:p>
    <w:p w14:paraId="591BB2D6" w14:textId="77777777" w:rsidR="006C3740" w:rsidRPr="006C3740" w:rsidRDefault="00BC2B53" w:rsidP="006C3740">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799CE6B4">
          <v:rect id="_x0000_i1025" style="width:101.55pt;height:.75pt" o:hrpct="0" o:hralign="center" o:hrstd="t" o:hrnoshade="t" o:hr="t" fillcolor="black" stroked="f"/>
        </w:pict>
      </w:r>
    </w:p>
    <w:p w14:paraId="16A88F24" w14:textId="77777777" w:rsidR="006C3740" w:rsidRPr="006C3740" w:rsidRDefault="006C3740" w:rsidP="006C3740">
      <w:pPr>
        <w:widowControl/>
        <w:jc w:val="both"/>
        <w:rPr>
          <w:rFonts w:eastAsia="Aptos"/>
          <w:kern w:val="2"/>
          <w:szCs w:val="24"/>
          <w:lang w:eastAsia="en-US"/>
          <w14:ligatures w14:val="standardContextual"/>
        </w:rPr>
      </w:pPr>
    </w:p>
    <w:p w14:paraId="5B8811EC" w14:textId="77777777" w:rsidR="006C3740" w:rsidRPr="006C3740" w:rsidRDefault="006C3740" w:rsidP="006C3740">
      <w:pPr>
        <w:widowControl/>
        <w:jc w:val="both"/>
        <w:rPr>
          <w:rFonts w:eastAsia="Aptos"/>
          <w:kern w:val="2"/>
          <w:szCs w:val="24"/>
          <w:lang w:eastAsia="en-US"/>
          <w14:ligatures w14:val="standardContextual"/>
        </w:rPr>
      </w:pPr>
    </w:p>
    <w:p w14:paraId="0E246D45" w14:textId="77777777" w:rsidR="006C3740" w:rsidRPr="006C3740" w:rsidRDefault="006C3740" w:rsidP="006C3740">
      <w:pPr>
        <w:widowControl/>
        <w:spacing w:before="120" w:after="120" w:line="480" w:lineRule="auto"/>
        <w:ind w:left="851" w:hanging="851"/>
        <w:jc w:val="center"/>
        <w:rPr>
          <w:rFonts w:eastAsia="Aptos" w:cs="Arial"/>
          <w:b/>
          <w:bCs/>
          <w:kern w:val="2"/>
          <w:szCs w:val="18"/>
          <w:lang w:eastAsia="en-US"/>
          <w14:ligatures w14:val="standardContextual"/>
        </w:rPr>
      </w:pPr>
      <w:r w:rsidRPr="006C3740">
        <w:rPr>
          <w:rFonts w:eastAsia="Aptos"/>
          <w:b/>
          <w:kern w:val="2"/>
          <w:szCs w:val="24"/>
          <w:lang w:eastAsia="en-US"/>
          <w14:ligatures w14:val="standardContextual"/>
        </w:rPr>
        <w:t>BILAG I</w:t>
      </w:r>
    </w:p>
    <w:p w14:paraId="26809E13" w14:textId="77777777" w:rsidR="006C3740" w:rsidRPr="006C3740" w:rsidRDefault="006C3740" w:rsidP="006C3740">
      <w:pPr>
        <w:widowControl/>
        <w:spacing w:before="120" w:after="120"/>
        <w:ind w:left="851" w:hanging="851"/>
        <w:rPr>
          <w:rFonts w:eastAsia="Aptos"/>
          <w:b/>
          <w:bCs/>
          <w:kern w:val="2"/>
          <w:szCs w:val="24"/>
          <w:lang w:eastAsia="en-US"/>
          <w14:ligatures w14:val="standardContextual"/>
        </w:rPr>
      </w:pPr>
      <w:r w:rsidRPr="006C3740">
        <w:rPr>
          <w:rFonts w:eastAsia="Aptos"/>
          <w:b/>
          <w:kern w:val="2"/>
          <w:szCs w:val="24"/>
          <w:lang w:eastAsia="en-US"/>
          <w14:ligatures w14:val="standardContextual"/>
        </w:rPr>
        <w:t>Kommissionsmøder med nationale eksperter</w:t>
      </w:r>
    </w:p>
    <w:p w14:paraId="2F3D069C" w14:textId="77777777" w:rsidR="006C3740" w:rsidRPr="006C3740" w:rsidRDefault="006C3740" w:rsidP="006C3740">
      <w:pPr>
        <w:widowControl/>
        <w:spacing w:before="120" w:after="120"/>
        <w:jc w:val="both"/>
        <w:rPr>
          <w:rFonts w:eastAsia="Aptos"/>
          <w:kern w:val="2"/>
          <w:szCs w:val="24"/>
          <w:lang w:eastAsia="en-US"/>
          <w14:ligatures w14:val="standardContextual"/>
        </w:rPr>
      </w:pPr>
      <w:r w:rsidRPr="006C3740">
        <w:rPr>
          <w:rFonts w:eastAsia="Aptos"/>
          <w:kern w:val="2"/>
          <w:szCs w:val="24"/>
          <w:lang w:eastAsia="en-US"/>
          <w14:ligatures w14:val="standardContextual"/>
        </w:rPr>
        <w:t>Dette bilag fastlægger de nærmere bestemmelser for gennemførelsen af rammeaftalens punkt 16.</w:t>
      </w:r>
    </w:p>
    <w:p w14:paraId="533361FE" w14:textId="77777777" w:rsidR="006C3740" w:rsidRPr="006C3740" w:rsidRDefault="006C3740" w:rsidP="006C3740">
      <w:pPr>
        <w:widowControl/>
        <w:spacing w:before="120" w:after="120"/>
        <w:ind w:left="851" w:hanging="851"/>
        <w:rPr>
          <w:rFonts w:eastAsia="Aptos"/>
          <w:b/>
          <w:kern w:val="2"/>
          <w:szCs w:val="24"/>
          <w:lang w:eastAsia="en-US"/>
          <w14:ligatures w14:val="standardContextual"/>
        </w:rPr>
      </w:pPr>
      <w:r w:rsidRPr="006C3740">
        <w:rPr>
          <w:rFonts w:eastAsia="Aptos"/>
          <w:b/>
          <w:kern w:val="2"/>
          <w:szCs w:val="24"/>
          <w:lang w:eastAsia="en-US"/>
          <w14:ligatures w14:val="standardContextual"/>
        </w:rPr>
        <w:t>1. Anvendelsesområde</w:t>
      </w:r>
    </w:p>
    <w:p w14:paraId="75432683" w14:textId="77777777" w:rsidR="006C3740" w:rsidRPr="006C3740" w:rsidRDefault="006C3740" w:rsidP="006C3740">
      <w:pPr>
        <w:widowControl/>
        <w:spacing w:before="120" w:after="120"/>
        <w:jc w:val="both"/>
        <w:rPr>
          <w:rFonts w:eastAsia="Aptos"/>
          <w:kern w:val="2"/>
          <w:szCs w:val="24"/>
          <w:lang w:eastAsia="en-US"/>
          <w14:ligatures w14:val="standardContextual"/>
        </w:rPr>
      </w:pPr>
      <w:r w:rsidRPr="006C3740">
        <w:rPr>
          <w:rFonts w:eastAsia="Aptos"/>
          <w:kern w:val="2"/>
          <w:szCs w:val="24"/>
          <w:lang w:eastAsia="en-US"/>
          <w14:ligatures w14:val="standardContextual"/>
        </w:rPr>
        <w:t>Bestemmelserne i rammeaftalens punkt 16 vedrører følgende møder:</w:t>
      </w:r>
    </w:p>
    <w:p w14:paraId="2C29563E"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1)</w:t>
      </w:r>
      <w:r w:rsidRPr="006C3740">
        <w:rPr>
          <w:rFonts w:eastAsia="Aptos"/>
          <w:kern w:val="2"/>
          <w:szCs w:val="24"/>
          <w:lang w:eastAsia="en-US"/>
          <w14:ligatures w14:val="standardContextual"/>
        </w:rPr>
        <w:tab/>
        <w:t>kommissionsmøder inden for rammerne af de ekspertgrupper, Kommissionen har nedsat, hvortil nationale myndigheder fra samtlige medlemsstater indbydes, for så vidt som de vedrører forberedelse og gennemførelse af EU-lovgivning, herunder "soft law" og delegerede retsakter</w:t>
      </w:r>
    </w:p>
    <w:p w14:paraId="48DE5CAB"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2)</w:t>
      </w:r>
      <w:r w:rsidRPr="006C3740">
        <w:rPr>
          <w:rFonts w:eastAsia="Aptos"/>
          <w:kern w:val="2"/>
          <w:szCs w:val="24"/>
          <w:lang w:eastAsia="en-US"/>
          <w14:ligatures w14:val="standardContextual"/>
        </w:rPr>
        <w:tab/>
        <w:t>ad hoc-kommissionsmøder, hvortil nationale eksperter fra samtlige medlemsstater indbydes, for så vidt som de vedrører forberedelse og gennemførelse af EU-lovgivning, herunder "soft law" og delegerede retsakter.</w:t>
      </w:r>
    </w:p>
    <w:p w14:paraId="1595E54A" w14:textId="77777777" w:rsidR="006C3740" w:rsidRPr="006C3740" w:rsidRDefault="006C3740" w:rsidP="006C3740">
      <w:pPr>
        <w:widowControl/>
        <w:spacing w:before="120" w:after="120"/>
        <w:jc w:val="both"/>
        <w:rPr>
          <w:rFonts w:eastAsia="Aptos"/>
          <w:kern w:val="2"/>
          <w:szCs w:val="24"/>
          <w:lang w:eastAsia="en-US"/>
          <w14:ligatures w14:val="standardContextual"/>
        </w:rPr>
      </w:pPr>
      <w:r w:rsidRPr="006C3740">
        <w:rPr>
          <w:rFonts w:eastAsia="Aptos"/>
          <w:kern w:val="2"/>
          <w:szCs w:val="24"/>
          <w:lang w:eastAsia="en-US"/>
          <w14:ligatures w14:val="standardContextual"/>
        </w:rPr>
        <w:t xml:space="preserve">Møder i komitologiudvalg er undtaget, dog uden at det berører nuværende og fremtidige særlige ordninger </w:t>
      </w:r>
      <w:r w:rsidRPr="006C3740">
        <w:rPr>
          <w:rFonts w:eastAsia="Aptos"/>
          <w:kern w:val="2"/>
          <w:szCs w:val="24"/>
          <w:shd w:val="clear" w:color="auto" w:fill="FFFFFF"/>
          <w:lang w:eastAsia="en-US"/>
          <w14:ligatures w14:val="standardContextual"/>
        </w:rPr>
        <w:t>vedrørende underretning af Parlamentet om udøvelsen af Kommissionens</w:t>
      </w:r>
      <w:r w:rsidRPr="006C3740">
        <w:rPr>
          <w:rFonts w:eastAsia="Aptos"/>
          <w:kern w:val="2"/>
          <w:szCs w:val="24"/>
          <w:lang w:eastAsia="en-US"/>
          <w14:ligatures w14:val="standardContextual"/>
        </w:rPr>
        <w:t xml:space="preserve"> gennemførelsesbeføjelser</w:t>
      </w:r>
      <w:r w:rsidRPr="006C3740">
        <w:rPr>
          <w:rFonts w:eastAsia="Aptos"/>
          <w:kern w:val="2"/>
          <w:szCs w:val="24"/>
          <w:vertAlign w:val="superscript"/>
          <w:lang w:eastAsia="en-US"/>
          <w14:ligatures w14:val="standardContextual"/>
        </w:rPr>
        <w:footnoteReference w:id="7"/>
      </w:r>
      <w:r w:rsidRPr="006C3740">
        <w:rPr>
          <w:rFonts w:eastAsia="Aptos"/>
          <w:kern w:val="2"/>
          <w:szCs w:val="24"/>
          <w:lang w:eastAsia="en-US"/>
          <w14:ligatures w14:val="standardContextual"/>
        </w:rPr>
        <w:t>.</w:t>
      </w:r>
    </w:p>
    <w:p w14:paraId="328A0134" w14:textId="77777777" w:rsidR="006C3740" w:rsidRPr="006C3740" w:rsidRDefault="006C3740" w:rsidP="006C3740">
      <w:pPr>
        <w:widowControl/>
        <w:spacing w:before="120" w:after="120"/>
        <w:ind w:left="851" w:hanging="851"/>
        <w:jc w:val="both"/>
        <w:rPr>
          <w:rFonts w:eastAsia="Aptos"/>
          <w:b/>
          <w:kern w:val="2"/>
          <w:szCs w:val="24"/>
          <w:lang w:eastAsia="en-US"/>
          <w14:ligatures w14:val="standardContextual"/>
        </w:rPr>
      </w:pPr>
      <w:r w:rsidRPr="006C3740">
        <w:rPr>
          <w:rFonts w:eastAsia="Aptos"/>
          <w:b/>
          <w:kern w:val="2"/>
          <w:szCs w:val="24"/>
          <w:lang w:eastAsia="en-US"/>
          <w14:ligatures w14:val="standardContextual"/>
        </w:rPr>
        <w:t>2. Oplysninger, der skal fremsendes til Parlamentet</w:t>
      </w:r>
    </w:p>
    <w:p w14:paraId="735D0001" w14:textId="77777777" w:rsidR="006C3740" w:rsidRPr="006C3740" w:rsidRDefault="006C3740" w:rsidP="006C3740">
      <w:pPr>
        <w:widowControl/>
        <w:spacing w:before="120" w:after="120"/>
        <w:jc w:val="both"/>
        <w:rPr>
          <w:rFonts w:eastAsia="Aptos"/>
          <w:kern w:val="2"/>
          <w:szCs w:val="24"/>
          <w:lang w:eastAsia="en-US"/>
          <w14:ligatures w14:val="standardContextual"/>
        </w:rPr>
      </w:pPr>
      <w:r w:rsidRPr="006C3740">
        <w:rPr>
          <w:rFonts w:eastAsia="Aptos"/>
          <w:kern w:val="2"/>
          <w:szCs w:val="24"/>
          <w:lang w:eastAsia="en-US"/>
          <w14:ligatures w14:val="standardContextual"/>
        </w:rPr>
        <w:t>Kommissionen forpligter sig til at sende Parlamentet den samme dokumentation, som den sender til de nationale myndigheder i forbindelse med de ovennævnte møder. Kommissionen vil fremsende disse dokumenter, herunder dagsordener, til en særlig mailboks i Parlamentet samtidig med, at de sendes til de nationale eksperter.</w:t>
      </w:r>
    </w:p>
    <w:p w14:paraId="51D61794" w14:textId="77777777" w:rsidR="006C3740" w:rsidRPr="006C3740" w:rsidRDefault="006C3740" w:rsidP="006C3740">
      <w:pPr>
        <w:widowControl/>
        <w:spacing w:before="120" w:after="120"/>
        <w:ind w:left="851" w:hanging="851"/>
        <w:jc w:val="both"/>
        <w:rPr>
          <w:rFonts w:eastAsia="Aptos"/>
          <w:b/>
          <w:bCs/>
          <w:kern w:val="2"/>
          <w:szCs w:val="24"/>
          <w:lang w:eastAsia="en-US"/>
          <w14:ligatures w14:val="standardContextual"/>
        </w:rPr>
      </w:pPr>
      <w:r w:rsidRPr="006C3740">
        <w:rPr>
          <w:rFonts w:eastAsia="Aptos"/>
          <w:b/>
          <w:kern w:val="2"/>
          <w:szCs w:val="24"/>
          <w:lang w:eastAsia="en-US"/>
          <w14:ligatures w14:val="standardContextual"/>
        </w:rPr>
        <w:t>3. Indbydelse af Parlamentets eksperter</w:t>
      </w:r>
    </w:p>
    <w:p w14:paraId="1D53744A" w14:textId="77777777" w:rsidR="006C3740" w:rsidRPr="006C3740" w:rsidRDefault="006C3740" w:rsidP="006C3740">
      <w:pPr>
        <w:widowControl/>
        <w:spacing w:before="120" w:after="120"/>
        <w:jc w:val="both"/>
        <w:rPr>
          <w:rFonts w:eastAsia="Aptos"/>
          <w:kern w:val="2"/>
          <w:szCs w:val="24"/>
          <w:lang w:eastAsia="en-US"/>
          <w14:ligatures w14:val="standardContextual"/>
        </w:rPr>
      </w:pPr>
      <w:r w:rsidRPr="006C3740">
        <w:rPr>
          <w:rFonts w:eastAsia="Aptos"/>
          <w:kern w:val="2"/>
          <w:szCs w:val="24"/>
          <w:lang w:eastAsia="en-US"/>
          <w14:ligatures w14:val="standardContextual"/>
        </w:rPr>
        <w:t>Efter at være blevet anmodet herom af Parlamentet kan Kommissionen beslutte at opfordre Parlamentet til at sende parlamentseksperter med til Kommissionsmøder med nationale eksperter, jf. punkt 1.</w:t>
      </w:r>
    </w:p>
    <w:p w14:paraId="25A10776" w14:textId="77777777" w:rsidR="006C3740" w:rsidRPr="006C3740" w:rsidRDefault="006C3740" w:rsidP="006C3740">
      <w:pPr>
        <w:widowControl/>
        <w:jc w:val="both"/>
        <w:rPr>
          <w:rFonts w:eastAsia="Aptos"/>
          <w:kern w:val="2"/>
          <w:szCs w:val="24"/>
          <w:lang w:eastAsia="en-US"/>
          <w14:ligatures w14:val="standardContextual"/>
        </w:rPr>
      </w:pPr>
    </w:p>
    <w:p w14:paraId="2DA805C5" w14:textId="77777777" w:rsidR="006C3740" w:rsidRPr="006C3740" w:rsidRDefault="006C3740" w:rsidP="006C3740">
      <w:pPr>
        <w:widowControl/>
        <w:jc w:val="both"/>
        <w:rPr>
          <w:rFonts w:eastAsia="Aptos"/>
          <w:kern w:val="2"/>
          <w:szCs w:val="24"/>
          <w:lang w:eastAsia="en-US"/>
          <w14:ligatures w14:val="standardContextual"/>
        </w:rPr>
        <w:sectPr w:rsidR="006C3740" w:rsidRPr="006C3740" w:rsidSect="006C3740">
          <w:footnotePr>
            <w:numRestart w:val="eachSect"/>
          </w:footnotePr>
          <w:pgSz w:w="11906" w:h="16838"/>
          <w:pgMar w:top="1440" w:right="1440" w:bottom="1440" w:left="1440" w:header="708" w:footer="708" w:gutter="0"/>
          <w:cols w:space="708"/>
          <w:docGrid w:linePitch="360"/>
        </w:sectPr>
      </w:pPr>
    </w:p>
    <w:p w14:paraId="21F2307C" w14:textId="77777777" w:rsidR="006C3740" w:rsidRPr="006C3740" w:rsidRDefault="00BC2B53" w:rsidP="006C3740">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134B8280">
          <v:rect id="_x0000_i1026" style="width:101.55pt;height:.75pt" o:hrpct="0" o:hralign="center" o:hrstd="t" o:hrnoshade="t" o:hr="t" fillcolor="black" stroked="f"/>
        </w:pict>
      </w:r>
    </w:p>
    <w:p w14:paraId="633AB752" w14:textId="77777777" w:rsidR="006C3740" w:rsidRPr="006C3740" w:rsidRDefault="006C3740" w:rsidP="006C3740">
      <w:pPr>
        <w:widowControl/>
        <w:jc w:val="both"/>
        <w:rPr>
          <w:rFonts w:eastAsia="Aptos"/>
          <w:kern w:val="2"/>
          <w:szCs w:val="24"/>
          <w:lang w:eastAsia="en-US"/>
          <w14:ligatures w14:val="standardContextual"/>
        </w:rPr>
      </w:pPr>
    </w:p>
    <w:p w14:paraId="5E97C06B" w14:textId="77777777" w:rsidR="006C3740" w:rsidRPr="006C3740" w:rsidRDefault="006C3740" w:rsidP="006C3740">
      <w:pPr>
        <w:widowControl/>
        <w:jc w:val="both"/>
        <w:rPr>
          <w:rFonts w:eastAsia="Aptos"/>
          <w:kern w:val="2"/>
          <w:szCs w:val="24"/>
          <w:lang w:eastAsia="en-US"/>
          <w14:ligatures w14:val="standardContextual"/>
        </w:rPr>
      </w:pPr>
    </w:p>
    <w:p w14:paraId="7EBDBDD5" w14:textId="77777777" w:rsidR="006C3740" w:rsidRPr="006C3740" w:rsidRDefault="006C3740" w:rsidP="006C3740">
      <w:pPr>
        <w:widowControl/>
        <w:spacing w:before="120" w:after="120" w:line="480" w:lineRule="auto"/>
        <w:ind w:left="851" w:hanging="851"/>
        <w:jc w:val="center"/>
        <w:rPr>
          <w:rFonts w:eastAsia="Aptos" w:cs="Arial"/>
          <w:b/>
          <w:bCs/>
          <w:kern w:val="2"/>
          <w:szCs w:val="18"/>
          <w:lang w:eastAsia="en-US"/>
          <w14:ligatures w14:val="standardContextual"/>
        </w:rPr>
      </w:pPr>
      <w:r w:rsidRPr="006C3740">
        <w:rPr>
          <w:rFonts w:eastAsia="Aptos"/>
          <w:b/>
          <w:kern w:val="2"/>
          <w:szCs w:val="24"/>
          <w:lang w:eastAsia="en-US"/>
          <w14:ligatures w14:val="standardContextual"/>
        </w:rPr>
        <w:t>BILAG II</w:t>
      </w:r>
    </w:p>
    <w:p w14:paraId="502882F9" w14:textId="77777777" w:rsidR="006C3740" w:rsidRPr="006C3740" w:rsidRDefault="006C3740" w:rsidP="006C3740">
      <w:pPr>
        <w:widowControl/>
        <w:spacing w:before="120" w:after="120"/>
        <w:ind w:left="851" w:hanging="851"/>
        <w:rPr>
          <w:rFonts w:eastAsia="Aptos"/>
          <w:b/>
          <w:bCs/>
          <w:kern w:val="2"/>
          <w:szCs w:val="24"/>
          <w:lang w:eastAsia="en-US"/>
          <w14:ligatures w14:val="standardContextual"/>
        </w:rPr>
      </w:pPr>
      <w:r w:rsidRPr="006C3740">
        <w:rPr>
          <w:rFonts w:eastAsia="Aptos"/>
          <w:b/>
          <w:kern w:val="2"/>
          <w:szCs w:val="24"/>
          <w:lang w:eastAsia="en-US"/>
          <w14:ligatures w14:val="standardContextual"/>
        </w:rPr>
        <w:t>Tilsendelse af fortrolige oplysninger til Parlamentet</w:t>
      </w:r>
    </w:p>
    <w:p w14:paraId="3D356831" w14:textId="77777777" w:rsidR="006C3740" w:rsidRPr="006C3740" w:rsidRDefault="006C3740" w:rsidP="006C3740">
      <w:pPr>
        <w:widowControl/>
        <w:spacing w:before="120" w:after="120"/>
        <w:ind w:left="851" w:hanging="851"/>
        <w:rPr>
          <w:rFonts w:eastAsia="Aptos"/>
          <w:b/>
          <w:kern w:val="2"/>
          <w:szCs w:val="24"/>
          <w:lang w:eastAsia="en-US"/>
          <w14:ligatures w14:val="standardContextual"/>
        </w:rPr>
      </w:pPr>
      <w:r w:rsidRPr="006C3740">
        <w:rPr>
          <w:rFonts w:eastAsia="Aptos"/>
          <w:b/>
          <w:kern w:val="2"/>
          <w:szCs w:val="24"/>
          <w:lang w:eastAsia="en-US"/>
          <w14:ligatures w14:val="standardContextual"/>
        </w:rPr>
        <w:t>1. Anvendelsesområde</w:t>
      </w:r>
    </w:p>
    <w:p w14:paraId="44EB028E"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1.1.</w:t>
      </w:r>
      <w:r w:rsidRPr="006C3740">
        <w:rPr>
          <w:rFonts w:eastAsia="Aptos"/>
          <w:kern w:val="2"/>
          <w:szCs w:val="24"/>
          <w:lang w:eastAsia="en-US"/>
          <w14:ligatures w14:val="standardContextual"/>
        </w:rPr>
        <w:tab/>
        <w:t>I dette bilag fastsættes bestemmelser om Kommissionens tilsendelse til Parlamentet af fortrolige oplysninger</w:t>
      </w:r>
      <w:r w:rsidRPr="006C3740">
        <w:rPr>
          <w:rFonts w:eastAsia="Aptos"/>
          <w:kern w:val="2"/>
          <w:szCs w:val="24"/>
          <w:shd w:val="clear" w:color="auto" w:fill="FFFFFF"/>
          <w:lang w:eastAsia="en-US"/>
          <w14:ligatures w14:val="standardContextual"/>
        </w:rPr>
        <w:t>,</w:t>
      </w:r>
      <w:r w:rsidRPr="006C3740">
        <w:rPr>
          <w:rFonts w:eastAsia="Aptos"/>
          <w:kern w:val="2"/>
          <w:szCs w:val="24"/>
          <w:lang w:eastAsia="en-US"/>
          <w14:ligatures w14:val="standardContextual"/>
        </w:rPr>
        <w:t xml:space="preserve"> </w:t>
      </w:r>
      <w:r w:rsidRPr="006C3740">
        <w:rPr>
          <w:rFonts w:eastAsia="Aptos"/>
          <w:kern w:val="2"/>
          <w:szCs w:val="24"/>
          <w:shd w:val="clear" w:color="auto" w:fill="FFFFFF"/>
          <w:lang w:eastAsia="en-US"/>
          <w14:ligatures w14:val="standardContextual"/>
        </w:rPr>
        <w:t>jf. punkt 1.2.,</w:t>
      </w:r>
      <w:r w:rsidRPr="006C3740">
        <w:rPr>
          <w:rFonts w:eastAsia="Aptos"/>
          <w:kern w:val="2"/>
          <w:szCs w:val="24"/>
          <w:lang w:eastAsia="en-US"/>
          <w14:ligatures w14:val="standardContextual"/>
        </w:rPr>
        <w:t xml:space="preserve"> og disses behandling som led i udøvelsen af </w:t>
      </w:r>
      <w:r w:rsidRPr="006C3740">
        <w:rPr>
          <w:rFonts w:eastAsia="Aptos"/>
          <w:kern w:val="2"/>
          <w:szCs w:val="24"/>
          <w:shd w:val="clear" w:color="auto" w:fill="FFFFFF"/>
          <w:lang w:eastAsia="en-US"/>
          <w14:ligatures w14:val="standardContextual"/>
        </w:rPr>
        <w:t>Parlamentets</w:t>
      </w:r>
      <w:r w:rsidRPr="006C3740">
        <w:rPr>
          <w:rFonts w:eastAsia="Aptos"/>
          <w:kern w:val="2"/>
          <w:szCs w:val="24"/>
          <w:lang w:eastAsia="en-US"/>
          <w14:ligatures w14:val="standardContextual"/>
        </w:rPr>
        <w:t xml:space="preserve"> prærogativer </w:t>
      </w:r>
      <w:r w:rsidRPr="006C3740">
        <w:rPr>
          <w:rFonts w:eastAsia="Aptos"/>
          <w:kern w:val="2"/>
          <w:szCs w:val="24"/>
          <w:shd w:val="clear" w:color="auto" w:fill="FFFFFF"/>
          <w:lang w:eastAsia="en-US"/>
          <w14:ligatures w14:val="standardContextual"/>
        </w:rPr>
        <w:t>og beføjelser</w:t>
      </w:r>
      <w:r w:rsidRPr="006C3740">
        <w:rPr>
          <w:rFonts w:eastAsia="Aptos"/>
          <w:kern w:val="2"/>
          <w:szCs w:val="24"/>
          <w:lang w:eastAsia="en-US"/>
          <w14:ligatures w14:val="standardContextual"/>
        </w:rPr>
        <w:t xml:space="preserve">. De to institutioner handler i overensstemmelse med deres gensidige pligt til loyalt samarbejde og med fuld gensidig tillid, samt under nøje overholdelse af relevante traktatbestemmelser. </w:t>
      </w:r>
    </w:p>
    <w:p w14:paraId="06CDEADD" w14:textId="77777777" w:rsidR="006C3740" w:rsidRPr="006C3740" w:rsidRDefault="006C3740" w:rsidP="006C3740">
      <w:pPr>
        <w:widowControl/>
        <w:spacing w:before="120" w:after="120"/>
        <w:ind w:left="851" w:hanging="851"/>
        <w:rPr>
          <w:rFonts w:eastAsia="Aptos"/>
          <w:kern w:val="2"/>
          <w:szCs w:val="24"/>
          <w:lang w:eastAsia="en-US"/>
          <w14:ligatures w14:val="standardContextual"/>
        </w:rPr>
      </w:pPr>
      <w:r w:rsidRPr="006C3740">
        <w:rPr>
          <w:rFonts w:eastAsia="Aptos"/>
          <w:kern w:val="2"/>
          <w:szCs w:val="24"/>
          <w:lang w:eastAsia="en-US"/>
          <w14:ligatures w14:val="standardContextual"/>
        </w:rPr>
        <w:t>1.2.</w:t>
      </w:r>
      <w:r w:rsidRPr="006C3740">
        <w:rPr>
          <w:rFonts w:eastAsia="Aptos"/>
          <w:kern w:val="2"/>
          <w:szCs w:val="24"/>
          <w:lang w:eastAsia="en-US"/>
          <w14:ligatures w14:val="standardContextual"/>
        </w:rPr>
        <w:tab/>
        <w:t>Ved "oplysninger" forstås alle skriftlige eller mundtlige oplysninger, uanset medium og ophavsmand.</w:t>
      </w:r>
    </w:p>
    <w:p w14:paraId="24B7DBA1" w14:textId="77777777" w:rsidR="006C3740" w:rsidRPr="006C3740" w:rsidRDefault="006C3740" w:rsidP="006C3740">
      <w:pPr>
        <w:widowControl/>
        <w:spacing w:before="120" w:after="120"/>
        <w:ind w:left="1418" w:hanging="567"/>
        <w:jc w:val="both"/>
        <w:rPr>
          <w:rFonts w:eastAsia="Aptos"/>
          <w:kern w:val="2"/>
          <w:szCs w:val="24"/>
          <w:lang w:eastAsia="en-US"/>
          <w14:ligatures w14:val="standardContextual"/>
        </w:rPr>
      </w:pPr>
      <w:r w:rsidRPr="006C3740">
        <w:rPr>
          <w:rFonts w:eastAsia="Aptos"/>
          <w:kern w:val="2"/>
          <w:szCs w:val="24"/>
          <w:shd w:val="clear" w:color="auto" w:fill="FFFFFF"/>
          <w:lang w:eastAsia="en-US"/>
          <w14:ligatures w14:val="standardContextual"/>
        </w:rPr>
        <w:t>1.2.1.</w:t>
      </w:r>
      <w:r w:rsidRPr="006C3740">
        <w:rPr>
          <w:rFonts w:eastAsia="Aptos"/>
          <w:kern w:val="2"/>
          <w:szCs w:val="24"/>
          <w:shd w:val="clear" w:color="auto" w:fill="FFFFFF"/>
          <w:lang w:eastAsia="en-US"/>
          <w14:ligatures w14:val="standardContextual"/>
        </w:rPr>
        <w:tab/>
      </w:r>
      <w:r w:rsidRPr="006C3740">
        <w:rPr>
          <w:rFonts w:eastAsia="Aptos"/>
          <w:kern w:val="2"/>
          <w:szCs w:val="24"/>
          <w:lang w:eastAsia="en-US"/>
          <w14:ligatures w14:val="standardContextual"/>
        </w:rPr>
        <w:t xml:space="preserve">Ved "fortrolige </w:t>
      </w:r>
      <w:r w:rsidRPr="006C3740">
        <w:rPr>
          <w:rFonts w:eastAsia="Aptos"/>
          <w:kern w:val="2"/>
          <w:szCs w:val="24"/>
          <w:shd w:val="clear" w:color="auto" w:fill="FFFFFF"/>
          <w:lang w:eastAsia="en-US"/>
          <w14:ligatures w14:val="standardContextual"/>
        </w:rPr>
        <w:t>oplysninger" forstås "EU-</w:t>
      </w:r>
      <w:r w:rsidRPr="006C3740">
        <w:rPr>
          <w:rFonts w:eastAsia="Aptos"/>
          <w:kern w:val="2"/>
          <w:szCs w:val="24"/>
          <w:lang w:eastAsia="en-US"/>
          <w14:ligatures w14:val="standardContextual"/>
        </w:rPr>
        <w:t xml:space="preserve"> klassificerede</w:t>
      </w:r>
      <w:r w:rsidRPr="006C3740">
        <w:rPr>
          <w:rFonts w:eastAsia="Aptos"/>
          <w:kern w:val="2"/>
          <w:szCs w:val="24"/>
          <w:shd w:val="clear" w:color="auto" w:fill="FFFFFF"/>
          <w:lang w:eastAsia="en-US"/>
          <w14:ligatures w14:val="standardContextual"/>
        </w:rPr>
        <w:t xml:space="preserve"> </w:t>
      </w:r>
      <w:r w:rsidRPr="006C3740">
        <w:rPr>
          <w:rFonts w:eastAsia="Aptos"/>
          <w:kern w:val="2"/>
          <w:szCs w:val="24"/>
          <w:lang w:eastAsia="en-US"/>
          <w14:ligatures w14:val="standardContextual"/>
        </w:rPr>
        <w:t>oplysninger"</w:t>
      </w:r>
      <w:r w:rsidRPr="006C3740">
        <w:rPr>
          <w:rFonts w:eastAsia="Aptos"/>
          <w:kern w:val="2"/>
          <w:szCs w:val="24"/>
          <w:shd w:val="clear" w:color="auto" w:fill="FFFFFF"/>
          <w:lang w:eastAsia="en-US"/>
          <w14:ligatures w14:val="standardContextual"/>
        </w:rPr>
        <w:t xml:space="preserve"> og</w:t>
      </w:r>
      <w:r w:rsidRPr="006C3740">
        <w:rPr>
          <w:rFonts w:eastAsia="Aptos"/>
          <w:kern w:val="2"/>
          <w:szCs w:val="24"/>
          <w:lang w:eastAsia="en-US"/>
          <w14:ligatures w14:val="standardContextual"/>
        </w:rPr>
        <w:t xml:space="preserve"> "følsomme ikkeklassificerede oplysninger" som defineret i punkt 1.2.2. og 1.2.3.</w:t>
      </w:r>
    </w:p>
    <w:p w14:paraId="3C7183EF" w14:textId="77777777" w:rsidR="006C3740" w:rsidRPr="006C3740" w:rsidRDefault="006C3740" w:rsidP="006C3740">
      <w:pPr>
        <w:widowControl/>
        <w:spacing w:before="120" w:after="120"/>
        <w:ind w:left="1418" w:hanging="567"/>
        <w:jc w:val="both"/>
        <w:rPr>
          <w:rFonts w:eastAsia="Aptos"/>
          <w:kern w:val="2"/>
          <w:szCs w:val="24"/>
          <w:lang w:eastAsia="en-US"/>
          <w14:ligatures w14:val="standardContextual"/>
        </w:rPr>
      </w:pPr>
      <w:r w:rsidRPr="006C3740">
        <w:rPr>
          <w:rFonts w:eastAsia="Aptos"/>
          <w:kern w:val="2"/>
          <w:szCs w:val="24"/>
          <w:lang w:eastAsia="en-US"/>
          <w14:ligatures w14:val="standardContextual"/>
        </w:rPr>
        <w:t>1.2.2.</w:t>
      </w:r>
      <w:r w:rsidRPr="006C3740">
        <w:rPr>
          <w:rFonts w:eastAsia="Aptos"/>
          <w:kern w:val="2"/>
          <w:szCs w:val="24"/>
          <w:lang w:eastAsia="en-US"/>
          <w14:ligatures w14:val="standardContextual"/>
        </w:rPr>
        <w:tab/>
        <w:t>Ved "EU-klassificerede oplysninger" forstås enhver oplysning og ethvert materiale, der er klassificeret som "TRÈS SECRET UE/EU TOP SECRET", "SECRET UE/EU SECRET", "CONFIDENTIEL UE/EU CONFIDENTIAL" eller "RESTREINT UE/EU RESTRICTED", eller som er mærket med en tilsvarende national eller international klassifikationsbetegnelse,</w:t>
      </w:r>
      <w:r w:rsidRPr="006C3740">
        <w:rPr>
          <w:rFonts w:eastAsia="Aptos"/>
          <w:color w:val="808080"/>
          <w:kern w:val="2"/>
          <w:szCs w:val="24"/>
          <w:lang w:eastAsia="en-US"/>
          <w14:ligatures w14:val="standardContextual"/>
        </w:rPr>
        <w:t xml:space="preserve"> </w:t>
      </w:r>
      <w:r w:rsidRPr="006C3740">
        <w:rPr>
          <w:rFonts w:eastAsia="Aptos"/>
          <w:kern w:val="2"/>
          <w:szCs w:val="24"/>
          <w:lang w:eastAsia="en-US"/>
          <w14:ligatures w14:val="standardContextual"/>
        </w:rPr>
        <w:t>der ved uberettiget videregivelse i forskellig grad kunne skade Unionens eller en eller flere medlemsstaters interesser, uanset om sådanne oplysninger hidrører fra Unionen eller er modtaget fra medlemsstater, tredjelande eller internationale organisationer.</w:t>
      </w:r>
    </w:p>
    <w:p w14:paraId="69DF367F" w14:textId="77777777" w:rsidR="006C3740" w:rsidRPr="006C3740" w:rsidRDefault="006C3740" w:rsidP="006C3740">
      <w:pPr>
        <w:widowControl/>
        <w:spacing w:before="120" w:after="120"/>
        <w:ind w:left="1985" w:hanging="567"/>
        <w:rPr>
          <w:rFonts w:eastAsia="Aptos"/>
          <w:kern w:val="2"/>
          <w:szCs w:val="24"/>
          <w:lang w:eastAsia="en-US"/>
          <w14:ligatures w14:val="standardContextual"/>
        </w:rPr>
      </w:pPr>
      <w:r w:rsidRPr="006C3740">
        <w:rPr>
          <w:rFonts w:eastAsia="Aptos"/>
          <w:kern w:val="2"/>
          <w:szCs w:val="24"/>
          <w:lang w:eastAsia="en-US"/>
          <w14:ligatures w14:val="standardContextual"/>
        </w:rPr>
        <w:t>a)</w:t>
      </w:r>
      <w:r w:rsidRPr="006C3740">
        <w:rPr>
          <w:rFonts w:eastAsia="Aptos"/>
          <w:kern w:val="2"/>
          <w:szCs w:val="24"/>
          <w:lang w:eastAsia="en-US"/>
          <w14:ligatures w14:val="standardContextual"/>
        </w:rPr>
        <w:tab/>
        <w:t>TRÈS SECRET UE/EU TOP SECRET: denne klassifikation anvendes kun til oplysninger og materiale, hvis uberettigede videregivelse kunne forvolde Unionens eller en eller flere af medlemsstaternes</w:t>
      </w:r>
      <w:r w:rsidRPr="006C3740">
        <w:rPr>
          <w:rFonts w:eastAsia="Aptos"/>
          <w:color w:val="808080"/>
          <w:kern w:val="2"/>
          <w:szCs w:val="24"/>
          <w:lang w:eastAsia="en-US"/>
          <w14:ligatures w14:val="standardContextual"/>
        </w:rPr>
        <w:t xml:space="preserve"> </w:t>
      </w:r>
      <w:r w:rsidRPr="006C3740">
        <w:rPr>
          <w:rFonts w:eastAsia="Aptos"/>
          <w:kern w:val="2"/>
          <w:szCs w:val="24"/>
          <w:lang w:eastAsia="en-US"/>
          <w14:ligatures w14:val="standardContextual"/>
        </w:rPr>
        <w:t>vitale interesser overordentlig alvorlig skade</w:t>
      </w:r>
    </w:p>
    <w:p w14:paraId="333A9BB3" w14:textId="77777777" w:rsidR="006C3740" w:rsidRPr="006C3740" w:rsidRDefault="006C3740" w:rsidP="006C3740">
      <w:pPr>
        <w:widowControl/>
        <w:spacing w:before="120" w:after="120"/>
        <w:ind w:left="1985" w:hanging="567"/>
        <w:rPr>
          <w:rFonts w:eastAsia="Aptos"/>
          <w:kern w:val="2"/>
          <w:szCs w:val="24"/>
          <w:lang w:eastAsia="en-US"/>
          <w14:ligatures w14:val="standardContextual"/>
        </w:rPr>
      </w:pPr>
      <w:r w:rsidRPr="006C3740">
        <w:rPr>
          <w:rFonts w:eastAsia="Aptos"/>
          <w:kern w:val="2"/>
          <w:szCs w:val="24"/>
          <w:lang w:eastAsia="en-US"/>
          <w14:ligatures w14:val="standardContextual"/>
        </w:rPr>
        <w:t>b)</w:t>
      </w:r>
      <w:r w:rsidRPr="006C3740">
        <w:rPr>
          <w:rFonts w:eastAsia="Aptos"/>
          <w:kern w:val="2"/>
          <w:szCs w:val="24"/>
          <w:lang w:eastAsia="en-US"/>
          <w14:ligatures w14:val="standardContextual"/>
        </w:rPr>
        <w:tab/>
        <w:t>SECRET UE/EU SECRET: denne klassifikation anvendes kun til oplysninger og materiale, hvis uberettigede videregivelse kunne forvolde Unionens eller en eller flere af medlemsstaternes</w:t>
      </w:r>
      <w:r w:rsidRPr="006C3740">
        <w:rPr>
          <w:rFonts w:eastAsia="Aptos"/>
          <w:color w:val="808080"/>
          <w:kern w:val="2"/>
          <w:szCs w:val="24"/>
          <w:lang w:eastAsia="en-US"/>
          <w14:ligatures w14:val="standardContextual"/>
        </w:rPr>
        <w:t xml:space="preserve"> </w:t>
      </w:r>
      <w:r w:rsidRPr="006C3740">
        <w:rPr>
          <w:rFonts w:eastAsia="Aptos"/>
          <w:kern w:val="2"/>
          <w:szCs w:val="24"/>
          <w:lang w:eastAsia="en-US"/>
          <w14:ligatures w14:val="standardContextual"/>
        </w:rPr>
        <w:t>vitale interesser alvorlig skade</w:t>
      </w:r>
    </w:p>
    <w:p w14:paraId="6A73FBA4" w14:textId="77777777" w:rsidR="006C3740" w:rsidRPr="006C3740" w:rsidRDefault="006C3740" w:rsidP="006C3740">
      <w:pPr>
        <w:widowControl/>
        <w:spacing w:before="120" w:after="120"/>
        <w:ind w:left="1985" w:hanging="567"/>
        <w:rPr>
          <w:rFonts w:eastAsia="Aptos"/>
          <w:kern w:val="2"/>
          <w:szCs w:val="24"/>
          <w:lang w:eastAsia="en-US"/>
          <w14:ligatures w14:val="standardContextual"/>
        </w:rPr>
      </w:pPr>
      <w:r w:rsidRPr="006C3740">
        <w:rPr>
          <w:rFonts w:eastAsia="Aptos"/>
          <w:kern w:val="2"/>
          <w:szCs w:val="24"/>
          <w:lang w:eastAsia="en-US"/>
          <w14:ligatures w14:val="standardContextual"/>
        </w:rPr>
        <w:t>c)</w:t>
      </w:r>
      <w:r w:rsidRPr="006C3740">
        <w:rPr>
          <w:rFonts w:eastAsia="Aptos"/>
          <w:kern w:val="2"/>
          <w:szCs w:val="24"/>
          <w:lang w:eastAsia="en-US"/>
          <w14:ligatures w14:val="standardContextual"/>
        </w:rPr>
        <w:tab/>
        <w:t>CONFIDENTIEL UE/EU CONFIDENTIAL: denne klassifikation anvendes til oplysninger og materiale, hvis uberettigede videregivelse kunne forvolde Unionens eller en eller flere af medlemsstaternes vitale interesser skade</w:t>
      </w:r>
    </w:p>
    <w:p w14:paraId="7E89A5B4" w14:textId="77777777" w:rsidR="006C3740" w:rsidRPr="006C3740" w:rsidRDefault="006C3740" w:rsidP="006C3740">
      <w:pPr>
        <w:widowControl/>
        <w:spacing w:before="120" w:after="120"/>
        <w:ind w:left="1985" w:hanging="567"/>
        <w:rPr>
          <w:rFonts w:eastAsia="Aptos"/>
          <w:kern w:val="2"/>
          <w:szCs w:val="24"/>
          <w:lang w:eastAsia="en-US"/>
          <w14:ligatures w14:val="standardContextual"/>
        </w:rPr>
      </w:pPr>
      <w:r w:rsidRPr="006C3740">
        <w:rPr>
          <w:rFonts w:eastAsia="Aptos"/>
          <w:kern w:val="2"/>
          <w:szCs w:val="24"/>
          <w:lang w:eastAsia="en-US"/>
          <w14:ligatures w14:val="standardContextual"/>
        </w:rPr>
        <w:t>d)</w:t>
      </w:r>
      <w:r w:rsidRPr="006C3740">
        <w:rPr>
          <w:rFonts w:eastAsia="Aptos"/>
          <w:kern w:val="2"/>
          <w:szCs w:val="24"/>
          <w:lang w:eastAsia="en-US"/>
          <w14:ligatures w14:val="standardContextual"/>
        </w:rPr>
        <w:tab/>
        <w:t>RESTREINT UE/EU RESTRICTED: denne klassifikation anvendes til oplysninger og materiale, hvis uberettigede videregivelse kunne være uhensigtsmæssig for Unionens eller en eller flere af medlemsstaternes interesser.</w:t>
      </w:r>
    </w:p>
    <w:p w14:paraId="01A6F683" w14:textId="77777777" w:rsidR="006C3740" w:rsidRPr="006C3740" w:rsidRDefault="006C3740" w:rsidP="006C3740">
      <w:pPr>
        <w:widowControl/>
        <w:spacing w:before="120" w:after="120"/>
        <w:ind w:left="1418" w:hanging="567"/>
        <w:jc w:val="both"/>
        <w:rPr>
          <w:rFonts w:eastAsia="Aptos"/>
          <w:strike/>
          <w:color w:val="808080"/>
          <w:kern w:val="2"/>
          <w:szCs w:val="24"/>
          <w:lang w:eastAsia="en-US"/>
          <w14:ligatures w14:val="standardContextual"/>
        </w:rPr>
      </w:pPr>
      <w:r w:rsidRPr="006C3740">
        <w:rPr>
          <w:rFonts w:eastAsia="Aptos"/>
          <w:kern w:val="2"/>
          <w:szCs w:val="24"/>
          <w:lang w:eastAsia="en-US"/>
          <w14:ligatures w14:val="standardContextual"/>
        </w:rPr>
        <w:t>1.2.3.</w:t>
      </w:r>
      <w:r w:rsidRPr="006C3740">
        <w:rPr>
          <w:rFonts w:eastAsia="Aptos"/>
          <w:kern w:val="2"/>
          <w:szCs w:val="24"/>
          <w:lang w:eastAsia="en-US"/>
          <w14:ligatures w14:val="standardContextual"/>
        </w:rPr>
        <w:tab/>
        <w:t xml:space="preserve">Ved "følsomme ikkeklassificerede oplysninger" forstås oplysninger eller andet materiale end EU-klassificerede oplysninger, der skal beskyttes på grund af retlige forpligtelser, der er fastsat i traktaterne eller i retsakter vedtaget til </w:t>
      </w:r>
      <w:r w:rsidRPr="006C3740">
        <w:rPr>
          <w:rFonts w:eastAsia="Aptos"/>
          <w:kern w:val="2"/>
          <w:szCs w:val="24"/>
          <w:lang w:eastAsia="en-US"/>
          <w14:ligatures w14:val="standardContextual"/>
        </w:rPr>
        <w:lastRenderedPageBreak/>
        <w:t xml:space="preserve">gennemførelse heraf, eller på grund af deres følsomhed, herunder oplysninger, der er omfattet af tavshedspligt. </w:t>
      </w:r>
    </w:p>
    <w:p w14:paraId="7D4BA679" w14:textId="77777777" w:rsidR="006C3740" w:rsidRPr="006C3740" w:rsidRDefault="006C3740" w:rsidP="006C3740">
      <w:pPr>
        <w:widowControl/>
        <w:spacing w:before="120" w:after="120"/>
        <w:ind w:left="851" w:hanging="851"/>
        <w:jc w:val="both"/>
        <w:rPr>
          <w:rFonts w:eastAsia="Aptos"/>
          <w:strike/>
          <w:color w:val="808080"/>
          <w:kern w:val="2"/>
          <w:szCs w:val="24"/>
          <w:lang w:eastAsia="en-US"/>
          <w14:ligatures w14:val="standardContextual"/>
        </w:rPr>
      </w:pPr>
      <w:r w:rsidRPr="006C3740">
        <w:rPr>
          <w:rFonts w:eastAsia="Aptos"/>
          <w:kern w:val="2"/>
          <w:szCs w:val="24"/>
          <w:lang w:eastAsia="en-US"/>
          <w14:ligatures w14:val="standardContextual"/>
        </w:rPr>
        <w:t>1.3.</w:t>
      </w:r>
      <w:r w:rsidRPr="006C3740">
        <w:rPr>
          <w:rFonts w:eastAsia="Aptos"/>
          <w:kern w:val="2"/>
          <w:szCs w:val="24"/>
          <w:lang w:eastAsia="en-US"/>
          <w14:ligatures w14:val="standardContextual"/>
        </w:rPr>
        <w:tab/>
        <w:t>I overensstemmelse med bestemmelserne i dette bilag tilsender Kommissionen rettidigt Parlamentet EU-klassificerede oplysninger og følsomme ikkeklassificerede oplysninger, således at Parlamentet kan udøve sin rolle i henhold til traktaterne. Den gør dette på eget initiativ eller efter anmodning, der bør fremsættes rettidigt, fra et af de parlamentsorganer eller hvervsindehavere, der er nævnt i punkt 1.4.</w:t>
      </w:r>
      <w:r w:rsidRPr="006C3740">
        <w:rPr>
          <w:rFonts w:eastAsia="Aptos"/>
          <w:color w:val="808080"/>
          <w:kern w:val="2"/>
          <w:szCs w:val="24"/>
          <w:lang w:eastAsia="en-US"/>
          <w14:ligatures w14:val="standardContextual"/>
        </w:rPr>
        <w:t xml:space="preserve"> </w:t>
      </w:r>
    </w:p>
    <w:p w14:paraId="5A3E7A93" w14:textId="77777777" w:rsidR="006C3740" w:rsidRPr="006C3740" w:rsidRDefault="006C3740" w:rsidP="006C3740">
      <w:pPr>
        <w:widowControl/>
        <w:spacing w:before="120" w:after="120"/>
        <w:ind w:left="851" w:hanging="851"/>
        <w:rPr>
          <w:rFonts w:eastAsia="Aptos"/>
          <w:kern w:val="2"/>
          <w:szCs w:val="24"/>
          <w:lang w:eastAsia="en-US"/>
          <w14:ligatures w14:val="standardContextual"/>
        </w:rPr>
      </w:pPr>
      <w:r w:rsidRPr="006C3740">
        <w:rPr>
          <w:rFonts w:eastAsia="Aptos"/>
          <w:kern w:val="2"/>
          <w:szCs w:val="24"/>
          <w:lang w:eastAsia="en-US"/>
          <w14:ligatures w14:val="standardContextual"/>
        </w:rPr>
        <w:t>1.4.</w:t>
      </w:r>
      <w:r w:rsidRPr="006C3740">
        <w:rPr>
          <w:rFonts w:eastAsia="Aptos"/>
          <w:kern w:val="2"/>
          <w:szCs w:val="24"/>
          <w:lang w:eastAsia="en-US"/>
          <w14:ligatures w14:val="standardContextual"/>
        </w:rPr>
        <w:tab/>
        <w:t>I dette bilags forstand kan følgende anmode Kommissionen om EU-klassificerede oplysninger og følsomme ikkeklassificerede oplysninger:</w:t>
      </w:r>
    </w:p>
    <w:p w14:paraId="29F14021" w14:textId="77777777" w:rsidR="006C3740" w:rsidRPr="006C3740" w:rsidRDefault="006C3740" w:rsidP="006C3740">
      <w:pPr>
        <w:widowControl/>
        <w:spacing w:before="120" w:after="120"/>
        <w:ind w:left="1418" w:hanging="567"/>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Parlamentets formand</w:t>
      </w:r>
    </w:p>
    <w:p w14:paraId="27360CF4" w14:textId="77777777" w:rsidR="006C3740" w:rsidRPr="006C3740" w:rsidRDefault="006C3740" w:rsidP="006C3740">
      <w:pPr>
        <w:widowControl/>
        <w:spacing w:before="120" w:after="120"/>
        <w:ind w:left="1418" w:hanging="567"/>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formændene for de berørte parlamentsudvalg</w:t>
      </w:r>
    </w:p>
    <w:p w14:paraId="5F9BB3BF" w14:textId="77777777" w:rsidR="006C3740" w:rsidRPr="006C3740" w:rsidRDefault="006C3740" w:rsidP="006C3740">
      <w:pPr>
        <w:widowControl/>
        <w:spacing w:before="120" w:after="120"/>
        <w:ind w:left="1418" w:hanging="567"/>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Præsidiet og Formandskonferencen, samt</w:t>
      </w:r>
    </w:p>
    <w:p w14:paraId="734B8EAF" w14:textId="77777777" w:rsidR="006C3740" w:rsidRPr="006C3740" w:rsidRDefault="006C3740" w:rsidP="006C3740">
      <w:pPr>
        <w:widowControl/>
        <w:spacing w:before="120" w:after="120"/>
        <w:ind w:left="1418" w:hanging="567"/>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ledere af Parlamentsdelegationer, som deltager i EU-delegationer på internationale konferencer.</w:t>
      </w:r>
    </w:p>
    <w:p w14:paraId="34ADC9C9"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1.5.</w:t>
      </w:r>
      <w:r w:rsidRPr="006C3740">
        <w:rPr>
          <w:rFonts w:eastAsia="Aptos"/>
          <w:kern w:val="2"/>
          <w:szCs w:val="24"/>
          <w:lang w:eastAsia="en-US"/>
          <w14:ligatures w14:val="standardContextual"/>
        </w:rPr>
        <w:tab/>
        <w:t>Dette bilags anvendelsesområde omfatter ikke oplysninger om traktatbrudsprocedurer og konkurrencesager, for så vidt der endnu ikke foreligger en endelig kommissionsafgørelse eller en dom fra EU-Domstolen på det tidspunkt, hvor anmodningen fra et eller en af de i punkt 1.4. nævnte parlamentsorganer eller hvervsindehavere modtages, eller der er tale om hensyn til beskyttelsen af Unionens finansielle interesser. Dette berører ikke rammeaftalens punkt 56 og Parlamentets budgetkontrolbeføjelser.</w:t>
      </w:r>
    </w:p>
    <w:p w14:paraId="0A22E164"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1.6.</w:t>
      </w:r>
      <w:r w:rsidRPr="006C3740">
        <w:rPr>
          <w:rFonts w:eastAsia="Aptos"/>
          <w:kern w:val="2"/>
          <w:szCs w:val="24"/>
          <w:lang w:eastAsia="en-US"/>
          <w14:ligatures w14:val="standardContextual"/>
        </w:rPr>
        <w:tab/>
        <w:t>Disse bestemmelser berører ikke afgørelse 95/167/EF, Euratom, EKSF truffet af Europa-Parlamentet, Rådet og Kommissionen den 19. april 1995 om de nærmere vilkår for udøvelse af Europa-Parlamentets undersøgelsesbeføjelse</w:t>
      </w:r>
      <w:r w:rsidRPr="006C3740">
        <w:rPr>
          <w:rFonts w:eastAsia="Aptos"/>
          <w:kern w:val="2"/>
          <w:szCs w:val="24"/>
          <w:vertAlign w:val="superscript"/>
          <w:lang w:eastAsia="en-US"/>
          <w14:ligatures w14:val="standardContextual"/>
        </w:rPr>
        <w:footnoteReference w:id="8"/>
      </w:r>
      <w:r w:rsidRPr="006C3740">
        <w:rPr>
          <w:rFonts w:eastAsia="Aptos"/>
          <w:kern w:val="2"/>
          <w:szCs w:val="24"/>
          <w:lang w:eastAsia="en-US"/>
          <w14:ligatures w14:val="standardContextual"/>
        </w:rPr>
        <w:t xml:space="preserve"> og de relevante bestemmelser i Kommissionens afgørelse 1999/352/EF, EKSF, Euratom af 28. april 1999 om oprettelse af Det Europæiske Kontor for Bekæmpelse af Svig (OLAF)</w:t>
      </w:r>
      <w:r w:rsidRPr="006C3740">
        <w:rPr>
          <w:rFonts w:eastAsia="Aptos"/>
          <w:kern w:val="2"/>
          <w:szCs w:val="24"/>
          <w:vertAlign w:val="superscript"/>
          <w:lang w:eastAsia="en-US"/>
          <w14:ligatures w14:val="standardContextual"/>
        </w:rPr>
        <w:footnoteReference w:id="9"/>
      </w:r>
      <w:r w:rsidRPr="006C3740">
        <w:rPr>
          <w:rFonts w:eastAsia="Aptos"/>
          <w:kern w:val="2"/>
          <w:szCs w:val="24"/>
          <w:lang w:eastAsia="en-US"/>
          <w14:ligatures w14:val="standardContextual"/>
        </w:rPr>
        <w:t>.</w:t>
      </w:r>
    </w:p>
    <w:p w14:paraId="772D63BC" w14:textId="77777777" w:rsidR="006C3740" w:rsidRPr="006C3740" w:rsidRDefault="006C3740" w:rsidP="006C3740">
      <w:pPr>
        <w:widowControl/>
        <w:spacing w:before="120" w:after="120"/>
        <w:ind w:left="851" w:hanging="851"/>
        <w:rPr>
          <w:rFonts w:eastAsia="Aptos"/>
          <w:b/>
          <w:kern w:val="2"/>
          <w:szCs w:val="24"/>
          <w:lang w:eastAsia="en-US"/>
          <w14:ligatures w14:val="standardContextual"/>
        </w:rPr>
      </w:pPr>
      <w:r w:rsidRPr="006C3740">
        <w:rPr>
          <w:rFonts w:eastAsia="Aptos"/>
          <w:b/>
          <w:kern w:val="2"/>
          <w:szCs w:val="24"/>
          <w:lang w:eastAsia="en-US"/>
          <w14:ligatures w14:val="standardContextual"/>
        </w:rPr>
        <w:t>2. Generelle bestemmelser</w:t>
      </w:r>
    </w:p>
    <w:p w14:paraId="23581C29"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2.1.</w:t>
      </w:r>
      <w:r w:rsidRPr="006C3740">
        <w:rPr>
          <w:rFonts w:eastAsia="Aptos"/>
          <w:kern w:val="2"/>
          <w:szCs w:val="24"/>
          <w:lang w:eastAsia="en-US"/>
          <w14:ligatures w14:val="standardContextual"/>
        </w:rPr>
        <w:tab/>
        <w:t>Kommissionen tilsender i overensstemmelse med punkt 1.3. hurtigst muligt Parlamentet alle EU-klassificerede oplysninger og følsomme ikkeklassificerede oplysninger, der er nødvendige, for at Parlamentet kan udøve sine prærogativer og beføjelser. De to institutioner respekterer inden for deres respektive beføjelser og ansvarsområder:</w:t>
      </w:r>
    </w:p>
    <w:p w14:paraId="063D03ED" w14:textId="77777777" w:rsidR="006C3740" w:rsidRPr="006C3740" w:rsidRDefault="006C3740" w:rsidP="006C3740">
      <w:pPr>
        <w:widowControl/>
        <w:spacing w:before="120" w:after="120"/>
        <w:ind w:left="1418" w:hanging="567"/>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grundlæggende menneskerettigheder, herunder retten til retfærdig rettergang og retten til beskyttelse af privatlivet</w:t>
      </w:r>
    </w:p>
    <w:p w14:paraId="6DCC42F5" w14:textId="77777777" w:rsidR="006C3740" w:rsidRPr="006C3740" w:rsidRDefault="006C3740" w:rsidP="006C3740">
      <w:pPr>
        <w:widowControl/>
        <w:spacing w:before="120" w:after="120"/>
        <w:ind w:left="1418" w:hanging="567"/>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bestemmelser vedrørende retslige og disciplinære procedurer</w:t>
      </w:r>
    </w:p>
    <w:p w14:paraId="5031A31E" w14:textId="77777777" w:rsidR="006C3740" w:rsidRPr="006C3740" w:rsidRDefault="006C3740" w:rsidP="006C3740">
      <w:pPr>
        <w:widowControl/>
        <w:spacing w:before="120" w:after="120"/>
        <w:ind w:left="1418" w:hanging="567"/>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beskyttelse af forretningshemmeligheder og kommercielle forbindelser</w:t>
      </w:r>
    </w:p>
    <w:p w14:paraId="1B4BA851" w14:textId="77777777" w:rsidR="006C3740" w:rsidRPr="006C3740" w:rsidRDefault="006C3740" w:rsidP="006C3740">
      <w:pPr>
        <w:widowControl/>
        <w:spacing w:before="120" w:after="120"/>
        <w:ind w:left="1418" w:hanging="567"/>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beskyttelse af Unionens interesser, særlig i tilknytning til offentlig sikkerhed, forsvar, internationale forbindelser, valutastabilitet og finansielle interesser.</w:t>
      </w:r>
    </w:p>
    <w:p w14:paraId="4084ECEA" w14:textId="77777777" w:rsidR="006C3740" w:rsidRPr="006C3740" w:rsidRDefault="006C3740" w:rsidP="006C3740">
      <w:pPr>
        <w:widowControl/>
        <w:spacing w:before="120" w:after="120"/>
        <w:ind w:left="851"/>
        <w:jc w:val="both"/>
        <w:rPr>
          <w:rFonts w:eastAsia="Aptos"/>
          <w:kern w:val="2"/>
          <w:szCs w:val="24"/>
          <w:lang w:eastAsia="en-US"/>
          <w14:ligatures w14:val="standardContextual"/>
        </w:rPr>
      </w:pPr>
      <w:r w:rsidRPr="006C3740">
        <w:rPr>
          <w:rFonts w:eastAsia="Aptos"/>
          <w:kern w:val="2"/>
          <w:szCs w:val="24"/>
          <w:lang w:eastAsia="en-US"/>
          <w14:ligatures w14:val="standardContextual"/>
        </w:rPr>
        <w:t>I tilfælde af uenighed forelægges spørgsmålet de to institutioners formænd, således at de kan bilægge tvisten.</w:t>
      </w:r>
    </w:p>
    <w:p w14:paraId="46819D68" w14:textId="77777777" w:rsidR="006C3740" w:rsidRPr="006C3740" w:rsidRDefault="006C3740" w:rsidP="006C3740">
      <w:pPr>
        <w:widowControl/>
        <w:spacing w:before="120" w:after="120"/>
        <w:ind w:left="851"/>
        <w:jc w:val="both"/>
        <w:rPr>
          <w:rFonts w:eastAsia="Aptos"/>
          <w:kern w:val="2"/>
          <w:szCs w:val="24"/>
          <w:lang w:eastAsia="en-US"/>
          <w14:ligatures w14:val="standardContextual"/>
        </w:rPr>
      </w:pPr>
      <w:r w:rsidRPr="006C3740">
        <w:rPr>
          <w:rFonts w:eastAsia="Aptos"/>
          <w:kern w:val="2"/>
          <w:szCs w:val="24"/>
          <w:lang w:eastAsia="en-US"/>
          <w14:ligatures w14:val="standardContextual"/>
        </w:rPr>
        <w:lastRenderedPageBreak/>
        <w:t xml:space="preserve">EU-klassificerede oplysninger og følsomme ikkeklassificerede oplysninger, der hidrører fra en medlemsstat, en anden institution, en international organisation eller et tredjeland, videregives, nedklassificeres eller afklassificeres med dennes eller dettes samtykke. </w:t>
      </w:r>
    </w:p>
    <w:p w14:paraId="758074CC" w14:textId="77777777" w:rsidR="006C3740" w:rsidRPr="006C3740" w:rsidRDefault="006C3740" w:rsidP="006C3740">
      <w:pPr>
        <w:widowControl/>
        <w:spacing w:before="120" w:after="120"/>
        <w:ind w:left="851" w:hanging="851"/>
        <w:jc w:val="both"/>
        <w:rPr>
          <w:rFonts w:eastAsia="Aptos"/>
          <w:strike/>
          <w:kern w:val="2"/>
          <w:szCs w:val="24"/>
          <w:lang w:eastAsia="en-US"/>
          <w14:ligatures w14:val="standardContextual"/>
        </w:rPr>
      </w:pPr>
      <w:r w:rsidRPr="006C3740">
        <w:rPr>
          <w:rFonts w:eastAsia="Aptos"/>
          <w:kern w:val="2"/>
          <w:szCs w:val="24"/>
          <w:lang w:eastAsia="en-US"/>
          <w14:ligatures w14:val="standardContextual"/>
        </w:rPr>
        <w:t>2.2.</w:t>
      </w:r>
      <w:r w:rsidRPr="006C3740">
        <w:rPr>
          <w:rFonts w:eastAsia="Aptos"/>
          <w:kern w:val="2"/>
          <w:szCs w:val="24"/>
          <w:lang w:eastAsia="en-US"/>
          <w14:ligatures w14:val="standardContextual"/>
        </w:rPr>
        <w:tab/>
        <w:t xml:space="preserve">EU-klassificerede oplysninger og følsomme ikkeklassificerede oplysninger videregives til og behandles og beskyttes af Parlamentet under overholdelse af de fælles minimumsstandarder for sikkerhed, som anvendes af de to institutioner. </w:t>
      </w:r>
    </w:p>
    <w:p w14:paraId="5C0DA407" w14:textId="77777777" w:rsidR="006C3740" w:rsidRPr="006C3740" w:rsidRDefault="006C3740" w:rsidP="006C3740">
      <w:pPr>
        <w:widowControl/>
        <w:spacing w:before="120" w:after="120"/>
        <w:ind w:left="851"/>
        <w:jc w:val="both"/>
        <w:rPr>
          <w:rFonts w:eastAsia="Aptos"/>
          <w:kern w:val="2"/>
          <w:szCs w:val="24"/>
          <w:lang w:eastAsia="en-US"/>
          <w14:ligatures w14:val="standardContextual"/>
        </w:rPr>
      </w:pPr>
      <w:r w:rsidRPr="006C3740">
        <w:rPr>
          <w:rFonts w:eastAsia="Aptos"/>
          <w:kern w:val="2"/>
          <w:szCs w:val="24"/>
          <w:lang w:eastAsia="en-US"/>
          <w14:ligatures w14:val="standardContextual"/>
        </w:rPr>
        <w:t>Kommissionen</w:t>
      </w:r>
      <w:r w:rsidRPr="006C3740">
        <w:rPr>
          <w:rFonts w:eastAsia="Aptos"/>
          <w:color w:val="A6A6A6"/>
          <w:kern w:val="2"/>
          <w:szCs w:val="24"/>
          <w:lang w:eastAsia="en-US"/>
          <w14:ligatures w14:val="standardContextual"/>
        </w:rPr>
        <w:t xml:space="preserve"> </w:t>
      </w:r>
      <w:r w:rsidRPr="006C3740">
        <w:rPr>
          <w:rFonts w:eastAsia="Aptos"/>
          <w:kern w:val="2"/>
          <w:szCs w:val="24"/>
          <w:lang w:eastAsia="en-US"/>
          <w14:ligatures w14:val="standardContextual"/>
        </w:rPr>
        <w:t xml:space="preserve">sikrer </w:t>
      </w:r>
      <w:r w:rsidRPr="006C3740">
        <w:rPr>
          <w:rFonts w:eastAsia="Aptos"/>
          <w:bCs/>
          <w:kern w:val="2"/>
          <w:szCs w:val="24"/>
          <w:lang w:eastAsia="en-US"/>
          <w14:ligatures w14:val="standardContextual"/>
        </w:rPr>
        <w:t>ved klassificering</w:t>
      </w:r>
      <w:r w:rsidRPr="006C3740">
        <w:rPr>
          <w:rFonts w:eastAsia="Aptos"/>
          <w:kern w:val="2"/>
          <w:szCs w:val="24"/>
          <w:lang w:eastAsia="en-US"/>
          <w14:ligatures w14:val="standardContextual"/>
        </w:rPr>
        <w:t xml:space="preserve"> af oplysninger, </w:t>
      </w:r>
      <w:r w:rsidRPr="006C3740">
        <w:rPr>
          <w:rFonts w:eastAsia="Aptos"/>
          <w:bCs/>
          <w:kern w:val="2"/>
          <w:szCs w:val="24"/>
          <w:lang w:eastAsia="en-US"/>
          <w14:ligatures w14:val="standardContextual"/>
        </w:rPr>
        <w:t>der hidrører fra den, at den anvender den relevante klassifikationsgrad i overensstemmelse med internationale standarder og definitioner og sine interne bestemmelser under behørig hensyntagen til, at Parlamentet skal kunne få adgang til EU-klassificerede oplysninger for effektivt at kunne udøve sine beføjelser og prærogativer.</w:t>
      </w:r>
    </w:p>
    <w:p w14:paraId="125A8C5E"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2.3.</w:t>
      </w:r>
      <w:r w:rsidRPr="006C3740">
        <w:rPr>
          <w:rFonts w:eastAsia="Aptos"/>
          <w:kern w:val="2"/>
          <w:szCs w:val="24"/>
          <w:lang w:eastAsia="en-US"/>
          <w14:ligatures w14:val="standardContextual"/>
        </w:rPr>
        <w:tab/>
        <w:t>Hersker der tvivl om en oplysnings fortrolige karakter eller om den relevante klassifikationsgrad, eller er det nødvendigt at fastlægge de relevante nærmere ordninger for dens meddelelse i overensstemmelse med en af mulighederne i punkt 3.2., hører de to institutioner hinanden straks og forud for fremsendelsen af dokumentet. Under disse høringer repræsenteres Parlamentet af formanden for det berørte parlamentsorgan, om nødvendigt sammen med ordføreren, eller af den hvervsindehaver, der indgav anmodningen. Kommissionen repræsenteres af det ansvarlige kommissionsmedlem efter høring af kommissionsmedlemmet med ansvar for sikkerhedsanliggender. I tilfælde af uenighed forelægges spørgsmålet de to institutioners formænd, således at de kan bilægge tvisten.</w:t>
      </w:r>
    </w:p>
    <w:p w14:paraId="36C7B43C"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2.4.</w:t>
      </w:r>
      <w:r w:rsidRPr="006C3740">
        <w:rPr>
          <w:rFonts w:eastAsia="Aptos"/>
          <w:kern w:val="2"/>
          <w:szCs w:val="24"/>
          <w:lang w:eastAsia="en-US"/>
          <w14:ligatures w14:val="standardContextual"/>
        </w:rPr>
        <w:tab/>
        <w:t>Er der efter afslutning af proceduren i punkt 2.3. ikke opnået enighed, opfordrer Parlamentets formand efter begrundet anmodning fra det berørte parlamentsorgan/den hvervsindehaver, som indgav anmodningen, Kommissionen til inden for den behørigt angivne passende frist at fremsende den pågældende EU-klassificerede oplysning og følsomme ikkeklassificerede oplysning, idet den vælger ordningen blandt mulighederne i dette bilags punkt 3.2. Inden udløbet af denne frist meddeler Kommissionen skriftligt Parlamentet sin endelige holdning, som Parlamentet i givet fald forbeholder sig ret til at gøre indsigelse imod.</w:t>
      </w:r>
    </w:p>
    <w:p w14:paraId="265A4395" w14:textId="77777777" w:rsidR="006C3740" w:rsidRPr="006C3740" w:rsidRDefault="006C3740" w:rsidP="006C3740">
      <w:pPr>
        <w:widowControl/>
        <w:spacing w:before="120" w:after="120"/>
        <w:ind w:left="851" w:hanging="851"/>
        <w:rPr>
          <w:rFonts w:eastAsia="Aptos"/>
          <w:kern w:val="2"/>
          <w:szCs w:val="24"/>
          <w:lang w:eastAsia="en-US"/>
          <w14:ligatures w14:val="standardContextual"/>
        </w:rPr>
      </w:pPr>
      <w:r w:rsidRPr="006C3740">
        <w:rPr>
          <w:rFonts w:eastAsia="Aptos"/>
          <w:kern w:val="2"/>
          <w:szCs w:val="24"/>
          <w:lang w:eastAsia="en-US"/>
          <w14:ligatures w14:val="standardContextual"/>
        </w:rPr>
        <w:t>2.5.</w:t>
      </w:r>
      <w:r w:rsidRPr="006C3740">
        <w:rPr>
          <w:rFonts w:eastAsia="Aptos"/>
          <w:kern w:val="2"/>
          <w:szCs w:val="24"/>
          <w:lang w:eastAsia="en-US"/>
          <w14:ligatures w14:val="standardContextual"/>
        </w:rPr>
        <w:tab/>
        <w:t>Adgang til EU-klassificerede oplysninger gives i overensstemmelse med de gældende regler vedrørende personelsikkerhedsgodkendelse.</w:t>
      </w:r>
    </w:p>
    <w:p w14:paraId="6FDF602D" w14:textId="77777777" w:rsidR="006C3740" w:rsidRPr="006C3740" w:rsidRDefault="006C3740" w:rsidP="006C3740">
      <w:pPr>
        <w:widowControl/>
        <w:spacing w:before="120" w:after="120"/>
        <w:ind w:left="1418" w:hanging="567"/>
        <w:jc w:val="both"/>
        <w:rPr>
          <w:rFonts w:eastAsia="Aptos"/>
          <w:kern w:val="2"/>
          <w:szCs w:val="24"/>
          <w:lang w:eastAsia="en-US"/>
          <w14:ligatures w14:val="standardContextual"/>
        </w:rPr>
      </w:pPr>
      <w:r w:rsidRPr="006C3740">
        <w:rPr>
          <w:rFonts w:eastAsia="Aptos"/>
          <w:kern w:val="2"/>
          <w:szCs w:val="24"/>
          <w:lang w:eastAsia="en-US"/>
          <w14:ligatures w14:val="standardContextual"/>
        </w:rPr>
        <w:t>2.5.1.</w:t>
      </w:r>
      <w:r w:rsidRPr="006C3740">
        <w:rPr>
          <w:rFonts w:eastAsia="Aptos"/>
          <w:kern w:val="2"/>
          <w:szCs w:val="24"/>
          <w:lang w:eastAsia="en-US"/>
          <w14:ligatures w14:val="standardContextual"/>
        </w:rPr>
        <w:tab/>
        <w:t>Adgang til oplysninger, der er klassificeret som "TRÈS SECRET UE/EU TOP SECRET", "SECRET UE/EU SECRET" og "CONFIDENTIEL UE/EU CONFIDENTIAL", gives kun til tjenestemænd, midlertidigt ansatte og kontraktansatte, der arbejder i Parlamentets Generalsekretariatet eller i en politisk gruppe i Parlamentet, og udstationerede nationale eksperter, for hvem de er strengt nødvendige, og som er blevet udpeget som personer, for hvem indsigt er tjenstlig nødvendig, og som er blevet indrømmet en passende sikkerhedsgodkendelse.</w:t>
      </w:r>
    </w:p>
    <w:p w14:paraId="67798F43" w14:textId="77777777" w:rsidR="006C3740" w:rsidRPr="006C3740" w:rsidRDefault="006C3740" w:rsidP="006C3740">
      <w:pPr>
        <w:widowControl/>
        <w:spacing w:before="120" w:after="120"/>
        <w:ind w:left="1418" w:hanging="567"/>
        <w:jc w:val="both"/>
        <w:rPr>
          <w:rFonts w:eastAsia="Aptos"/>
          <w:kern w:val="2"/>
          <w:szCs w:val="24"/>
          <w:lang w:eastAsia="en-US"/>
          <w14:ligatures w14:val="standardContextual"/>
        </w:rPr>
      </w:pPr>
      <w:r w:rsidRPr="006C3740">
        <w:rPr>
          <w:rFonts w:eastAsia="Aptos"/>
          <w:kern w:val="2"/>
          <w:szCs w:val="24"/>
          <w:lang w:eastAsia="en-US"/>
          <w14:ligatures w14:val="standardContextual"/>
        </w:rPr>
        <w:t>2.5.2.</w:t>
      </w:r>
      <w:r w:rsidRPr="006C3740">
        <w:rPr>
          <w:rFonts w:eastAsia="Aptos"/>
          <w:kern w:val="2"/>
          <w:szCs w:val="24"/>
          <w:lang w:eastAsia="en-US"/>
          <w14:ligatures w14:val="standardContextual"/>
        </w:rPr>
        <w:tab/>
        <w:t xml:space="preserve">I kraft af Parlamentets prærogativer og beføjelser kan Parlamentets formand give adgang til "CONFIDENTIEL UE/EU CONFIDENTIAL-oplysninger" til et medlem, som ikke har adgang i kraft af sin funktion i overensstemmelse med den nationale ret i den medlemsstat, hvor medlemmet er valgt, og som ikke kan opnå en passende sikkerhedsgodkendelse, da der ikke findes en sådan procedure i den medlemsstat, hvor medlemmet er valgt, efter at det pågældende medlem har underskrevet en erklæring på tro og love om ikke at videregive disse </w:t>
      </w:r>
      <w:r w:rsidRPr="006C3740">
        <w:rPr>
          <w:rFonts w:eastAsia="Aptos"/>
          <w:kern w:val="2"/>
          <w:szCs w:val="24"/>
          <w:lang w:eastAsia="en-US"/>
          <w14:ligatures w14:val="standardContextual"/>
        </w:rPr>
        <w:lastRenderedPageBreak/>
        <w:t>oplysninger til tredjemand, og forudsat at</w:t>
      </w:r>
      <w:r w:rsidRPr="006C3740">
        <w:rPr>
          <w:rFonts w:eastAsia="Aptos"/>
          <w:b/>
          <w:i/>
          <w:kern w:val="2"/>
          <w:szCs w:val="24"/>
          <w:lang w:eastAsia="en-US"/>
          <w14:ligatures w14:val="standardContextual"/>
        </w:rPr>
        <w:t xml:space="preserve"> </w:t>
      </w:r>
      <w:r w:rsidRPr="006C3740">
        <w:rPr>
          <w:rFonts w:eastAsia="Aptos"/>
          <w:kern w:val="2"/>
          <w:szCs w:val="24"/>
          <w:lang w:eastAsia="en-US"/>
          <w14:ligatures w14:val="standardContextual"/>
        </w:rPr>
        <w:t>Parlamentet ikke har modtaget oplysninger fra en kompetent national sikkerhedsmyndighed, der fraråder indrømmelse af en sådan adgang.</w:t>
      </w:r>
    </w:p>
    <w:p w14:paraId="3D79F35A" w14:textId="77777777" w:rsidR="006C3740" w:rsidRPr="006C3740" w:rsidRDefault="006C3740" w:rsidP="006C3740">
      <w:pPr>
        <w:widowControl/>
        <w:spacing w:before="120" w:after="120"/>
        <w:ind w:left="1418"/>
        <w:jc w:val="both"/>
        <w:rPr>
          <w:rFonts w:eastAsia="Aptos"/>
          <w:kern w:val="2"/>
          <w:szCs w:val="24"/>
          <w:lang w:eastAsia="en-US"/>
          <w14:ligatures w14:val="standardContextual"/>
        </w:rPr>
      </w:pPr>
      <w:r w:rsidRPr="006C3740">
        <w:rPr>
          <w:rFonts w:eastAsia="Aptos"/>
          <w:kern w:val="2"/>
          <w:szCs w:val="24"/>
          <w:lang w:eastAsia="en-US"/>
          <w14:ligatures w14:val="standardContextual"/>
        </w:rPr>
        <w:t>Der gives adgang til "SECRET UE/EU SECRET-oplysninger" til medlemmer, der er blevet indrømmet en passende sikkerhedsgodkendelse, eller som har fået adgang til EU-klassificerede oplysninger i kraft af deres funktion i overensstemmelse med national ret.</w:t>
      </w:r>
    </w:p>
    <w:p w14:paraId="0A79A0C3" w14:textId="77777777" w:rsidR="006C3740" w:rsidRPr="006C3740" w:rsidRDefault="006C3740" w:rsidP="006C3740">
      <w:pPr>
        <w:widowControl/>
        <w:spacing w:before="120" w:after="120"/>
        <w:ind w:left="1418" w:hanging="567"/>
        <w:rPr>
          <w:rFonts w:eastAsia="Aptos"/>
          <w:kern w:val="2"/>
          <w:szCs w:val="24"/>
          <w:lang w:eastAsia="en-US"/>
          <w14:ligatures w14:val="standardContextual"/>
        </w:rPr>
      </w:pPr>
      <w:r w:rsidRPr="006C3740">
        <w:rPr>
          <w:rFonts w:eastAsia="Aptos"/>
          <w:kern w:val="2"/>
          <w:szCs w:val="24"/>
          <w:lang w:eastAsia="en-US"/>
          <w14:ligatures w14:val="standardContextual"/>
        </w:rPr>
        <w:t>2.5.3.</w:t>
      </w:r>
      <w:r w:rsidRPr="006C3740">
        <w:rPr>
          <w:rFonts w:eastAsia="Aptos"/>
          <w:color w:val="A6A6A6"/>
          <w:kern w:val="2"/>
          <w:szCs w:val="24"/>
          <w:lang w:eastAsia="en-US"/>
          <w14:ligatures w14:val="standardContextual"/>
        </w:rPr>
        <w:tab/>
      </w:r>
      <w:r w:rsidRPr="006C3740">
        <w:rPr>
          <w:rFonts w:eastAsia="Aptos"/>
          <w:kern w:val="2"/>
          <w:szCs w:val="24"/>
          <w:lang w:eastAsia="en-US"/>
          <w14:ligatures w14:val="standardContextual"/>
        </w:rPr>
        <w:t>De nærmere oplysninger om kategorien eller kategorierne af personer, for hvilke der er anmodet om adgang til EU-klassificerede oplysninger og følsomme ikkeklassificerede oplysninger, meddeles samtidig med anmodningen.</w:t>
      </w:r>
    </w:p>
    <w:p w14:paraId="7718FCE1" w14:textId="77777777" w:rsidR="006C3740" w:rsidRPr="006C3740" w:rsidRDefault="006C3740" w:rsidP="006C3740">
      <w:pPr>
        <w:widowControl/>
        <w:spacing w:before="120" w:after="120"/>
        <w:ind w:left="1418"/>
        <w:rPr>
          <w:rFonts w:eastAsia="Aptos"/>
          <w:kern w:val="2"/>
          <w:szCs w:val="24"/>
          <w:lang w:eastAsia="en-US"/>
          <w14:ligatures w14:val="standardContextual"/>
        </w:rPr>
      </w:pPr>
      <w:r w:rsidRPr="006C3740">
        <w:rPr>
          <w:rFonts w:eastAsia="Aptos"/>
          <w:kern w:val="2"/>
          <w:szCs w:val="24"/>
          <w:lang w:eastAsia="en-US"/>
          <w14:ligatures w14:val="standardContextual"/>
        </w:rPr>
        <w:t>Forud for adgangen til disse oplysninger orienteres hver enkelt person om fortrolighedsgraden og de deraf følgende sikkerhedsforpligtelser.</w:t>
      </w:r>
    </w:p>
    <w:p w14:paraId="14AA2BBE" w14:textId="77777777" w:rsidR="006C3740" w:rsidRPr="006C3740" w:rsidRDefault="006C3740" w:rsidP="006C3740">
      <w:pPr>
        <w:widowControl/>
        <w:spacing w:before="120" w:after="120"/>
        <w:rPr>
          <w:rFonts w:eastAsia="Aptos"/>
          <w:b/>
          <w:bCs/>
          <w:kern w:val="2"/>
          <w:szCs w:val="24"/>
          <w:lang w:eastAsia="en-US"/>
          <w14:ligatures w14:val="standardContextual"/>
        </w:rPr>
      </w:pPr>
      <w:r w:rsidRPr="006C3740">
        <w:rPr>
          <w:rFonts w:eastAsia="Aptos"/>
          <w:b/>
          <w:kern w:val="2"/>
          <w:szCs w:val="24"/>
          <w:lang w:eastAsia="en-US"/>
          <w14:ligatures w14:val="standardContextual"/>
        </w:rPr>
        <w:t>3. Nærmere regler for adgang til og behandling af EU-klassificerede oplysninger og følsomme ikkeklassificerede</w:t>
      </w:r>
      <w:r w:rsidRPr="006C3740">
        <w:rPr>
          <w:rFonts w:eastAsia="Aptos"/>
          <w:b/>
          <w:i/>
          <w:kern w:val="2"/>
          <w:szCs w:val="24"/>
          <w:lang w:eastAsia="en-US"/>
          <w14:ligatures w14:val="standardContextual"/>
        </w:rPr>
        <w:t xml:space="preserve"> </w:t>
      </w:r>
      <w:r w:rsidRPr="006C3740">
        <w:rPr>
          <w:rFonts w:eastAsia="Aptos"/>
          <w:b/>
          <w:kern w:val="2"/>
          <w:szCs w:val="24"/>
          <w:lang w:eastAsia="en-US"/>
          <w14:ligatures w14:val="standardContextual"/>
        </w:rPr>
        <w:t>oplysninger</w:t>
      </w:r>
    </w:p>
    <w:p w14:paraId="5F5CCFFE"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3.1.</w:t>
      </w:r>
      <w:r w:rsidRPr="006C3740">
        <w:rPr>
          <w:rFonts w:eastAsia="Aptos"/>
          <w:kern w:val="2"/>
          <w:szCs w:val="24"/>
          <w:lang w:eastAsia="en-US"/>
          <w14:ligatures w14:val="standardContextual"/>
        </w:rPr>
        <w:tab/>
        <w:t>EU-klassificerede oplysninger, der meddeles i overensstemmelse med procedurerne i punkt 2.2., 2.3. og i givet fald punkt 2.4., stilles på kommissionsformandens eller et kommissionsmedlems ansvar til rådighed for det parlamentsorgan/den hvervsindehaver, der har indgivet anmodningen, på følgende betingelser:</w:t>
      </w:r>
    </w:p>
    <w:p w14:paraId="06A4376B" w14:textId="77777777" w:rsidR="006C3740" w:rsidRPr="006C3740" w:rsidRDefault="006C3740" w:rsidP="006C3740">
      <w:pPr>
        <w:widowControl/>
        <w:spacing w:before="120" w:after="120"/>
        <w:ind w:left="851"/>
        <w:jc w:val="both"/>
        <w:rPr>
          <w:rFonts w:eastAsia="Aptos"/>
          <w:kern w:val="2"/>
          <w:szCs w:val="24"/>
          <w:lang w:eastAsia="en-US"/>
          <w14:ligatures w14:val="standardContextual"/>
        </w:rPr>
      </w:pPr>
      <w:r w:rsidRPr="006C3740">
        <w:rPr>
          <w:rFonts w:eastAsia="Aptos"/>
          <w:kern w:val="2"/>
          <w:szCs w:val="24"/>
          <w:lang w:eastAsia="en-US"/>
          <w14:ligatures w14:val="standardContextual"/>
        </w:rPr>
        <w:t>Parlamentet og Kommissionen sikrer optegnelsen eller registreringen af EU-klassificerede oplysninger for at sikre deres sporbarhed.</w:t>
      </w:r>
    </w:p>
    <w:p w14:paraId="64EEA5D0" w14:textId="77777777" w:rsidR="006C3740" w:rsidRPr="006C3740" w:rsidRDefault="006C3740" w:rsidP="006C3740">
      <w:pPr>
        <w:widowControl/>
        <w:spacing w:before="120" w:after="120"/>
        <w:ind w:left="851"/>
        <w:jc w:val="both"/>
        <w:rPr>
          <w:rFonts w:eastAsia="Aptos"/>
          <w:kern w:val="2"/>
          <w:szCs w:val="24"/>
          <w:lang w:eastAsia="en-US"/>
          <w14:ligatures w14:val="standardContextual"/>
        </w:rPr>
      </w:pPr>
      <w:r w:rsidRPr="006C3740">
        <w:rPr>
          <w:rFonts w:eastAsia="Aptos"/>
          <w:kern w:val="2"/>
          <w:szCs w:val="24"/>
          <w:lang w:eastAsia="en-US"/>
          <w14:ligatures w14:val="standardContextual"/>
        </w:rPr>
        <w:t>Mere specifikt fremsendes EU-klassificerede oplysninger, der er klassificeret som "CONFIDENTIEL UE/EU CONFIDENTIAL" og "SECRET UE/EU SECRET", fra det kompetente register for EU-klassificerede oplysninger i Kommissionen til Parlamentets register for EU-klassificerede oplysninger, der vil være ansvarligt for at stille dem til rådighed for det parlamentsorgan/den hvervsindehaver, der har indgivet anmodningen.</w:t>
      </w:r>
    </w:p>
    <w:p w14:paraId="325C0144" w14:textId="77777777" w:rsidR="006C3740" w:rsidRPr="006C3740" w:rsidRDefault="006C3740" w:rsidP="006C3740">
      <w:pPr>
        <w:widowControl/>
        <w:spacing w:before="120" w:after="120"/>
        <w:ind w:left="851"/>
        <w:jc w:val="both"/>
        <w:rPr>
          <w:rFonts w:eastAsia="Aptos"/>
          <w:kern w:val="2"/>
          <w:szCs w:val="24"/>
          <w:lang w:eastAsia="en-US"/>
          <w14:ligatures w14:val="standardContextual"/>
        </w:rPr>
      </w:pPr>
      <w:r w:rsidRPr="006C3740">
        <w:rPr>
          <w:rFonts w:eastAsia="Aptos"/>
          <w:kern w:val="2"/>
          <w:szCs w:val="24"/>
          <w:lang w:eastAsia="en-US"/>
          <w14:ligatures w14:val="standardContextual"/>
        </w:rPr>
        <w:t>Fremsendelse af EU-klassificerede oplysninger, der er klassificeret som "TRÈS SECRET UE/EU TOP SECRET", underkastes yderligere regler, der aftales mellem Kommissionen og det parlamentsorgan/den hvervsindehaver, der har indgivet anmodningen, med henblik på at sikre et beskyttelsesniveau svarende til klassifikationsgraden.</w:t>
      </w:r>
    </w:p>
    <w:p w14:paraId="0EA96C57"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3.2.</w:t>
      </w:r>
      <w:r w:rsidRPr="006C3740">
        <w:rPr>
          <w:rFonts w:eastAsia="Aptos"/>
          <w:kern w:val="2"/>
          <w:szCs w:val="24"/>
          <w:lang w:eastAsia="en-US"/>
          <w14:ligatures w14:val="standardContextual"/>
        </w:rPr>
        <w:tab/>
        <w:t>Uden at det berører bestemmelserne i punkt 2.2., 2.3. og 2.4. fastsættes de nærmere regler for adgang til oplysningerne og bevarelse af deres fortrolige karakter efter fælles overenskomst forud for fremsendelsen af oplysningerne. I nævnte overenskomst mellem kommissionsmedlemmet med ansvar for det pågældende politikområde og det parlamentsorgan (repræsenteret ved sin formand)/den hvervsindehaver, der har indgivet anmodningen, skal navnlig indeholde bestemmelser om en af de muligheder , der er anført i punkt 3.2.1. og 3.2.2., med henblik på at sikre et passende fortrolighedsniveau.</w:t>
      </w:r>
    </w:p>
    <w:p w14:paraId="14AE08E5" w14:textId="77777777" w:rsidR="006C3740" w:rsidRPr="006C3740" w:rsidRDefault="006C3740" w:rsidP="006C3740">
      <w:pPr>
        <w:widowControl/>
        <w:spacing w:before="120" w:after="120"/>
        <w:ind w:left="1418" w:hanging="567"/>
        <w:rPr>
          <w:rFonts w:eastAsia="Aptos"/>
          <w:kern w:val="2"/>
          <w:szCs w:val="24"/>
          <w:lang w:eastAsia="en-US"/>
          <w14:ligatures w14:val="standardContextual"/>
        </w:rPr>
      </w:pPr>
      <w:r w:rsidRPr="006C3740">
        <w:rPr>
          <w:rFonts w:eastAsia="Aptos"/>
          <w:kern w:val="2"/>
          <w:szCs w:val="24"/>
          <w:lang w:eastAsia="en-US"/>
          <w14:ligatures w14:val="standardContextual"/>
        </w:rPr>
        <w:t>3.2.1.</w:t>
      </w:r>
      <w:r w:rsidRPr="006C3740">
        <w:rPr>
          <w:rFonts w:eastAsia="Aptos"/>
          <w:kern w:val="2"/>
          <w:szCs w:val="24"/>
          <w:lang w:eastAsia="en-US"/>
          <w14:ligatures w14:val="standardContextual"/>
        </w:rPr>
        <w:tab/>
        <w:t>For så vidt angår de personer, de EU-klassificerede oplysninger må udleveres til, bør en af følgende muligheder vælges:</w:t>
      </w:r>
    </w:p>
    <w:p w14:paraId="7397F103" w14:textId="77777777" w:rsidR="006C3740" w:rsidRPr="006C3740" w:rsidRDefault="006C3740" w:rsidP="006C3740">
      <w:pPr>
        <w:widowControl/>
        <w:spacing w:before="120" w:after="120"/>
        <w:ind w:left="1985" w:hanging="567"/>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oplysninger udelukkende forbeholdt Parlamentets formand, kun i absolutte undtagelsestilfælde</w:t>
      </w:r>
    </w:p>
    <w:p w14:paraId="2705E64B" w14:textId="77777777" w:rsidR="006C3740" w:rsidRPr="006C3740" w:rsidRDefault="006C3740" w:rsidP="006C3740">
      <w:pPr>
        <w:widowControl/>
        <w:spacing w:before="120" w:after="120"/>
        <w:ind w:left="1985" w:hanging="567"/>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Præsidiet og/eller Formandskonferencen</w:t>
      </w:r>
    </w:p>
    <w:p w14:paraId="28609BCC" w14:textId="77777777" w:rsidR="006C3740" w:rsidRPr="006C3740" w:rsidRDefault="006C3740" w:rsidP="006C3740">
      <w:pPr>
        <w:widowControl/>
        <w:spacing w:before="120" w:after="120"/>
        <w:ind w:left="1985" w:hanging="567"/>
        <w:rPr>
          <w:rFonts w:eastAsia="Aptos"/>
          <w:kern w:val="2"/>
          <w:szCs w:val="24"/>
          <w:lang w:eastAsia="en-US"/>
          <w14:ligatures w14:val="standardContextual"/>
        </w:rPr>
      </w:pPr>
      <w:r w:rsidRPr="006C3740">
        <w:rPr>
          <w:rFonts w:eastAsia="Aptos"/>
          <w:kern w:val="2"/>
          <w:szCs w:val="24"/>
          <w:lang w:eastAsia="en-US"/>
          <w14:ligatures w14:val="standardContextual"/>
        </w:rPr>
        <w:lastRenderedPageBreak/>
        <w:t>–</w:t>
      </w:r>
      <w:r w:rsidRPr="006C3740">
        <w:rPr>
          <w:rFonts w:eastAsia="Aptos"/>
          <w:kern w:val="2"/>
          <w:szCs w:val="24"/>
          <w:lang w:eastAsia="en-US"/>
          <w14:ligatures w14:val="standardContextual"/>
        </w:rPr>
        <w:tab/>
        <w:t>formanden og ordføreren for det relevante parlamentsudvalg</w:t>
      </w:r>
    </w:p>
    <w:p w14:paraId="1D459EB4" w14:textId="77777777" w:rsidR="006C3740" w:rsidRPr="006C3740" w:rsidRDefault="006C3740" w:rsidP="006C3740">
      <w:pPr>
        <w:widowControl/>
        <w:spacing w:before="120" w:after="120"/>
        <w:ind w:left="1985" w:hanging="567"/>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alle medlemmer (faste og stedfortrædende) af det relevante parlamentsudvalg</w:t>
      </w:r>
    </w:p>
    <w:p w14:paraId="12E61EB5" w14:textId="77777777" w:rsidR="006C3740" w:rsidRPr="006C3740" w:rsidRDefault="006C3740" w:rsidP="006C3740">
      <w:pPr>
        <w:widowControl/>
        <w:spacing w:before="120" w:after="120"/>
        <w:ind w:left="1985" w:hanging="567"/>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alle medlemmer af Europa-Parlamentet.</w:t>
      </w:r>
    </w:p>
    <w:p w14:paraId="2134CBE4" w14:textId="77777777" w:rsidR="006C3740" w:rsidRPr="006C3740" w:rsidRDefault="006C3740" w:rsidP="006C3740">
      <w:pPr>
        <w:widowControl/>
        <w:spacing w:before="60" w:after="60" w:line="280" w:lineRule="exact"/>
        <w:ind w:left="1418"/>
        <w:jc w:val="both"/>
        <w:rPr>
          <w:rFonts w:eastAsia="Aptos"/>
          <w:kern w:val="2"/>
          <w:szCs w:val="24"/>
          <w:lang w:eastAsia="en-US"/>
          <w14:ligatures w14:val="standardContextual"/>
        </w:rPr>
      </w:pPr>
      <w:r w:rsidRPr="006C3740">
        <w:rPr>
          <w:rFonts w:eastAsia="Aptos"/>
          <w:kern w:val="2"/>
          <w:szCs w:val="24"/>
          <w:lang w:eastAsia="en-US"/>
          <w14:ligatures w14:val="standardContextual"/>
        </w:rPr>
        <w:t>Oplysninger, der er klassificeret som "CONFIDENTIEL UE/EU CONFIDENTIAL" eller derover, må ikke offentliggøres eller videregives til nogen anden modtager uden Kommissionens samtykke.</w:t>
      </w:r>
    </w:p>
    <w:p w14:paraId="017E9DE8" w14:textId="77777777" w:rsidR="006C3740" w:rsidRPr="006C3740" w:rsidRDefault="006C3740" w:rsidP="006C3740">
      <w:pPr>
        <w:widowControl/>
        <w:spacing w:before="60" w:after="60" w:line="280" w:lineRule="exact"/>
        <w:ind w:left="1418"/>
        <w:jc w:val="both"/>
        <w:rPr>
          <w:rFonts w:eastAsia="Aptos"/>
          <w:kern w:val="2"/>
          <w:szCs w:val="24"/>
          <w:lang w:eastAsia="en-US"/>
          <w14:ligatures w14:val="standardContextual"/>
        </w:rPr>
      </w:pPr>
      <w:bookmarkStart w:id="9" w:name="_Hlk215159561"/>
      <w:r w:rsidRPr="006C3740">
        <w:rPr>
          <w:rFonts w:eastAsia="Aptos"/>
          <w:kern w:val="2"/>
          <w:szCs w:val="24"/>
          <w:lang w:eastAsia="en-US"/>
          <w14:ligatures w14:val="standardContextual"/>
        </w:rPr>
        <w:t xml:space="preserve">Oplysninger, der er klassificeret som "RESTREINT UE/EU RESTRICTED", må ikke offentliggøres uden Kommissionens samtykke. </w:t>
      </w:r>
    </w:p>
    <w:p w14:paraId="717C89F8" w14:textId="77777777" w:rsidR="006C3740" w:rsidRPr="006C3740" w:rsidRDefault="006C3740" w:rsidP="006C3740">
      <w:pPr>
        <w:widowControl/>
        <w:spacing w:before="60" w:after="60" w:line="280" w:lineRule="exact"/>
        <w:ind w:left="1418"/>
        <w:jc w:val="both"/>
        <w:rPr>
          <w:rFonts w:eastAsia="Aptos"/>
          <w:kern w:val="2"/>
          <w:szCs w:val="24"/>
          <w:lang w:eastAsia="en-US"/>
          <w14:ligatures w14:val="standardContextual"/>
        </w:rPr>
      </w:pPr>
      <w:bookmarkStart w:id="10" w:name="_Hlk215159588"/>
      <w:bookmarkEnd w:id="9"/>
      <w:r w:rsidRPr="006C3740">
        <w:rPr>
          <w:rFonts w:eastAsia="Aptos"/>
          <w:kern w:val="2"/>
          <w:szCs w:val="24"/>
          <w:lang w:eastAsia="en-US"/>
          <w14:ligatures w14:val="standardContextual"/>
        </w:rPr>
        <w:t>Uden at det berører punkt 2.1, sidste punktum, kan oplysninger, der er klassificeret som "RESTREINT UE/EU RESTRICTED", fremsendes inden for Parlamentet</w:t>
      </w:r>
      <w:bookmarkEnd w:id="10"/>
      <w:r w:rsidRPr="006C3740">
        <w:rPr>
          <w:rFonts w:eastAsia="Aptos"/>
          <w:kern w:val="2"/>
          <w:szCs w:val="24"/>
          <w:lang w:eastAsia="en-US"/>
          <w14:ligatures w14:val="standardContextual"/>
        </w:rPr>
        <w:t xml:space="preserve"> til medlemmer, tjenestemænd, midlertidigt ansatte og kontraktansatte, der arbejder i Parlamentets Generalsekretariatet eller i en politisk gruppe i Parlamentet, og udstationerede nationale eksperter, der er blevet behørigt orienteret, og for hvem indsigt er tjenstlig nødvendig.</w:t>
      </w:r>
    </w:p>
    <w:p w14:paraId="51C5F43E" w14:textId="77777777" w:rsidR="006C3740" w:rsidRPr="006C3740" w:rsidRDefault="006C3740" w:rsidP="006C3740">
      <w:pPr>
        <w:widowControl/>
        <w:spacing w:before="120" w:after="120"/>
        <w:ind w:left="1418"/>
        <w:jc w:val="both"/>
        <w:rPr>
          <w:rFonts w:eastAsia="Aptos"/>
          <w:kern w:val="2"/>
          <w:szCs w:val="24"/>
          <w:lang w:eastAsia="en-US"/>
          <w14:ligatures w14:val="standardContextual"/>
        </w:rPr>
      </w:pPr>
      <w:r w:rsidRPr="006C3740">
        <w:rPr>
          <w:rFonts w:eastAsia="Aptos"/>
          <w:kern w:val="2"/>
          <w:szCs w:val="24"/>
          <w:lang w:eastAsia="en-US"/>
          <w14:ligatures w14:val="standardContextual"/>
        </w:rPr>
        <w:t>Parlamentet underretter Kommissionen om, hvilke kategorier af personer der har fået adgang til oplysninger, der er klassificeret som "RESTREINT UE/EU RESTRICTED". Parlamentet fører et register over de personer, der har fået adgang til EU-klassificerede oplysninger.</w:t>
      </w:r>
    </w:p>
    <w:p w14:paraId="3237CB5C" w14:textId="77777777" w:rsidR="006C3740" w:rsidRPr="006C3740" w:rsidRDefault="006C3740" w:rsidP="006C3740">
      <w:pPr>
        <w:widowControl/>
        <w:spacing w:before="120" w:after="120"/>
        <w:ind w:left="1418" w:hanging="567"/>
        <w:rPr>
          <w:rFonts w:eastAsia="Aptos"/>
          <w:kern w:val="2"/>
          <w:szCs w:val="24"/>
          <w:lang w:eastAsia="en-US"/>
          <w14:ligatures w14:val="standardContextual"/>
        </w:rPr>
      </w:pPr>
      <w:r w:rsidRPr="006C3740">
        <w:rPr>
          <w:rFonts w:eastAsia="Aptos"/>
          <w:kern w:val="2"/>
          <w:szCs w:val="24"/>
          <w:lang w:eastAsia="en-US"/>
          <w14:ligatures w14:val="standardContextual"/>
        </w:rPr>
        <w:t>3.2.2.</w:t>
      </w:r>
      <w:r w:rsidRPr="006C3740">
        <w:rPr>
          <w:rFonts w:eastAsia="Aptos"/>
          <w:kern w:val="2"/>
          <w:szCs w:val="24"/>
          <w:lang w:eastAsia="en-US"/>
          <w14:ligatures w14:val="standardContextual"/>
        </w:rPr>
        <w:tab/>
        <w:t>For så vidt angår ordningerne for behandling af EU-klassificerede oplysninger bør der være følgende muligheder:</w:t>
      </w:r>
    </w:p>
    <w:p w14:paraId="21816449" w14:textId="77777777" w:rsidR="006C3740" w:rsidRPr="006C3740" w:rsidRDefault="006C3740" w:rsidP="006C3740">
      <w:pPr>
        <w:widowControl/>
        <w:spacing w:before="120" w:after="120"/>
        <w:ind w:left="1985" w:hanging="567"/>
        <w:rPr>
          <w:rFonts w:eastAsia="Aptos"/>
          <w:kern w:val="2"/>
          <w:szCs w:val="24"/>
          <w:lang w:eastAsia="en-US"/>
          <w14:ligatures w14:val="standardContextual"/>
        </w:rPr>
      </w:pPr>
      <w:r w:rsidRPr="006C3740">
        <w:rPr>
          <w:rFonts w:eastAsia="Aptos"/>
          <w:kern w:val="2"/>
          <w:szCs w:val="24"/>
          <w:lang w:eastAsia="en-US"/>
          <w14:ligatures w14:val="standardContextual"/>
        </w:rPr>
        <w:t>a)</w:t>
      </w:r>
      <w:r w:rsidRPr="006C3740">
        <w:rPr>
          <w:rFonts w:eastAsia="Aptos"/>
          <w:kern w:val="2"/>
          <w:szCs w:val="24"/>
          <w:lang w:eastAsia="en-US"/>
          <w14:ligatures w14:val="standardContextual"/>
        </w:rPr>
        <w:tab/>
        <w:t>gennemsyn af oplysninger i et sikret område, hvis oplysningerne er klassificeret som "CONFIDENTIEL UE/EU CONFIDENTIAL" og derover</w:t>
      </w:r>
    </w:p>
    <w:p w14:paraId="7BF11284" w14:textId="77777777" w:rsidR="006C3740" w:rsidRPr="006C3740" w:rsidRDefault="006C3740" w:rsidP="006C3740">
      <w:pPr>
        <w:widowControl/>
        <w:spacing w:before="120" w:after="120"/>
        <w:ind w:left="1985" w:hanging="567"/>
        <w:jc w:val="both"/>
        <w:rPr>
          <w:rFonts w:eastAsia="Aptos"/>
          <w:kern w:val="2"/>
          <w:szCs w:val="24"/>
          <w:lang w:eastAsia="en-US"/>
          <w14:ligatures w14:val="standardContextual"/>
        </w:rPr>
      </w:pPr>
      <w:r w:rsidRPr="006C3740">
        <w:rPr>
          <w:rFonts w:eastAsia="Aptos"/>
          <w:kern w:val="2"/>
          <w:szCs w:val="24"/>
          <w:lang w:eastAsia="en-US"/>
          <w14:ligatures w14:val="standardContextual"/>
        </w:rPr>
        <w:t>b)</w:t>
      </w:r>
      <w:r w:rsidRPr="006C3740">
        <w:rPr>
          <w:rFonts w:eastAsia="Aptos"/>
          <w:kern w:val="2"/>
          <w:szCs w:val="24"/>
          <w:lang w:eastAsia="en-US"/>
          <w14:ligatures w14:val="standardContextual"/>
        </w:rPr>
        <w:tab/>
        <w:t>afholdelse af et møde for lukkede døre, kun med deltagelse af Præsidiets og Formandskonferencens medlemmer eller af faste og stedfortrædende medlemmer af det kompetente parlamentsudvalg samt af tjenestemænd, midlertidigt ansatte og kontraktansatte, der arbejder i Parlamentets Generalsekretariatet eller i en politisk gruppe i Parlamentet, og udstationerede nationale eksperter, som formanden på forhånd har udpeget som personer, for hvem indsigt er tjenstlig nødvendig, og hvis tilstedeværelse er strengt nødvendig, forudsat at de er blevet indrømmet den krævede sikkerhedsgodkendelse, under hensyntagen til følgende betingelser:</w:t>
      </w:r>
    </w:p>
    <w:p w14:paraId="6A605586" w14:textId="77777777" w:rsidR="006C3740" w:rsidRPr="006C3740" w:rsidRDefault="006C3740" w:rsidP="006C3740">
      <w:pPr>
        <w:widowControl/>
        <w:spacing w:before="120" w:after="120"/>
        <w:ind w:left="2552" w:hanging="567"/>
        <w:jc w:val="both"/>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Alle dokumenter skal være nummererede, omdeles ved mødets begyndelse og indsamles igen ved dets afslutning. Der må ikke tages noter eller fotokopier af disse dokumenter.</w:t>
      </w:r>
    </w:p>
    <w:p w14:paraId="0CBDF463" w14:textId="77777777" w:rsidR="006C3740" w:rsidRPr="006C3740" w:rsidRDefault="006C3740" w:rsidP="006C3740">
      <w:pPr>
        <w:widowControl/>
        <w:spacing w:before="120" w:after="120"/>
        <w:ind w:left="2552" w:hanging="567"/>
        <w:jc w:val="both"/>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Protokollen fra mødet må ikke omtale drøftelsen af det punkt, som er behandlet fortroligt.</w:t>
      </w:r>
    </w:p>
    <w:p w14:paraId="6E55335B" w14:textId="77777777" w:rsidR="006C3740" w:rsidRPr="006C3740" w:rsidRDefault="006C3740" w:rsidP="006C3740">
      <w:pPr>
        <w:widowControl/>
        <w:spacing w:before="120" w:after="120"/>
        <w:ind w:left="1418"/>
        <w:jc w:val="both"/>
        <w:rPr>
          <w:rFonts w:eastAsia="Aptos"/>
          <w:kern w:val="2"/>
          <w:szCs w:val="24"/>
          <w:lang w:eastAsia="en-US"/>
          <w14:ligatures w14:val="standardContextual"/>
        </w:rPr>
      </w:pPr>
      <w:r w:rsidRPr="006C3740">
        <w:rPr>
          <w:rFonts w:eastAsia="Aptos"/>
          <w:kern w:val="2"/>
          <w:szCs w:val="24"/>
          <w:lang w:eastAsia="en-US"/>
          <w14:ligatures w14:val="standardContextual"/>
        </w:rPr>
        <w:t>Inden udleveringen kan alle personoplysninger fjernes fra dokumenterne.</w:t>
      </w:r>
    </w:p>
    <w:p w14:paraId="55A02F81" w14:textId="77777777" w:rsidR="006C3740" w:rsidRPr="006C3740" w:rsidRDefault="006C3740" w:rsidP="006C3740">
      <w:pPr>
        <w:widowControl/>
        <w:spacing w:before="120" w:after="120"/>
        <w:ind w:left="1418"/>
        <w:jc w:val="both"/>
        <w:rPr>
          <w:rFonts w:eastAsia="Aptos"/>
          <w:kern w:val="2"/>
          <w:szCs w:val="24"/>
          <w:lang w:eastAsia="en-US"/>
          <w14:ligatures w14:val="standardContextual"/>
        </w:rPr>
      </w:pPr>
      <w:r w:rsidRPr="006C3740">
        <w:rPr>
          <w:rFonts w:eastAsia="Aptos"/>
          <w:kern w:val="2"/>
          <w:szCs w:val="24"/>
          <w:lang w:eastAsia="en-US"/>
          <w14:ligatures w14:val="standardContextual"/>
        </w:rPr>
        <w:t>EU-klassificerede oplysninger og følsomme ikkeklassificerede oplysninger, som afgives mundtligt til modtagere i Parlamentet, skal være omfattet af det samme beskyttelsesniveau, som hvis de blev afgivet skriftligt. Dette kan omfatte en erklæring på tro og love fra modtagerne af oplysningerne om, at de ikke vil videregive oplysningernes indhold til tredjemand.</w:t>
      </w:r>
    </w:p>
    <w:p w14:paraId="7D4B5508" w14:textId="77777777" w:rsidR="006C3740" w:rsidRPr="006C3740" w:rsidRDefault="006C3740" w:rsidP="006C3740">
      <w:pPr>
        <w:widowControl/>
        <w:spacing w:before="120" w:after="120"/>
        <w:ind w:left="1418" w:hanging="567"/>
        <w:rPr>
          <w:rFonts w:eastAsia="Aptos"/>
          <w:kern w:val="2"/>
          <w:szCs w:val="24"/>
          <w:lang w:eastAsia="en-US"/>
          <w14:ligatures w14:val="standardContextual"/>
        </w:rPr>
      </w:pPr>
      <w:r w:rsidRPr="006C3740">
        <w:rPr>
          <w:rFonts w:eastAsia="Aptos"/>
          <w:kern w:val="2"/>
          <w:szCs w:val="24"/>
          <w:lang w:eastAsia="en-US"/>
          <w14:ligatures w14:val="standardContextual"/>
        </w:rPr>
        <w:lastRenderedPageBreak/>
        <w:t>3.2.3.</w:t>
      </w:r>
      <w:r w:rsidRPr="006C3740">
        <w:rPr>
          <w:rFonts w:eastAsia="Aptos"/>
          <w:kern w:val="2"/>
          <w:szCs w:val="24"/>
          <w:lang w:eastAsia="en-US"/>
          <w14:ligatures w14:val="standardContextual"/>
        </w:rPr>
        <w:tab/>
        <w:t>Når skriftlige oplysninger skal gennemses i et sikret område, sikrer Parlamentet, at følgende forefindes:</w:t>
      </w:r>
    </w:p>
    <w:p w14:paraId="4E0A06B2" w14:textId="77777777" w:rsidR="006C3740" w:rsidRPr="006C3740" w:rsidRDefault="006C3740" w:rsidP="006C3740">
      <w:pPr>
        <w:widowControl/>
        <w:spacing w:before="120" w:after="120"/>
        <w:ind w:left="1985" w:hanging="567"/>
        <w:jc w:val="both"/>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et sikkert system for lagring af EU-klassificerede oplysninger og følsomme ikkeklassificerede oplysninger</w:t>
      </w:r>
    </w:p>
    <w:p w14:paraId="71AFBEFE" w14:textId="77777777" w:rsidR="006C3740" w:rsidRPr="006C3740" w:rsidRDefault="006C3740" w:rsidP="006C3740">
      <w:pPr>
        <w:widowControl/>
        <w:spacing w:before="120" w:after="120"/>
        <w:ind w:left="1985" w:hanging="567"/>
        <w:jc w:val="both"/>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et sikret område uden fotokopimaskiner, telefoner, fax, scanner eller anden teknik til reproduktion eller videresendelse af dokumenter m.m.</w:t>
      </w:r>
    </w:p>
    <w:p w14:paraId="7E3EF86D" w14:textId="77777777" w:rsidR="006C3740" w:rsidRPr="006C3740" w:rsidRDefault="006C3740" w:rsidP="006C3740">
      <w:pPr>
        <w:widowControl/>
        <w:spacing w:before="120" w:after="120"/>
        <w:ind w:left="1985" w:hanging="567"/>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sikkerhedsregler for adgang til et sikret område, herunder undertegnelseskrav i et adgangsregister og en erklæring om, at de gennemsete EU-klassificerede oplysninger ikke vil blive videregivet.</w:t>
      </w:r>
    </w:p>
    <w:p w14:paraId="50CD6C00" w14:textId="77777777" w:rsidR="006C3740" w:rsidRPr="006C3740" w:rsidRDefault="006C3740" w:rsidP="006C3740">
      <w:pPr>
        <w:widowControl/>
        <w:spacing w:before="120" w:after="120"/>
        <w:ind w:left="1418" w:hanging="567"/>
        <w:rPr>
          <w:rFonts w:eastAsia="Aptos"/>
          <w:kern w:val="2"/>
          <w:szCs w:val="24"/>
          <w:lang w:eastAsia="en-US"/>
          <w14:ligatures w14:val="standardContextual"/>
        </w:rPr>
      </w:pPr>
      <w:r w:rsidRPr="006C3740">
        <w:rPr>
          <w:rFonts w:eastAsia="Aptos"/>
          <w:kern w:val="2"/>
          <w:szCs w:val="24"/>
          <w:lang w:eastAsia="en-US"/>
          <w14:ligatures w14:val="standardContextual"/>
        </w:rPr>
        <w:t>3.2.4.</w:t>
      </w:r>
      <w:r w:rsidRPr="006C3740">
        <w:rPr>
          <w:rFonts w:eastAsia="Aptos"/>
          <w:kern w:val="2"/>
          <w:szCs w:val="24"/>
          <w:lang w:eastAsia="en-US"/>
          <w14:ligatures w14:val="standardContextual"/>
        </w:rPr>
        <w:tab/>
        <w:t>Ovenstående forhindrer ikke, at institutionerne kan aftale andre tilsvarende ordninger.</w:t>
      </w:r>
    </w:p>
    <w:p w14:paraId="73B52652" w14:textId="77777777" w:rsidR="006C3740" w:rsidRPr="006C3740" w:rsidRDefault="006C3740" w:rsidP="006C3740">
      <w:pPr>
        <w:widowControl/>
        <w:tabs>
          <w:tab w:val="left" w:pos="510"/>
        </w:tabs>
        <w:spacing w:before="60" w:after="60" w:line="280" w:lineRule="exact"/>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3.3.</w:t>
      </w:r>
      <w:r w:rsidRPr="006C3740">
        <w:rPr>
          <w:rFonts w:eastAsia="Aptos"/>
          <w:kern w:val="2"/>
          <w:szCs w:val="24"/>
          <w:lang w:eastAsia="en-US"/>
          <w14:ligatures w14:val="standardContextual"/>
        </w:rPr>
        <w:tab/>
      </w:r>
      <w:r w:rsidRPr="006C3740">
        <w:rPr>
          <w:rFonts w:eastAsia="Aptos"/>
          <w:kern w:val="2"/>
          <w:szCs w:val="24"/>
          <w:lang w:eastAsia="en-US"/>
          <w14:ligatures w14:val="standardContextual"/>
        </w:rPr>
        <w:tab/>
        <w:t xml:space="preserve">Følsomme ikkeklassificerede oplysninger, der fremsendes i overensstemmelse med procedurerne i punkt 2.2. og 2.3., stilles i tilfælde af oplysninger, der gives på Kommissionens initiativ, til rådighed for det parlamentsorgan/den hvervsindehaver, der er kompetent i henhold til </w:t>
      </w:r>
      <w:bookmarkStart w:id="11" w:name="_Hlk219654889"/>
      <w:r w:rsidRPr="006C3740">
        <w:rPr>
          <w:rFonts w:eastAsia="Aptos"/>
          <w:kern w:val="2"/>
          <w:szCs w:val="24"/>
          <w:lang w:eastAsia="en-US"/>
          <w14:ligatures w14:val="standardContextual"/>
        </w:rPr>
        <w:t>Parlamentets forretningsorden</w:t>
      </w:r>
      <w:bookmarkEnd w:id="11"/>
      <w:r w:rsidRPr="006C3740">
        <w:rPr>
          <w:rFonts w:eastAsia="Aptos"/>
          <w:kern w:val="2"/>
          <w:szCs w:val="24"/>
          <w:lang w:eastAsia="en-US"/>
          <w14:ligatures w14:val="standardContextual"/>
        </w:rPr>
        <w:t>, og, i tilfælde af en anmodning, for det parlamentsorgan/den hvervsindehaver, der har indgivet den. Oplysningerne fremsendes på krypteret vis ved hjælp af en krypteringsarkitektur og -nøgle under Parlamentets kontrol på need-to-know-basis og i overensstemmelse med de relevante behandlingsinstrukser.</w:t>
      </w:r>
    </w:p>
    <w:p w14:paraId="078C0E54" w14:textId="77777777" w:rsidR="006C3740" w:rsidRPr="006C3740" w:rsidRDefault="006C3740" w:rsidP="006C3740">
      <w:pPr>
        <w:widowControl/>
        <w:tabs>
          <w:tab w:val="left" w:pos="510"/>
        </w:tabs>
        <w:spacing w:before="60" w:after="60" w:line="280" w:lineRule="exact"/>
        <w:ind w:left="851"/>
        <w:jc w:val="both"/>
        <w:rPr>
          <w:rFonts w:eastAsia="Aptos"/>
          <w:kern w:val="2"/>
          <w:szCs w:val="24"/>
          <w:lang w:eastAsia="en-US"/>
          <w14:ligatures w14:val="standardContextual"/>
        </w:rPr>
      </w:pPr>
      <w:r w:rsidRPr="006C3740">
        <w:rPr>
          <w:rFonts w:eastAsia="Aptos"/>
          <w:kern w:val="2"/>
          <w:szCs w:val="24"/>
          <w:lang w:eastAsia="en-US"/>
          <w14:ligatures w14:val="standardContextual"/>
        </w:rPr>
        <w:t xml:space="preserve">Følsomme ikkeklassificerede oplysninger må ikke offentliggøres uden Kommissionens samtykke. Uden at det berører punkt 2.1., sidste punktum, kan følsomme ikkeklassificerede oplysninger fremsendes inden for Parlamentet til medlemmer, tjenestemænd, midlertidigt ansatte og kontraktansatte, der arbejder i Generalsekretariatet eller i en politisk gruppe i Parlamentet, og udstationerede nationale eksperter, der er blevet behørigt orienteret, og for hvem indsigt er tjenstlig nødvendig. </w:t>
      </w:r>
    </w:p>
    <w:p w14:paraId="230E6DC8" w14:textId="77777777" w:rsidR="006C3740" w:rsidRPr="006C3740" w:rsidRDefault="006C3740" w:rsidP="006C3740">
      <w:pPr>
        <w:widowControl/>
        <w:spacing w:before="120" w:after="120"/>
        <w:ind w:left="851"/>
        <w:jc w:val="both"/>
        <w:rPr>
          <w:rFonts w:eastAsia="Aptos"/>
          <w:kern w:val="2"/>
          <w:szCs w:val="24"/>
          <w:lang w:eastAsia="en-US"/>
          <w14:ligatures w14:val="standardContextual"/>
        </w:rPr>
      </w:pPr>
      <w:r w:rsidRPr="006C3740">
        <w:rPr>
          <w:rFonts w:eastAsia="Aptos"/>
          <w:kern w:val="2"/>
          <w:szCs w:val="24"/>
          <w:lang w:eastAsia="en-US"/>
          <w14:ligatures w14:val="standardContextual"/>
        </w:rPr>
        <w:t>Parlamentet underretter Kommissionen om, hvilke kategorier af personer der har fået adgang til sådanne oplysninger. Parlamentet fører et register over de personer, der har fået adgang til følsomme ikkeklassificerede oplysninger.</w:t>
      </w:r>
    </w:p>
    <w:p w14:paraId="7B964D25" w14:textId="77777777" w:rsidR="006C3740" w:rsidRPr="006C3740" w:rsidRDefault="006C3740" w:rsidP="006C3740">
      <w:pPr>
        <w:widowControl/>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3.4.</w:t>
      </w:r>
      <w:r w:rsidRPr="006C3740">
        <w:rPr>
          <w:rFonts w:eastAsia="Aptos"/>
          <w:kern w:val="2"/>
          <w:szCs w:val="24"/>
          <w:lang w:eastAsia="en-US"/>
          <w14:ligatures w14:val="standardContextual"/>
        </w:rPr>
        <w:tab/>
        <w:t xml:space="preserve">I tilfælde af et dokumenteret eller formodet tab eller kompromittering af EU-klassificerede oplysninger og følsomme ikkeklassificerede oplysninger, der er leveret af Kommissionen, underretter Europa-Parlamentets sikkerhedsmyndighed omgående Kommissionens sikkerhedsmyndighed. Europa-Parlamentets sikkerhedsmyndighed indleder en undersøgelse og underretter Kommissionens sikkerhedsmyndighed om resultaterne heraf og om de foranstaltninger, der er truffet for at forhindre en gentagelse.  </w:t>
      </w:r>
    </w:p>
    <w:p w14:paraId="501A8D2F" w14:textId="77777777" w:rsidR="006C3740" w:rsidRPr="006C3740" w:rsidRDefault="006C3740" w:rsidP="006C3740">
      <w:pPr>
        <w:widowControl/>
        <w:spacing w:before="120" w:after="120"/>
        <w:ind w:left="851"/>
        <w:jc w:val="both"/>
        <w:rPr>
          <w:rFonts w:eastAsia="Aptos"/>
          <w:kern w:val="2"/>
          <w:szCs w:val="24"/>
          <w:lang w:eastAsia="en-US"/>
          <w14:ligatures w14:val="standardContextual"/>
        </w:rPr>
      </w:pPr>
      <w:r w:rsidRPr="006C3740">
        <w:rPr>
          <w:rFonts w:eastAsia="Aptos"/>
          <w:kern w:val="2"/>
          <w:szCs w:val="24"/>
          <w:lang w:eastAsia="en-US"/>
          <w14:ligatures w14:val="standardContextual"/>
        </w:rPr>
        <w:t>Overholdes dette bilag eller Parlamentets interne sikkerhedsregler ikke, finder bestemmelserne om sanktioner for medlemmer i Parlamentets forretningsorden og, for Parlamentets tjenestemænds og øvrige ansatte, de relevante bestemmelser i artikel 86 i tjenestemandsvedtægten eller artikel 49 i ansættelsesvilkårene for øvrige ansatte i Den Europæiske Union</w:t>
      </w:r>
      <w:r w:rsidRPr="006C3740">
        <w:rPr>
          <w:rFonts w:eastAsia="Aptos"/>
          <w:kern w:val="2"/>
          <w:szCs w:val="24"/>
          <w:vertAlign w:val="superscript"/>
          <w:lang w:eastAsia="en-US"/>
          <w14:ligatures w14:val="standardContextual"/>
        </w:rPr>
        <w:footnoteReference w:id="10"/>
      </w:r>
      <w:r w:rsidRPr="006C3740">
        <w:rPr>
          <w:rFonts w:eastAsia="Aptos"/>
          <w:kern w:val="2"/>
          <w:szCs w:val="24"/>
          <w:lang w:eastAsia="en-US"/>
          <w14:ligatures w14:val="standardContextual"/>
        </w:rPr>
        <w:t xml:space="preserve"> samt alle andre relevante regler anvendelse.</w:t>
      </w:r>
    </w:p>
    <w:p w14:paraId="25A730F2" w14:textId="77777777" w:rsidR="006C3740" w:rsidRPr="006C3740" w:rsidRDefault="006C3740" w:rsidP="006C3740">
      <w:pPr>
        <w:widowControl/>
        <w:spacing w:before="120" w:after="120"/>
        <w:ind w:left="851" w:hanging="851"/>
        <w:rPr>
          <w:rFonts w:eastAsia="Aptos"/>
          <w:b/>
          <w:kern w:val="2"/>
          <w:szCs w:val="24"/>
          <w:lang w:eastAsia="en-US"/>
          <w14:ligatures w14:val="standardContextual"/>
        </w:rPr>
      </w:pPr>
      <w:r w:rsidRPr="006C3740">
        <w:rPr>
          <w:rFonts w:eastAsia="Aptos"/>
          <w:b/>
          <w:kern w:val="2"/>
          <w:szCs w:val="24"/>
          <w:lang w:eastAsia="en-US"/>
          <w14:ligatures w14:val="standardContextual"/>
        </w:rPr>
        <w:lastRenderedPageBreak/>
        <w:t>4. Afsluttende bestemmelser</w:t>
      </w:r>
    </w:p>
    <w:p w14:paraId="1A0D8AD5"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4.1.</w:t>
      </w:r>
      <w:r w:rsidRPr="006C3740">
        <w:rPr>
          <w:rFonts w:eastAsia="Aptos"/>
          <w:kern w:val="2"/>
          <w:szCs w:val="24"/>
          <w:lang w:eastAsia="en-US"/>
          <w14:ligatures w14:val="standardContextual"/>
        </w:rPr>
        <w:tab/>
        <w:t>Kommissionen og Parlamentet træffer de nødvendige foranstaltninger til gennemførelse af bestemmelserne i dette bilag.</w:t>
      </w:r>
    </w:p>
    <w:p w14:paraId="1493DBD5" w14:textId="77777777" w:rsidR="006C3740" w:rsidRPr="006C3740" w:rsidRDefault="006C3740" w:rsidP="006C3740">
      <w:pPr>
        <w:widowControl/>
        <w:spacing w:before="120" w:after="120"/>
        <w:ind w:left="851"/>
        <w:jc w:val="both"/>
        <w:rPr>
          <w:rFonts w:eastAsia="Aptos"/>
          <w:b/>
          <w:i/>
          <w:kern w:val="2"/>
          <w:szCs w:val="24"/>
          <w:lang w:eastAsia="en-US"/>
          <w14:ligatures w14:val="standardContextual"/>
        </w:rPr>
      </w:pPr>
      <w:r w:rsidRPr="006C3740">
        <w:rPr>
          <w:rFonts w:eastAsia="Aptos"/>
          <w:kern w:val="2"/>
          <w:szCs w:val="24"/>
          <w:lang w:eastAsia="en-US"/>
          <w14:ligatures w14:val="standardContextual"/>
        </w:rPr>
        <w:t>Kommissionens og Parlamentets kompetente tjenestegrene samarbejder med henblik herpå tæt om gennemførelsen af dette bilag. Dette omfatter gensidig kontrol af EU-klassificerede oplysninger og følsomme ikkeklassificerede oplysningers sporbarhed og regelmæssig fælles kontrol af de af de to institutioners anvendte sikkerhedsordninger og -standarder</w:t>
      </w:r>
      <w:r w:rsidRPr="006C3740">
        <w:rPr>
          <w:rFonts w:eastAsia="Aptos"/>
          <w:b/>
          <w:i/>
          <w:kern w:val="2"/>
          <w:szCs w:val="24"/>
          <w:lang w:eastAsia="en-US"/>
          <w14:ligatures w14:val="standardContextual"/>
        </w:rPr>
        <w:t>.</w:t>
      </w:r>
    </w:p>
    <w:p w14:paraId="076534AD"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4.2.</w:t>
      </w:r>
      <w:r w:rsidRPr="006C3740">
        <w:rPr>
          <w:rFonts w:eastAsia="Aptos"/>
          <w:kern w:val="2"/>
          <w:szCs w:val="24"/>
          <w:lang w:eastAsia="en-US"/>
          <w14:ligatures w14:val="standardContextual"/>
        </w:rPr>
        <w:tab/>
        <w:t>Parlamentet og Kommissionen vil gennemgå dette bilag og om fornødent tilpasse det i overensstemmelse med rammeaftalens punkt 70, for at tage højde for nye udviklinger i form af:</w:t>
      </w:r>
    </w:p>
    <w:p w14:paraId="50A29076" w14:textId="77777777" w:rsidR="006C3740" w:rsidRPr="006C3740" w:rsidRDefault="006C3740" w:rsidP="006C3740">
      <w:pPr>
        <w:widowControl/>
        <w:spacing w:before="120" w:after="120"/>
        <w:ind w:left="851"/>
        <w:rPr>
          <w:rFonts w:eastAsia="Apto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fremtidige sikkerhedsregler, der berører Parlamentet og Kommissionen</w:t>
      </w:r>
    </w:p>
    <w:p w14:paraId="078CE0E1" w14:textId="77777777" w:rsidR="006C3740" w:rsidRPr="006C3740" w:rsidRDefault="006C3740" w:rsidP="006C3740">
      <w:pPr>
        <w:widowControl/>
        <w:spacing w:before="120" w:after="120"/>
        <w:ind w:left="1418" w:hanging="567"/>
        <w:rPr>
          <w:rFonts w:eastAsia="Aptos"/>
          <w:b/>
          <w:bCs/>
          <w:kern w:val="2"/>
          <w:szCs w:val="24"/>
          <w:lang w:eastAsia="en-US"/>
          <w14:ligatures w14:val="standardContextual"/>
        </w:rPr>
      </w:pPr>
      <w:r w:rsidRPr="006C3740">
        <w:rPr>
          <w:rFonts w:eastAsia="Aptos"/>
          <w:kern w:val="2"/>
          <w:szCs w:val="24"/>
          <w:lang w:eastAsia="en-US"/>
          <w14:ligatures w14:val="standardContextual"/>
        </w:rPr>
        <w:t>–</w:t>
      </w:r>
      <w:r w:rsidRPr="006C3740">
        <w:rPr>
          <w:rFonts w:eastAsia="Aptos"/>
          <w:kern w:val="2"/>
          <w:szCs w:val="24"/>
          <w:lang w:eastAsia="en-US"/>
          <w14:ligatures w14:val="standardContextual"/>
        </w:rPr>
        <w:tab/>
        <w:t>andre aftaler eller retsakter af relevans for fremsendelsen af oplysninger mellem institutionerne.</w:t>
      </w:r>
    </w:p>
    <w:p w14:paraId="429BBB54" w14:textId="77777777" w:rsidR="006C3740" w:rsidRPr="006C3740" w:rsidRDefault="006C3740" w:rsidP="006C3740">
      <w:pPr>
        <w:widowControl/>
        <w:jc w:val="both"/>
        <w:rPr>
          <w:rFonts w:eastAsia="Aptos"/>
          <w:kern w:val="2"/>
          <w:szCs w:val="24"/>
          <w:lang w:eastAsia="en-US"/>
          <w14:ligatures w14:val="standardContextual"/>
        </w:rPr>
      </w:pPr>
    </w:p>
    <w:p w14:paraId="626F779D" w14:textId="77777777" w:rsidR="0095103B" w:rsidRDefault="0095103B" w:rsidP="006C3740">
      <w:pPr>
        <w:widowControl/>
        <w:jc w:val="both"/>
        <w:rPr>
          <w:rFonts w:eastAsia="Aptos"/>
          <w:kern w:val="2"/>
          <w:szCs w:val="24"/>
          <w:lang w:eastAsia="en-US"/>
          <w14:ligatures w14:val="standardContextual"/>
        </w:rPr>
        <w:sectPr w:rsidR="0095103B" w:rsidSect="006C3740">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1906" w:h="16838"/>
          <w:pgMar w:top="1440" w:right="1440" w:bottom="1440" w:left="1440" w:header="708" w:footer="708" w:gutter="0"/>
          <w:cols w:space="708"/>
          <w:docGrid w:linePitch="360"/>
        </w:sectPr>
      </w:pPr>
    </w:p>
    <w:p w14:paraId="6B6E6A11" w14:textId="77777777" w:rsidR="006C3740" w:rsidRPr="006C3740" w:rsidRDefault="006C3740" w:rsidP="006C3740">
      <w:pPr>
        <w:widowControl/>
        <w:jc w:val="both"/>
        <w:rPr>
          <w:rFonts w:eastAsia="Aptos"/>
          <w:kern w:val="2"/>
          <w:szCs w:val="24"/>
          <w:lang w:eastAsia="en-US"/>
          <w14:ligatures w14:val="standardContextual"/>
        </w:rPr>
      </w:pPr>
    </w:p>
    <w:p w14:paraId="05E8053E" w14:textId="77777777" w:rsidR="006C3740" w:rsidRPr="006C3740" w:rsidRDefault="00BC2B53" w:rsidP="006C3740">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52DA2CC2">
          <v:rect id="_x0000_i1027" style="width:101.55pt;height:.75pt" o:hrpct="0" o:hralign="center" o:hrstd="t" o:hrnoshade="t" o:hr="t" fillcolor="black" stroked="f"/>
        </w:pict>
      </w:r>
    </w:p>
    <w:p w14:paraId="311DC0C4" w14:textId="77777777" w:rsidR="006C3740" w:rsidRPr="006C3740" w:rsidRDefault="006C3740" w:rsidP="006C3740">
      <w:pPr>
        <w:widowControl/>
        <w:jc w:val="both"/>
        <w:rPr>
          <w:rFonts w:eastAsia="Aptos"/>
          <w:kern w:val="2"/>
          <w:szCs w:val="24"/>
          <w:lang w:eastAsia="en-US"/>
          <w14:ligatures w14:val="standardContextual"/>
        </w:rPr>
      </w:pPr>
    </w:p>
    <w:p w14:paraId="5D78DD3E" w14:textId="77777777" w:rsidR="006C3740" w:rsidRPr="006C3740" w:rsidRDefault="006C3740" w:rsidP="006C3740">
      <w:pPr>
        <w:widowControl/>
        <w:jc w:val="both"/>
        <w:rPr>
          <w:rFonts w:eastAsia="Aptos"/>
          <w:kern w:val="2"/>
          <w:szCs w:val="24"/>
          <w:lang w:eastAsia="en-US"/>
          <w14:ligatures w14:val="standardContextual"/>
        </w:rPr>
      </w:pPr>
    </w:p>
    <w:p w14:paraId="00CC7CA7" w14:textId="77777777" w:rsidR="006C3740" w:rsidRPr="006C3740" w:rsidRDefault="006C3740" w:rsidP="006C3740">
      <w:pPr>
        <w:widowControl/>
        <w:spacing w:before="120" w:after="120" w:line="480" w:lineRule="auto"/>
        <w:ind w:left="851" w:hanging="851"/>
        <w:jc w:val="center"/>
        <w:rPr>
          <w:rFonts w:eastAsia="Aptos" w:cs="Arial"/>
          <w:b/>
          <w:bCs/>
          <w:kern w:val="2"/>
          <w:szCs w:val="18"/>
          <w:lang w:eastAsia="en-US"/>
          <w14:ligatures w14:val="standardContextual"/>
        </w:rPr>
      </w:pPr>
      <w:r w:rsidRPr="006C3740">
        <w:rPr>
          <w:rFonts w:eastAsia="Aptos"/>
          <w:b/>
          <w:kern w:val="2"/>
          <w:szCs w:val="24"/>
          <w:lang w:eastAsia="en-US"/>
          <w14:ligatures w14:val="standardContextual"/>
        </w:rPr>
        <w:t>BILAG III</w:t>
      </w:r>
    </w:p>
    <w:p w14:paraId="3FD6C013" w14:textId="77777777" w:rsidR="006C3740" w:rsidRPr="006C3740" w:rsidRDefault="006C3740" w:rsidP="006C3740">
      <w:pPr>
        <w:widowControl/>
        <w:spacing w:before="120" w:after="120"/>
        <w:ind w:left="851" w:hanging="851"/>
        <w:rPr>
          <w:rFonts w:eastAsia="Aptos"/>
          <w:b/>
          <w:bCs/>
          <w:kern w:val="2"/>
          <w:szCs w:val="24"/>
          <w:lang w:eastAsia="en-US"/>
          <w14:ligatures w14:val="standardContextual"/>
        </w:rPr>
      </w:pPr>
      <w:r w:rsidRPr="006C3740">
        <w:rPr>
          <w:rFonts w:eastAsia="Aptos"/>
          <w:b/>
          <w:kern w:val="2"/>
          <w:szCs w:val="24"/>
          <w:lang w:eastAsia="en-US"/>
          <w14:ligatures w14:val="standardContextual"/>
        </w:rPr>
        <w:t>Forhandling og indgåelse af internationale aftaler</w:t>
      </w:r>
    </w:p>
    <w:p w14:paraId="2C937597" w14:textId="77777777" w:rsidR="006C3740" w:rsidRPr="006C3740" w:rsidRDefault="006C3740" w:rsidP="006C3740">
      <w:pPr>
        <w:widowControl/>
        <w:spacing w:before="120" w:after="120"/>
        <w:jc w:val="both"/>
        <w:rPr>
          <w:rFonts w:eastAsia="Aptos"/>
          <w:kern w:val="2"/>
          <w:szCs w:val="24"/>
          <w:lang w:eastAsia="en-US"/>
          <w14:ligatures w14:val="standardContextual"/>
        </w:rPr>
      </w:pPr>
      <w:r w:rsidRPr="006C3740">
        <w:rPr>
          <w:rFonts w:eastAsia="Aptos"/>
          <w:kern w:val="2"/>
          <w:szCs w:val="24"/>
          <w:lang w:eastAsia="en-US"/>
          <w14:ligatures w14:val="standardContextual"/>
        </w:rPr>
        <w:t>Dette bilag indeholder de nærmere bestemmelser for fremsendelse af oplysninger til Parlamentet om forhandling og indgåelse af internationale aftaler, jf. rammeaftalens punkt 27, 33 og 34:</w:t>
      </w:r>
    </w:p>
    <w:p w14:paraId="3012FB3F"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1.</w:t>
      </w:r>
      <w:r w:rsidRPr="006C3740">
        <w:rPr>
          <w:rFonts w:eastAsia="Aptos"/>
          <w:kern w:val="2"/>
          <w:szCs w:val="24"/>
          <w:lang w:eastAsia="en-US"/>
          <w14:ligatures w14:val="standardContextual"/>
        </w:rPr>
        <w:tab/>
        <w:t>Kommissionen informerer Parlamentet om sine planer om at foreslå indledningen af forhandlinger på samme tid, som den informerer Rådet.</w:t>
      </w:r>
    </w:p>
    <w:p w14:paraId="633D6E1C"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2.</w:t>
      </w:r>
      <w:r w:rsidRPr="006C3740">
        <w:rPr>
          <w:rFonts w:eastAsia="Aptos"/>
          <w:kern w:val="2"/>
          <w:szCs w:val="24"/>
          <w:lang w:eastAsia="en-US"/>
          <w14:ligatures w14:val="standardContextual"/>
        </w:rPr>
        <w:tab/>
        <w:t>I overensstemmelse med bestemmelserne i rammeaftalens punkt 33 skal Kommissionen, når den forelægger forslag til forhandlingsdirektiver for Rådet til vedtagelse, samtidig forelægge dem for Parlamentet.</w:t>
      </w:r>
    </w:p>
    <w:p w14:paraId="46B61A4A"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3.</w:t>
      </w:r>
      <w:r w:rsidRPr="006C3740">
        <w:rPr>
          <w:rFonts w:eastAsia="Aptos"/>
          <w:kern w:val="2"/>
          <w:szCs w:val="24"/>
          <w:lang w:eastAsia="en-US"/>
          <w14:ligatures w14:val="standardContextual"/>
        </w:rPr>
        <w:tab/>
        <w:t>Kommissionen tager behørigt hensyn til Parlamentets bemærkninger under hele forhandlingsprocessen.</w:t>
      </w:r>
    </w:p>
    <w:p w14:paraId="531B54DC"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4.</w:t>
      </w:r>
      <w:r w:rsidRPr="006C3740">
        <w:rPr>
          <w:rFonts w:eastAsia="Aptos"/>
          <w:kern w:val="2"/>
          <w:szCs w:val="24"/>
          <w:lang w:eastAsia="en-US"/>
          <w14:ligatures w14:val="standardContextual"/>
        </w:rPr>
        <w:tab/>
        <w:t>I overensstemmelse med bestemmelserne i rammeaftalens punkt 27 holder Kommissionen Parlamentet løbende og hurtigt underrettet om forhandlingsprocessen frem til det tidspunkt, hvor aftalen paraferes, og redegør for, om og i bekræftende fald hvordan Parlamentets bemærkninger er indarbejdet i den forhandlede tekst, samt i benægtende fald oplyse, hvorfor det ikke er sket.</w:t>
      </w:r>
    </w:p>
    <w:p w14:paraId="5A935CCE"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5.</w:t>
      </w:r>
      <w:r w:rsidRPr="006C3740">
        <w:rPr>
          <w:rFonts w:eastAsia="Aptos"/>
          <w:kern w:val="2"/>
          <w:szCs w:val="24"/>
          <w:lang w:eastAsia="en-US"/>
          <w14:ligatures w14:val="standardContextual"/>
        </w:rPr>
        <w:tab/>
        <w:t>I forbindelse med internationale aftaler, hvis indgåelse kræver Parlamentets godkendelse, giver Kommissionen i løbet af forhandlingsprocessen Parlamentet alle de relevante oplysninger, som den også giver Rådet (eller det særlige udvalg, Rådet har udpeget). Dette omfatter ændringsforslag til vedtagne forhandlingsdirektiver, forhandlingsoplæg, vedtagne artikler, den vedtagne dato for parafering af aftalen og den aftaletekst, der skal paraferes. Kommissionen skal endvidere fremsende ethvert relevant dokument modtaget fra en tredjepart til Parlamentet, som den gør til Rådet (eller det særlige udvalg, Rådet har udpeget), med forbehold af samtykke fra den, fra hvem dokumentet hidrører. Kommissionen skal holde det kompetente parlamentsudvalg underrettet om udviklingen i forhandlingerne og især redegøre for, hvordan Parlamentets synspunkter er blevet tilgodeset.</w:t>
      </w:r>
    </w:p>
    <w:p w14:paraId="625C1F5A"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6.</w:t>
      </w:r>
      <w:r w:rsidRPr="006C3740">
        <w:rPr>
          <w:rFonts w:eastAsia="Aptos"/>
          <w:kern w:val="2"/>
          <w:szCs w:val="24"/>
          <w:lang w:eastAsia="en-US"/>
          <w14:ligatures w14:val="standardContextual"/>
        </w:rPr>
        <w:tab/>
        <w:t>I forbindelse med internationale aftaler, der ikke kræver Parlamentets godkendelse, sørger Kommissionen for, at Parlamentet underrettes omgående og fuldt ud, ved at forelægge det oplysninger, som mindst omfatter udkastene til forhandlingsdirektiver, de vedtagne forhandlingsdirektiver samt de efterfølgende forhandlinger og disses afslutning.</w:t>
      </w:r>
    </w:p>
    <w:p w14:paraId="032BBBB5"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7.</w:t>
      </w:r>
      <w:r w:rsidRPr="006C3740">
        <w:rPr>
          <w:rFonts w:eastAsia="Aptos"/>
          <w:kern w:val="2"/>
          <w:szCs w:val="24"/>
          <w:lang w:eastAsia="en-US"/>
          <w14:ligatures w14:val="standardContextual"/>
        </w:rPr>
        <w:tab/>
        <w:t>Kommissionen underretter i overensstemmelse med bestemmelserne i rammeaftalens punkt 33 Parlamentet rettidigt og detaljeret, når en international aftale paraferes, og informerer Parlamentet så tidligt som muligt, når den agter at foreslå Rådet en midlertidig anvendelse af samme, herunder om begrundelsen herfor, medmindre sagens hastende karakter forhindrer Kommissionen heri.</w:t>
      </w:r>
    </w:p>
    <w:p w14:paraId="3FCCB378"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8.</w:t>
      </w:r>
      <w:r w:rsidRPr="006C3740">
        <w:rPr>
          <w:rFonts w:eastAsia="Aptos"/>
          <w:kern w:val="2"/>
          <w:szCs w:val="24"/>
          <w:lang w:eastAsia="en-US"/>
          <w14:ligatures w14:val="standardContextual"/>
        </w:rPr>
        <w:tab/>
        <w:t>Kommissionen underretter Rådet og Parlamentet samtidig og rettidigt, hvis den agter at foreslå Rådet at suspendere en international aftale, og anfører grundene hertil.</w:t>
      </w:r>
    </w:p>
    <w:p w14:paraId="2B0DDC96"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lastRenderedPageBreak/>
        <w:t>9.</w:t>
      </w:r>
      <w:r w:rsidRPr="006C3740">
        <w:rPr>
          <w:rFonts w:eastAsia="Aptos"/>
          <w:kern w:val="2"/>
          <w:szCs w:val="24"/>
          <w:lang w:eastAsia="en-US"/>
          <w14:ligatures w14:val="standardContextual"/>
        </w:rPr>
        <w:tab/>
        <w:t>For så vidt angår internationale aftaler, der henhører under godkendelsesproceduren i TEUF, holder Kommissionen også Parlamentet fuldt underrettet, inden den godkender ændringer af en aftale, som Rådet har givet bemyndigelse til i overensstemmelse med artikel 218, stk. 7, TEUF.</w:t>
      </w:r>
    </w:p>
    <w:p w14:paraId="4DD436BD" w14:textId="77777777" w:rsidR="006C3740" w:rsidRPr="006C3740" w:rsidRDefault="006C3740" w:rsidP="006C3740">
      <w:pPr>
        <w:widowControl/>
        <w:jc w:val="both"/>
        <w:rPr>
          <w:rFonts w:eastAsia="Aptos"/>
          <w:kern w:val="2"/>
          <w:szCs w:val="24"/>
          <w:lang w:eastAsia="en-US"/>
          <w14:ligatures w14:val="standardContextual"/>
        </w:rPr>
      </w:pPr>
    </w:p>
    <w:p w14:paraId="77EB0E9D" w14:textId="77777777" w:rsidR="0095103B" w:rsidRDefault="0095103B" w:rsidP="006C3740">
      <w:pPr>
        <w:widowControl/>
        <w:jc w:val="both"/>
        <w:rPr>
          <w:rFonts w:eastAsia="Aptos"/>
          <w:kern w:val="2"/>
          <w:szCs w:val="24"/>
          <w:lang w:eastAsia="en-US"/>
          <w14:ligatures w14:val="standardContextual"/>
        </w:rPr>
        <w:sectPr w:rsidR="0095103B" w:rsidSect="006C3740">
          <w:footnotePr>
            <w:numRestart w:val="eachSect"/>
          </w:footnotePr>
          <w:pgSz w:w="11906" w:h="16838"/>
          <w:pgMar w:top="1440" w:right="1440" w:bottom="1440" w:left="1440" w:header="708" w:footer="708" w:gutter="0"/>
          <w:cols w:space="708"/>
          <w:docGrid w:linePitch="360"/>
        </w:sectPr>
      </w:pPr>
    </w:p>
    <w:p w14:paraId="6144DF1A" w14:textId="77777777" w:rsidR="006C3740" w:rsidRPr="006C3740" w:rsidRDefault="006C3740" w:rsidP="006C3740">
      <w:pPr>
        <w:widowControl/>
        <w:jc w:val="both"/>
        <w:rPr>
          <w:rFonts w:eastAsia="Aptos"/>
          <w:kern w:val="2"/>
          <w:szCs w:val="24"/>
          <w:lang w:eastAsia="en-US"/>
          <w14:ligatures w14:val="standardContextual"/>
        </w:rPr>
      </w:pPr>
    </w:p>
    <w:p w14:paraId="2A2FDE9C" w14:textId="77777777" w:rsidR="006C3740" w:rsidRPr="006C3740" w:rsidRDefault="00BC2B53" w:rsidP="006C3740">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16F3FA87">
          <v:rect id="_x0000_i1028" style="width:101.55pt;height:.75pt" o:hrpct="0" o:hralign="center" o:hrstd="t" o:hrnoshade="t" o:hr="t" fillcolor="black" stroked="f"/>
        </w:pict>
      </w:r>
    </w:p>
    <w:p w14:paraId="097BCB4F" w14:textId="77777777" w:rsidR="006C3740" w:rsidRPr="006C3740" w:rsidRDefault="006C3740" w:rsidP="006C3740">
      <w:pPr>
        <w:widowControl/>
        <w:jc w:val="both"/>
        <w:rPr>
          <w:rFonts w:eastAsia="Aptos"/>
          <w:kern w:val="2"/>
          <w:szCs w:val="24"/>
          <w:lang w:eastAsia="en-US"/>
          <w14:ligatures w14:val="standardContextual"/>
        </w:rPr>
      </w:pPr>
    </w:p>
    <w:p w14:paraId="6D3357DC" w14:textId="77777777" w:rsidR="006C3740" w:rsidRPr="006C3740" w:rsidRDefault="006C3740" w:rsidP="006C3740">
      <w:pPr>
        <w:widowControl/>
        <w:jc w:val="both"/>
        <w:rPr>
          <w:rFonts w:eastAsia="Aptos"/>
          <w:kern w:val="2"/>
          <w:szCs w:val="24"/>
          <w:lang w:eastAsia="en-US"/>
          <w14:ligatures w14:val="standardContextual"/>
        </w:rPr>
      </w:pPr>
    </w:p>
    <w:p w14:paraId="65BE7BAB" w14:textId="77777777" w:rsidR="006C3740" w:rsidRPr="006C3740" w:rsidRDefault="006C3740" w:rsidP="006C3740">
      <w:pPr>
        <w:widowControl/>
        <w:spacing w:before="120" w:after="120" w:line="480" w:lineRule="auto"/>
        <w:ind w:left="851" w:hanging="851"/>
        <w:jc w:val="center"/>
        <w:rPr>
          <w:rFonts w:eastAsia="Aptos" w:cs="Arial"/>
          <w:b/>
          <w:bCs/>
          <w:kern w:val="2"/>
          <w:szCs w:val="18"/>
          <w:lang w:eastAsia="en-US"/>
          <w14:ligatures w14:val="standardContextual"/>
        </w:rPr>
      </w:pPr>
      <w:r w:rsidRPr="006C3740">
        <w:rPr>
          <w:rFonts w:eastAsia="Aptos"/>
          <w:b/>
          <w:kern w:val="2"/>
          <w:szCs w:val="24"/>
          <w:lang w:eastAsia="en-US"/>
          <w14:ligatures w14:val="standardContextual"/>
        </w:rPr>
        <w:t>BILAG IV</w:t>
      </w:r>
    </w:p>
    <w:p w14:paraId="579B4CED" w14:textId="77777777" w:rsidR="006C3740" w:rsidRPr="006C3740" w:rsidRDefault="006C3740" w:rsidP="006C3740">
      <w:pPr>
        <w:widowControl/>
        <w:spacing w:before="120" w:after="120"/>
        <w:ind w:left="851" w:hanging="851"/>
        <w:rPr>
          <w:rFonts w:eastAsia="Aptos"/>
          <w:b/>
          <w:bCs/>
          <w:kern w:val="2"/>
          <w:szCs w:val="24"/>
          <w:lang w:eastAsia="en-US"/>
          <w14:ligatures w14:val="standardContextual"/>
        </w:rPr>
      </w:pPr>
      <w:r w:rsidRPr="006C3740">
        <w:rPr>
          <w:rFonts w:eastAsia="Aptos"/>
          <w:b/>
          <w:kern w:val="2"/>
          <w:szCs w:val="24"/>
          <w:lang w:eastAsia="en-US"/>
          <w14:ligatures w14:val="standardContextual"/>
        </w:rPr>
        <w:t>Tidsplan for Kommissionens arbejdsprogram</w:t>
      </w:r>
    </w:p>
    <w:p w14:paraId="7BE2F8F6" w14:textId="77777777" w:rsidR="006C3740" w:rsidRPr="006C3740" w:rsidRDefault="006C3740" w:rsidP="006C3740">
      <w:pPr>
        <w:widowControl/>
        <w:spacing w:before="120" w:after="120"/>
        <w:jc w:val="both"/>
        <w:rPr>
          <w:rFonts w:eastAsia="Aptos"/>
          <w:kern w:val="2"/>
          <w:szCs w:val="24"/>
          <w:lang w:eastAsia="en-US"/>
          <w14:ligatures w14:val="standardContextual"/>
        </w:rPr>
      </w:pPr>
      <w:r w:rsidRPr="006C3740">
        <w:rPr>
          <w:rFonts w:eastAsia="Aptos"/>
          <w:kern w:val="2"/>
          <w:szCs w:val="24"/>
          <w:lang w:eastAsia="en-US"/>
          <w14:ligatures w14:val="standardContextual"/>
        </w:rPr>
        <w:t>Kommissionens arbejdsprogram skal ledsages af en liste over lovgivningsmæssige og ikke-lovgivningsmæssige forslag for de kommende år. Kommissionens arbejdsprogram dækker det kommende år og giver detaljerede oplysninger om Kommissionens prioriteter for de efterfølgende år. Kommissionens arbejdsprogram kan derfor danne grundlag for en struktureret dialog med Parlamentet med henblik på at nå frem til en fælles forståelse.</w:t>
      </w:r>
    </w:p>
    <w:p w14:paraId="4D75DF8A" w14:textId="77777777" w:rsidR="006C3740" w:rsidRPr="006C3740" w:rsidRDefault="006C3740" w:rsidP="006C3740">
      <w:pPr>
        <w:widowControl/>
        <w:spacing w:before="120" w:after="120"/>
        <w:jc w:val="both"/>
        <w:rPr>
          <w:rFonts w:eastAsia="Aptos"/>
          <w:kern w:val="2"/>
          <w:szCs w:val="24"/>
          <w:lang w:eastAsia="en-US"/>
          <w14:ligatures w14:val="standardContextual"/>
        </w:rPr>
      </w:pPr>
      <w:r w:rsidRPr="006C3740">
        <w:rPr>
          <w:rFonts w:eastAsia="Aptos"/>
          <w:kern w:val="2"/>
          <w:szCs w:val="24"/>
          <w:lang w:eastAsia="en-US"/>
          <w14:ligatures w14:val="standardContextual"/>
        </w:rPr>
        <w:t>Kommissionens arbejdsprogram skal også omfatte planlagte initiativer om "soft law", tilbagetrækning af forslag og forenkling.</w:t>
      </w:r>
    </w:p>
    <w:p w14:paraId="3E0D99CF"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1.</w:t>
      </w:r>
      <w:r w:rsidRPr="006C3740">
        <w:rPr>
          <w:rFonts w:eastAsia="Aptos"/>
          <w:kern w:val="2"/>
          <w:szCs w:val="24"/>
          <w:lang w:eastAsia="en-US"/>
          <w14:ligatures w14:val="standardContextual"/>
        </w:rPr>
        <w:tab/>
        <w:t>Inden for den første halvdel af et givet år skal kommissionsmedlemmer føre en løbende dialog med de relevante parlamentsudvalg om gennemførelsen af Kommissionens arbejdsprogram for det pågældende år og om forberedelsen af dens kommende arbejdsprogram. Hvert parlamentsudvalg skal på grundlag heraf aflægge beretning til Udvalgsformandskonferencen om resultatet af denne løbende dialog.</w:t>
      </w:r>
    </w:p>
    <w:p w14:paraId="2AD26A86"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2.</w:t>
      </w:r>
      <w:r w:rsidRPr="006C3740">
        <w:rPr>
          <w:rFonts w:eastAsia="Aptos"/>
          <w:kern w:val="2"/>
          <w:szCs w:val="24"/>
          <w:lang w:eastAsia="en-US"/>
          <w14:ligatures w14:val="standardContextual"/>
        </w:rPr>
        <w:tab/>
        <w:t>Udvalgsformandskonferencen skal sideløbende hermed føre drøftelser med Kommissionens næstformand med ansvar for interinstitutionelle forbindelser for at evaluere gennemførelsen af Kommissionens igangværende arbejdsprogram, drøfte forberedelsen af Kommissionens kommende arbejdsprogram og gøre status over resultaterne af den løbende bilaterale dialog mellem de berørte parlamentsudvalg og de relevante kommissionsmedlemmer.</w:t>
      </w:r>
    </w:p>
    <w:p w14:paraId="654D65BA"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3.</w:t>
      </w:r>
      <w:r w:rsidRPr="006C3740">
        <w:rPr>
          <w:rFonts w:eastAsia="Aptos"/>
          <w:kern w:val="2"/>
          <w:szCs w:val="24"/>
          <w:lang w:eastAsia="en-US"/>
          <w14:ligatures w14:val="standardContextual"/>
        </w:rPr>
        <w:tab/>
        <w:t>Udvalgsformandskonferencen skal i juni fremlægge en sammenfattende rapport for Formandskonferencen, der bør omfatte resultaterne af evalueringen af Kommissionens arbejdsprograms gennemførelse samt Parlamentets prioriteter for Kommissionens næste arbejdsprogram. Parlamentet underretter Kommissionen herom.</w:t>
      </w:r>
    </w:p>
    <w:p w14:paraId="6544829C"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4.</w:t>
      </w:r>
      <w:r w:rsidRPr="006C3740">
        <w:rPr>
          <w:rFonts w:eastAsia="Aptos"/>
          <w:kern w:val="2"/>
          <w:szCs w:val="24"/>
          <w:lang w:eastAsia="en-US"/>
          <w14:ligatures w14:val="standardContextual"/>
        </w:rPr>
        <w:tab/>
        <w:t>På grundlag af denne sammenfattende rapport vedtager Parlamentet under mødeperioden i juli en beslutning, hvori det redegør for sin holdning, navnlig vedrørende anmodninger fremsat i lovgivningsmæssige initiativbetænkninger.</w:t>
      </w:r>
    </w:p>
    <w:p w14:paraId="1053860C"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5.</w:t>
      </w:r>
      <w:r w:rsidRPr="006C3740">
        <w:rPr>
          <w:rFonts w:eastAsia="Aptos"/>
          <w:kern w:val="2"/>
          <w:szCs w:val="24"/>
          <w:lang w:eastAsia="en-US"/>
          <w14:ligatures w14:val="standardContextual"/>
        </w:rPr>
        <w:tab/>
        <w:t>Hvert år under den første mødeperiode i september vil der blive afholdt en debat om Unionens tilstand, hvorunder Kommissionens formand holder en tale, hvori denne gør status over det indeværende år og opstiller prioriteterne for de følgende år. Med henblik herpå vil Kommissionens formand sideløbende give Parlamentet en skriftlig redegørelse for de vigtigste retningslinjer for udarbejdelsen af Kommissionens arbejdsprogram for det følgende år.</w:t>
      </w:r>
    </w:p>
    <w:p w14:paraId="6F4A38FF"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6.</w:t>
      </w:r>
      <w:r w:rsidRPr="006C3740">
        <w:rPr>
          <w:rFonts w:eastAsia="Aptos"/>
          <w:kern w:val="2"/>
          <w:szCs w:val="24"/>
          <w:lang w:eastAsia="en-US"/>
          <w14:ligatures w14:val="standardContextual"/>
        </w:rPr>
        <w:tab/>
        <w:t>Fra begyndelsen af september kan de kompetente parlamentsudvalg og de relevante kommissionsmedlemmer mødes til en mere detaljeret drøftelse om fremtidige prioriteringer inden for hvert enkelt politikområde. Disse møder rundes af med et møde mellem Udvalgsformandskonferencen og kommissærkollegiet og i givet fald et møde mellem Formandskonferencen og Kommissionens formand.</w:t>
      </w:r>
    </w:p>
    <w:p w14:paraId="0D798926"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lastRenderedPageBreak/>
        <w:t>7.</w:t>
      </w:r>
      <w:r w:rsidRPr="006C3740">
        <w:rPr>
          <w:rFonts w:eastAsia="Aptos"/>
          <w:kern w:val="2"/>
          <w:szCs w:val="24"/>
          <w:lang w:eastAsia="en-US"/>
          <w14:ligatures w14:val="standardContextual"/>
        </w:rPr>
        <w:tab/>
        <w:t>Hvert år i oktober vedtager Kommissionen sit arbejdsprogram for det følgende år. Derefter forelægger Kommissionens formand arbejdsprogrammet for Parlamentet på et passende plan.</w:t>
      </w:r>
    </w:p>
    <w:p w14:paraId="0A8F29AF"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8.</w:t>
      </w:r>
      <w:r w:rsidRPr="006C3740">
        <w:rPr>
          <w:rFonts w:eastAsia="Aptos"/>
          <w:kern w:val="2"/>
          <w:szCs w:val="24"/>
          <w:lang w:eastAsia="en-US"/>
          <w14:ligatures w14:val="standardContextual"/>
        </w:rPr>
        <w:tab/>
        <w:t>Parlamentet kan drøfte og vedtage en beslutning herom under mødeperioden i december.</w:t>
      </w:r>
    </w:p>
    <w:p w14:paraId="313EDEDD" w14:textId="77777777" w:rsidR="006C3740" w:rsidRPr="006C3740" w:rsidRDefault="006C3740" w:rsidP="006C3740">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9.</w:t>
      </w:r>
      <w:r w:rsidRPr="006C3740">
        <w:rPr>
          <w:rFonts w:eastAsia="Aptos"/>
          <w:kern w:val="2"/>
          <w:szCs w:val="24"/>
          <w:lang w:eastAsia="en-US"/>
          <w14:ligatures w14:val="standardContextual"/>
        </w:rPr>
        <w:tab/>
        <w:t>Denne tidsplan finder anvendelse på enhver regelmæssig programmeringscyklus, bortset fra parlamentsvalgår, som falder sammen med afslutningen af Kommissionens mandatperiode.</w:t>
      </w:r>
    </w:p>
    <w:p w14:paraId="71CB15E0" w14:textId="607C81D2" w:rsidR="006C3740" w:rsidRPr="0095103B" w:rsidRDefault="006C3740" w:rsidP="0095103B">
      <w:pPr>
        <w:widowControl/>
        <w:spacing w:before="120" w:after="120"/>
        <w:ind w:left="851" w:hanging="851"/>
        <w:jc w:val="both"/>
        <w:rPr>
          <w:rFonts w:eastAsia="Aptos"/>
          <w:kern w:val="2"/>
          <w:szCs w:val="24"/>
          <w:lang w:eastAsia="en-US"/>
          <w14:ligatures w14:val="standardContextual"/>
        </w:rPr>
      </w:pPr>
      <w:r w:rsidRPr="006C3740">
        <w:rPr>
          <w:rFonts w:eastAsia="Aptos"/>
          <w:kern w:val="2"/>
          <w:szCs w:val="24"/>
          <w:lang w:eastAsia="en-US"/>
          <w14:ligatures w14:val="standardContextual"/>
        </w:rPr>
        <w:t>10.</w:t>
      </w:r>
      <w:r w:rsidRPr="006C3740">
        <w:rPr>
          <w:rFonts w:eastAsia="Aptos"/>
          <w:kern w:val="2"/>
          <w:szCs w:val="24"/>
          <w:lang w:eastAsia="en-US"/>
          <w14:ligatures w14:val="standardContextual"/>
        </w:rPr>
        <w:tab/>
        <w:t>Denne tidsplan foregriber ikke fremtidige aftaler om interinstitutionel programmering.</w:t>
      </w:r>
    </w:p>
    <w:bookmarkEnd w:id="6"/>
    <w:bookmarkEnd w:id="7"/>
    <w:sectPr w:rsidR="006C3740" w:rsidRPr="0095103B" w:rsidSect="006C3740">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7B0AE" w14:textId="77777777" w:rsidR="00340682" w:rsidRPr="006205DF" w:rsidRDefault="00340682">
      <w:r w:rsidRPr="006205DF">
        <w:separator/>
      </w:r>
    </w:p>
  </w:endnote>
  <w:endnote w:type="continuationSeparator" w:id="0">
    <w:p w14:paraId="32ECA28C" w14:textId="77777777" w:rsidR="00340682" w:rsidRPr="006205DF" w:rsidRDefault="00340682">
      <w:r w:rsidRPr="006205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A98A2" w14:textId="77777777" w:rsidR="009D5C32" w:rsidRPr="006205DF" w:rsidRDefault="009D5C32" w:rsidP="00920A8E">
    <w:pPr>
      <w:pStyle w:val="EPFooter"/>
    </w:pPr>
    <w:r w:rsidRPr="006205DF">
      <w:t>PE</w:t>
    </w:r>
    <w:r w:rsidRPr="006205DF">
      <w:rPr>
        <w:rStyle w:val="HideTWBExt"/>
      </w:rPr>
      <w:t>&lt;NoPE&gt;</w:t>
    </w:r>
    <w:r w:rsidRPr="006205DF">
      <w:t>781.475</w:t>
    </w:r>
    <w:r w:rsidRPr="006205DF">
      <w:rPr>
        <w:rStyle w:val="HideTWBExt"/>
      </w:rPr>
      <w:t>&lt;/NoPE&gt;&lt;Version&gt;</w:t>
    </w:r>
    <w:r w:rsidRPr="006205DF">
      <w:t>v02-00</w:t>
    </w:r>
    <w:r w:rsidRPr="006205DF">
      <w:rPr>
        <w:rStyle w:val="HideTWBExt"/>
      </w:rPr>
      <w:t>&lt;/Version&gt;</w:t>
    </w:r>
    <w:r w:rsidRPr="006205DF">
      <w:tab/>
    </w:r>
    <w:r w:rsidRPr="006205DF">
      <w:fldChar w:fldCharType="begin"/>
    </w:r>
    <w:r w:rsidRPr="006205DF">
      <w:instrText xml:space="preserve"> PAGE  \* MERGEFORMAT </w:instrText>
    </w:r>
    <w:r w:rsidRPr="006205DF">
      <w:fldChar w:fldCharType="separate"/>
    </w:r>
    <w:r w:rsidRPr="006205DF">
      <w:rPr>
        <w:noProof/>
      </w:rPr>
      <w:t>1</w:t>
    </w:r>
    <w:r w:rsidRPr="006205DF">
      <w:fldChar w:fldCharType="end"/>
    </w:r>
    <w:r w:rsidRPr="006205DF">
      <w:t>/</w:t>
    </w:r>
    <w:fldSimple w:instr=" NUMPAGES  \* MERGEFORMAT ">
      <w:r w:rsidRPr="006205DF">
        <w:rPr>
          <w:noProof/>
        </w:rPr>
        <w:t>1</w:t>
      </w:r>
    </w:fldSimple>
    <w:r w:rsidRPr="006205DF">
      <w:tab/>
    </w:r>
    <w:r w:rsidRPr="006205DF">
      <w:rPr>
        <w:rStyle w:val="HideTWBExt"/>
      </w:rPr>
      <w:t>&lt;PathFdR&gt;</w:t>
    </w:r>
    <w:r w:rsidRPr="006205DF">
      <w:t>RR\1338413DA.docx</w:t>
    </w:r>
    <w:r w:rsidRPr="006205DF">
      <w:rPr>
        <w:rStyle w:val="HideTWBExt"/>
      </w:rPr>
      <w:t>&lt;/PathFdR&gt;</w:t>
    </w:r>
  </w:p>
  <w:p w14:paraId="029E601D" w14:textId="77777777" w:rsidR="009D5C32" w:rsidRPr="006205DF" w:rsidRDefault="009D5C32" w:rsidP="00920A8E">
    <w:pPr>
      <w:pStyle w:val="EPFooter2"/>
    </w:pPr>
    <w:r w:rsidRPr="006205DF">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55A22" w14:textId="7DC01C3C" w:rsidR="009D5C32" w:rsidRPr="006205DF" w:rsidRDefault="009D5C32" w:rsidP="00920A8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E3899" w14:textId="77777777" w:rsidR="009D5C32" w:rsidRPr="006205DF" w:rsidRDefault="009D5C32" w:rsidP="00920A8E">
    <w:pPr>
      <w:pStyle w:val="EPFooter"/>
    </w:pPr>
    <w:r w:rsidRPr="006205DF">
      <w:rPr>
        <w:rStyle w:val="HideTWBExt"/>
      </w:rPr>
      <w:t>&lt;PathFdR&gt;</w:t>
    </w:r>
    <w:r w:rsidRPr="006205DF">
      <w:t>RR\1338413DA.docx</w:t>
    </w:r>
    <w:r w:rsidRPr="006205DF">
      <w:rPr>
        <w:rStyle w:val="HideTWBExt"/>
      </w:rPr>
      <w:t>&lt;/PathFdR&gt;</w:t>
    </w:r>
    <w:r w:rsidRPr="006205DF">
      <w:tab/>
    </w:r>
    <w:r w:rsidRPr="006205DF">
      <w:tab/>
      <w:t>PE</w:t>
    </w:r>
    <w:r w:rsidRPr="006205DF">
      <w:rPr>
        <w:rStyle w:val="HideTWBExt"/>
      </w:rPr>
      <w:t>&lt;NoPE&gt;</w:t>
    </w:r>
    <w:r w:rsidRPr="006205DF">
      <w:t>781.475</w:t>
    </w:r>
    <w:r w:rsidRPr="006205DF">
      <w:rPr>
        <w:rStyle w:val="HideTWBExt"/>
      </w:rPr>
      <w:t>&lt;/NoPE&gt;&lt;Version&gt;</w:t>
    </w:r>
    <w:r w:rsidRPr="006205DF">
      <w:t>v02-00</w:t>
    </w:r>
    <w:r w:rsidRPr="006205DF">
      <w:rPr>
        <w:rStyle w:val="HideTWBExt"/>
      </w:rPr>
      <w:t>&lt;/Version&gt;</w:t>
    </w:r>
  </w:p>
  <w:p w14:paraId="318DFE01" w14:textId="77777777" w:rsidR="009D5C32" w:rsidRPr="006205DF" w:rsidRDefault="009D5C32" w:rsidP="00920A8E">
    <w:pPr>
      <w:pStyle w:val="EPFooter2"/>
    </w:pPr>
    <w:r w:rsidRPr="006205DF">
      <w:t>DA</w:t>
    </w:r>
    <w:r w:rsidRPr="006205DF">
      <w:tab/>
    </w:r>
    <w:r w:rsidRPr="006205DF">
      <w:rPr>
        <w:b w:val="0"/>
        <w:i/>
        <w:color w:val="C0C0C0"/>
        <w:sz w:val="22"/>
      </w:rPr>
      <w:t>Forenet i mangfoldighed</w:t>
    </w:r>
    <w:r w:rsidRPr="006205DF">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6681" w14:textId="77777777" w:rsidR="006C3740" w:rsidRDefault="006C37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301ED" w14:textId="77777777" w:rsidR="006C3740" w:rsidRDefault="006C374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6DF73" w14:textId="77777777" w:rsidR="006C3740" w:rsidRDefault="006C37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B33A" w14:textId="77777777" w:rsidR="00064002" w:rsidRPr="006205DF" w:rsidRDefault="0006400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46848" w14:textId="77777777" w:rsidR="00064002" w:rsidRPr="006205DF" w:rsidRDefault="0006400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3CF7" w14:textId="77777777" w:rsidR="00064002" w:rsidRPr="006205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4B534" w14:textId="77777777" w:rsidR="00340682" w:rsidRPr="006205DF" w:rsidRDefault="00340682">
      <w:r w:rsidRPr="006205DF">
        <w:separator/>
      </w:r>
    </w:p>
  </w:footnote>
  <w:footnote w:type="continuationSeparator" w:id="0">
    <w:p w14:paraId="16BC5E22" w14:textId="77777777" w:rsidR="00340682" w:rsidRPr="006205DF" w:rsidRDefault="00340682">
      <w:r w:rsidRPr="006205DF">
        <w:continuationSeparator/>
      </w:r>
    </w:p>
  </w:footnote>
  <w:footnote w:id="1">
    <w:p w14:paraId="51321087" w14:textId="77777777" w:rsidR="006C3740" w:rsidRPr="006C3740" w:rsidRDefault="006C3740" w:rsidP="006C3740">
      <w:pPr>
        <w:pStyle w:val="FootnoteText"/>
        <w:ind w:left="851" w:hanging="851"/>
        <w:rPr>
          <w:bCs/>
          <w:iCs/>
          <w:sz w:val="24"/>
          <w:szCs w:val="24"/>
          <w:lang w:val="da-DK"/>
        </w:rPr>
      </w:pPr>
      <w:r w:rsidRPr="0049324C">
        <w:rPr>
          <w:rStyle w:val="FootnoteReference"/>
          <w:sz w:val="24"/>
          <w:szCs w:val="24"/>
        </w:rPr>
        <w:footnoteRef/>
      </w:r>
      <w:r w:rsidRPr="006C3740">
        <w:rPr>
          <w:sz w:val="24"/>
          <w:szCs w:val="24"/>
          <w:lang w:val="da-DK"/>
        </w:rPr>
        <w:tab/>
        <w:t xml:space="preserve">EUT L 304 af 20.11.2010, s. 47, ELI: </w:t>
      </w:r>
      <w:hyperlink r:id="rId1" w:history="1">
        <w:r w:rsidRPr="006C3740">
          <w:rPr>
            <w:rStyle w:val="Hyperlink"/>
            <w:sz w:val="24"/>
            <w:szCs w:val="24"/>
            <w:lang w:val="da-DK"/>
          </w:rPr>
          <w:t>http://data.europa.eu/eli/agree_interinstit/2010/1120/oj</w:t>
        </w:r>
      </w:hyperlink>
      <w:r w:rsidRPr="006C3740">
        <w:rPr>
          <w:sz w:val="24"/>
          <w:szCs w:val="24"/>
          <w:lang w:val="da-DK"/>
        </w:rPr>
        <w:t xml:space="preserve">. </w:t>
      </w:r>
    </w:p>
  </w:footnote>
  <w:footnote w:id="2">
    <w:p w14:paraId="08B0E26A" w14:textId="77777777" w:rsidR="006C3740" w:rsidRPr="006C3740" w:rsidRDefault="006C3740" w:rsidP="006C3740">
      <w:pPr>
        <w:pStyle w:val="FootnoteText"/>
        <w:ind w:left="851" w:hanging="851"/>
        <w:rPr>
          <w:sz w:val="24"/>
          <w:szCs w:val="24"/>
          <w:lang w:val="da-DK"/>
        </w:rPr>
      </w:pPr>
      <w:r w:rsidRPr="00AC5B59">
        <w:rPr>
          <w:rStyle w:val="FootnoteReference"/>
          <w:iCs/>
          <w:sz w:val="24"/>
          <w:szCs w:val="24"/>
        </w:rPr>
        <w:footnoteRef/>
      </w:r>
      <w:r w:rsidRPr="006C3740">
        <w:rPr>
          <w:sz w:val="24"/>
          <w:szCs w:val="24"/>
          <w:lang w:val="da-DK"/>
        </w:rPr>
        <w:tab/>
        <w:t>EUT L 45 af 17.2.2018, s. 46, ELI: </w:t>
      </w:r>
      <w:hyperlink r:id="rId2" w:tooltip="Giver adgang til dokumentet via dets ELI-URI." w:history="1">
        <w:r w:rsidRPr="006C3740">
          <w:rPr>
            <w:rStyle w:val="Hyperlink"/>
            <w:sz w:val="24"/>
            <w:szCs w:val="24"/>
            <w:lang w:val="da-DK"/>
          </w:rPr>
          <w:t>http://data.europa.eu/eli/agree_interinstit/2018/217/oj</w:t>
        </w:r>
      </w:hyperlink>
      <w:r w:rsidRPr="006C3740">
        <w:rPr>
          <w:sz w:val="24"/>
          <w:szCs w:val="24"/>
          <w:lang w:val="da-DK"/>
        </w:rPr>
        <w:t>.</w:t>
      </w:r>
    </w:p>
  </w:footnote>
  <w:footnote w:id="3">
    <w:p w14:paraId="04EABF0C" w14:textId="77777777" w:rsidR="006C3740" w:rsidRPr="009A1EF4" w:rsidRDefault="006C3740" w:rsidP="006C3740">
      <w:pPr>
        <w:pStyle w:val="FootnoteText"/>
        <w:ind w:left="851" w:hanging="851"/>
        <w:rPr>
          <w:sz w:val="24"/>
          <w:szCs w:val="24"/>
          <w:lang w:val="fi-FI"/>
        </w:rPr>
      </w:pPr>
      <w:r w:rsidRPr="0049324C">
        <w:rPr>
          <w:rStyle w:val="FootnoteReference"/>
          <w:sz w:val="24"/>
          <w:szCs w:val="24"/>
        </w:rPr>
        <w:footnoteRef/>
      </w:r>
      <w:r w:rsidRPr="009A1EF4">
        <w:rPr>
          <w:sz w:val="24"/>
          <w:lang w:val="fi-FI"/>
        </w:rPr>
        <w:tab/>
        <w:t>EUT C 65 af 21.2.2018, s. 7.</w:t>
      </w:r>
    </w:p>
  </w:footnote>
  <w:footnote w:id="4">
    <w:p w14:paraId="33E17789" w14:textId="77777777" w:rsidR="00BC2B53" w:rsidRPr="006C3740" w:rsidRDefault="00BC2B53" w:rsidP="00BC2B53">
      <w:pPr>
        <w:pStyle w:val="FootnoteText"/>
        <w:ind w:left="851" w:hanging="851"/>
        <w:rPr>
          <w:b/>
          <w:i/>
          <w:sz w:val="24"/>
          <w:szCs w:val="24"/>
          <w:lang w:val="da-DK"/>
        </w:rPr>
      </w:pPr>
      <w:r w:rsidRPr="006C3740">
        <w:rPr>
          <w:rStyle w:val="FootnoteReference"/>
          <w:sz w:val="24"/>
          <w:szCs w:val="24"/>
        </w:rPr>
        <w:footnoteRef/>
      </w:r>
      <w:r w:rsidRPr="006C3740">
        <w:rPr>
          <w:sz w:val="24"/>
          <w:lang w:val="da-DK"/>
        </w:rPr>
        <w:tab/>
        <w:t>EUT L 123 af 12.5.2016, s. 1., ELI: </w:t>
      </w:r>
      <w:hyperlink r:id="rId3" w:tooltip="Giver adgang til dokumentet via dets ELI-URI." w:history="1">
        <w:r w:rsidRPr="006C3740">
          <w:rPr>
            <w:rStyle w:val="Hyperlink"/>
            <w:sz w:val="24"/>
            <w:lang w:val="da-DK"/>
          </w:rPr>
          <w:t>http://data.europa.eu/eli/agree_interinstit/2016/512/oj</w:t>
        </w:r>
      </w:hyperlink>
      <w:r w:rsidRPr="006C3740">
        <w:rPr>
          <w:sz w:val="24"/>
          <w:lang w:val="da-DK"/>
        </w:rPr>
        <w:t>.</w:t>
      </w:r>
    </w:p>
  </w:footnote>
  <w:footnote w:id="5">
    <w:p w14:paraId="3CAFEE3A" w14:textId="6BB37F76" w:rsidR="006C3740" w:rsidRPr="009A1EF4" w:rsidRDefault="006C3740" w:rsidP="006C3740">
      <w:pPr>
        <w:pStyle w:val="FootnoteText"/>
        <w:ind w:left="851" w:hanging="851"/>
        <w:rPr>
          <w:b/>
          <w:bCs/>
          <w:sz w:val="24"/>
          <w:szCs w:val="24"/>
          <w:lang w:val="fi-FI"/>
        </w:rPr>
      </w:pPr>
      <w:r w:rsidRPr="0049324C">
        <w:rPr>
          <w:rStyle w:val="FootnoteReference"/>
          <w:sz w:val="24"/>
          <w:szCs w:val="24"/>
        </w:rPr>
        <w:footnoteRef/>
      </w:r>
      <w:r w:rsidRPr="009A1EF4">
        <w:rPr>
          <w:b/>
          <w:sz w:val="24"/>
          <w:lang w:val="fi-FI"/>
        </w:rPr>
        <w:tab/>
      </w:r>
      <w:r w:rsidRPr="009A1EF4">
        <w:rPr>
          <w:sz w:val="24"/>
          <w:lang w:val="fi-FI"/>
        </w:rPr>
        <w:t xml:space="preserve">EUT L, 2024/2509, 26.9.2024, ELI: </w:t>
      </w:r>
      <w:hyperlink r:id="rId4" w:history="1">
        <w:r w:rsidRPr="009A1EF4">
          <w:rPr>
            <w:rStyle w:val="Hyperlink"/>
            <w:sz w:val="24"/>
            <w:lang w:val="fi-FI"/>
          </w:rPr>
          <w:t>http://data.europa.eu/eli/reg/2024/2509/oj</w:t>
        </w:r>
      </w:hyperlink>
      <w:r w:rsidRPr="009A1EF4">
        <w:rPr>
          <w:sz w:val="24"/>
          <w:lang w:val="fi-FI"/>
        </w:rPr>
        <w:t>.</w:t>
      </w:r>
    </w:p>
  </w:footnote>
  <w:footnote w:id="6">
    <w:p w14:paraId="4452E9C2" w14:textId="77777777" w:rsidR="006C3740" w:rsidRPr="006C3740" w:rsidRDefault="006C3740" w:rsidP="006C3740">
      <w:pPr>
        <w:pStyle w:val="FootnoteText"/>
        <w:ind w:left="851" w:hanging="851"/>
        <w:rPr>
          <w:b/>
          <w:bCs/>
          <w:i/>
          <w:iCs/>
          <w:sz w:val="24"/>
          <w:szCs w:val="24"/>
          <w:lang w:val="da-DK"/>
        </w:rPr>
      </w:pPr>
      <w:r w:rsidRPr="0049324C">
        <w:rPr>
          <w:rStyle w:val="FootnoteReference"/>
          <w:sz w:val="24"/>
          <w:szCs w:val="24"/>
        </w:rPr>
        <w:footnoteRef/>
      </w:r>
      <w:r w:rsidRPr="006C3740">
        <w:rPr>
          <w:b/>
          <w:i/>
          <w:sz w:val="24"/>
          <w:lang w:val="da-DK"/>
        </w:rPr>
        <w:tab/>
      </w:r>
      <w:r w:rsidRPr="006C3740">
        <w:rPr>
          <w:sz w:val="24"/>
          <w:lang w:val="da-DK"/>
        </w:rPr>
        <w:t>EUT C 444 I af 22.12.2020, s. 5.</w:t>
      </w:r>
    </w:p>
  </w:footnote>
  <w:footnote w:id="7">
    <w:p w14:paraId="62857899" w14:textId="77777777" w:rsidR="006C3740" w:rsidRPr="000853E3" w:rsidRDefault="006C3740" w:rsidP="006C3740">
      <w:pPr>
        <w:ind w:left="851" w:hanging="851"/>
      </w:pPr>
      <w:r w:rsidRPr="000853E3">
        <w:rPr>
          <w:rStyle w:val="FootnoteReference"/>
        </w:rPr>
        <w:footnoteRef/>
      </w:r>
      <w:r w:rsidRPr="000853E3">
        <w:t xml:space="preserve"> </w:t>
      </w:r>
      <w:r w:rsidRPr="000853E3">
        <w:tab/>
        <w:t xml:space="preserve">De oplysninger, der skal gives til Parlamentet vedrørende arbejdet i </w:t>
      </w:r>
      <w:proofErr w:type="spellStart"/>
      <w:r w:rsidRPr="000853E3">
        <w:t>komitologiudvalgene</w:t>
      </w:r>
      <w:proofErr w:type="spellEnd"/>
      <w:r w:rsidRPr="000853E3">
        <w:t xml:space="preserve">, og Parlamentets prærogativer i forbindelse med udvalgsprocedurerne, er klart fastlagt i andre retsakter: 1) Europa-Parlamentets og Rådets forordning (EU) nr. 182/2011 af 16. februar 2011 om de generelle regler og principper for, hvordan medlemsstaterne skal kontrollere Kommissionens udøvelse af gennemførelsesbeføjelser (EUT L 55 af 28.2.2011, s. 13, ELI: </w:t>
      </w:r>
      <w:hyperlink r:id="rId5" w:tooltip="Giver adgang til dokumentet via dets ELI-URI." w:history="1">
        <w:r w:rsidRPr="000853E3">
          <w:rPr>
            <w:rStyle w:val="Hyperlink"/>
          </w:rPr>
          <w:t>http://data.europa.eu/eli/reg/2011/182/oj</w:t>
        </w:r>
      </w:hyperlink>
      <w:r w:rsidRPr="000853E3">
        <w:t>), 2) den interinstitutionelle aftale af 3. juni 2008 mellem Parlamentet og Kommissionen om komitologiprocedurerne (EUT C 143 af 10.6.2008, s. 1) og 3) de nødvendige retsakter til gennemførelse af artikel 291 TEUF.</w:t>
      </w:r>
    </w:p>
  </w:footnote>
  <w:footnote w:id="8">
    <w:p w14:paraId="3570797F" w14:textId="77777777" w:rsidR="006C3740" w:rsidRPr="006C3740" w:rsidRDefault="006C3740" w:rsidP="006C3740">
      <w:pPr>
        <w:pStyle w:val="FootnoteText"/>
        <w:tabs>
          <w:tab w:val="left" w:pos="851"/>
        </w:tabs>
        <w:ind w:left="851" w:hanging="851"/>
        <w:rPr>
          <w:sz w:val="24"/>
          <w:szCs w:val="24"/>
          <w:lang w:val="da-DK"/>
        </w:rPr>
      </w:pPr>
      <w:r w:rsidRPr="00B64243">
        <w:rPr>
          <w:rStyle w:val="FootnoteReference"/>
          <w:sz w:val="24"/>
          <w:szCs w:val="24"/>
        </w:rPr>
        <w:footnoteRef/>
      </w:r>
      <w:r w:rsidRPr="006C3740">
        <w:rPr>
          <w:sz w:val="24"/>
          <w:lang w:val="da-DK"/>
        </w:rPr>
        <w:t xml:space="preserve"> </w:t>
      </w:r>
      <w:r w:rsidRPr="006C3740">
        <w:rPr>
          <w:sz w:val="24"/>
          <w:lang w:val="da-DK"/>
        </w:rPr>
        <w:tab/>
        <w:t>EFT L 113 af 19.5.1995, s. 1, ELI: </w:t>
      </w:r>
      <w:hyperlink r:id="rId6" w:tooltip="Giver adgang til dokumentet via dets ELI-URI." w:history="1">
        <w:r w:rsidRPr="006C3740">
          <w:rPr>
            <w:rStyle w:val="Hyperlink"/>
            <w:sz w:val="24"/>
            <w:lang w:val="da-DK"/>
          </w:rPr>
          <w:t>http://data.europa.eu/eli/dec/1995/167/oj</w:t>
        </w:r>
      </w:hyperlink>
      <w:r w:rsidRPr="006C3740">
        <w:rPr>
          <w:sz w:val="24"/>
          <w:lang w:val="da-DK"/>
        </w:rPr>
        <w:t>.</w:t>
      </w:r>
    </w:p>
  </w:footnote>
  <w:footnote w:id="9">
    <w:p w14:paraId="36F1D6E7" w14:textId="30FB6E2E" w:rsidR="006C3740" w:rsidRPr="006C3740" w:rsidRDefault="006C3740" w:rsidP="006C3740">
      <w:pPr>
        <w:pStyle w:val="FootnoteText"/>
        <w:tabs>
          <w:tab w:val="left" w:pos="851"/>
        </w:tabs>
        <w:ind w:left="851" w:hanging="851"/>
        <w:rPr>
          <w:lang w:val="da-DK"/>
        </w:rPr>
      </w:pPr>
      <w:r w:rsidRPr="00B64243">
        <w:rPr>
          <w:rStyle w:val="FootnoteReference"/>
          <w:sz w:val="24"/>
          <w:szCs w:val="24"/>
        </w:rPr>
        <w:footnoteRef/>
      </w:r>
      <w:r w:rsidRPr="006C3740">
        <w:rPr>
          <w:sz w:val="24"/>
          <w:lang w:val="da-DK"/>
        </w:rPr>
        <w:t xml:space="preserve"> </w:t>
      </w:r>
      <w:r w:rsidRPr="006C3740">
        <w:rPr>
          <w:sz w:val="24"/>
          <w:lang w:val="da-DK"/>
        </w:rPr>
        <w:tab/>
        <w:t xml:space="preserve">EFT L 136 af </w:t>
      </w:r>
      <w:r w:rsidR="00981DB9">
        <w:rPr>
          <w:sz w:val="24"/>
          <w:lang w:val="da-DK"/>
        </w:rPr>
        <w:t>31.5</w:t>
      </w:r>
      <w:r w:rsidRPr="006C3740">
        <w:rPr>
          <w:sz w:val="24"/>
          <w:lang w:val="da-DK"/>
        </w:rPr>
        <w:t>.1999, s. 20, ELI: </w:t>
      </w:r>
      <w:hyperlink r:id="rId7" w:tooltip="Giver adgang til dokumentet via dets ELI-URI." w:history="1">
        <w:r w:rsidRPr="006C3740">
          <w:rPr>
            <w:rStyle w:val="Hyperlink"/>
            <w:sz w:val="24"/>
            <w:lang w:val="da-DK"/>
          </w:rPr>
          <w:t>http://data.europa.eu/eli/dec/1999/352/oj</w:t>
        </w:r>
      </w:hyperlink>
      <w:r w:rsidRPr="006C3740">
        <w:rPr>
          <w:sz w:val="24"/>
          <w:lang w:val="da-DK"/>
        </w:rPr>
        <w:t>.</w:t>
      </w:r>
    </w:p>
  </w:footnote>
  <w:footnote w:id="10">
    <w:p w14:paraId="76CE269E" w14:textId="77777777" w:rsidR="006C3740" w:rsidRPr="006C3740" w:rsidRDefault="006C3740" w:rsidP="006C3740">
      <w:pPr>
        <w:pStyle w:val="FootnoteText"/>
        <w:ind w:left="851" w:hanging="851"/>
        <w:rPr>
          <w:bCs/>
          <w:iCs/>
          <w:sz w:val="24"/>
          <w:szCs w:val="24"/>
          <w:lang w:val="da-DK"/>
        </w:rPr>
      </w:pPr>
      <w:r w:rsidRPr="00373C00">
        <w:rPr>
          <w:rStyle w:val="FootnoteReference"/>
          <w:sz w:val="24"/>
          <w:szCs w:val="24"/>
        </w:rPr>
        <w:footnoteRef/>
      </w:r>
      <w:r w:rsidRPr="006C3740">
        <w:rPr>
          <w:sz w:val="24"/>
          <w:szCs w:val="24"/>
          <w:lang w:val="da-DK"/>
        </w:rPr>
        <w:t xml:space="preserve"> </w:t>
      </w:r>
      <w:r w:rsidRPr="006C3740">
        <w:rPr>
          <w:sz w:val="24"/>
          <w:szCs w:val="24"/>
          <w:lang w:val="da-DK"/>
        </w:rPr>
        <w:tab/>
        <w:t>Vedtægten for tjenestemænd i den Europæiske Union og ansættelsesvilkårene for de øvrige ansatte i Unionen, fastsat ved Rådets forordning (EØF, Euratom, EKSF) nr. 259/68 (EFT L 56 af 4.3.1968, s. 1, ELI: </w:t>
      </w:r>
      <w:hyperlink r:id="rId8" w:tooltip="Giver adgang til dokumentet via dets ELI-URI." w:history="1">
        <w:r w:rsidRPr="006C3740">
          <w:rPr>
            <w:rStyle w:val="Hyperlink"/>
            <w:sz w:val="24"/>
            <w:szCs w:val="24"/>
            <w:lang w:val="da-DK"/>
          </w:rPr>
          <w:t>http://data.europa.eu/eli/reg/1968/259(1)/oj</w:t>
        </w:r>
      </w:hyperlink>
      <w:r w:rsidRPr="006C3740">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59CC8" w14:textId="77777777" w:rsidR="009D5C32" w:rsidRPr="006205DF" w:rsidRDefault="009D5C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CC202" w14:textId="77777777" w:rsidR="009D5C32" w:rsidRPr="006205DF" w:rsidRDefault="009D5C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0E90B" w14:textId="77777777" w:rsidR="009D5C32" w:rsidRPr="006205DF" w:rsidRDefault="009D5C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C7F45" w14:textId="77777777" w:rsidR="006C3740" w:rsidRDefault="006C37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28F6F" w14:textId="77777777" w:rsidR="006C3740" w:rsidRDefault="006C374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D66A" w14:textId="77777777" w:rsidR="006C3740" w:rsidRDefault="006C37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AF185" w14:textId="77777777" w:rsidR="00064002" w:rsidRPr="006205DF" w:rsidRDefault="0006400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3BB7D" w14:textId="77777777" w:rsidR="00064002" w:rsidRPr="006205DF" w:rsidRDefault="0006400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69EC6" w14:textId="77777777" w:rsidR="00064002" w:rsidRPr="006205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1377961">
    <w:abstractNumId w:val="9"/>
  </w:num>
  <w:num w:numId="2" w16cid:durableId="1241719831">
    <w:abstractNumId w:val="9"/>
  </w:num>
  <w:num w:numId="3" w16cid:durableId="1357543138">
    <w:abstractNumId w:val="7"/>
  </w:num>
  <w:num w:numId="4" w16cid:durableId="1214929812">
    <w:abstractNumId w:val="7"/>
  </w:num>
  <w:num w:numId="5" w16cid:durableId="1136340027">
    <w:abstractNumId w:val="6"/>
  </w:num>
  <w:num w:numId="6" w16cid:durableId="485514838">
    <w:abstractNumId w:val="6"/>
  </w:num>
  <w:num w:numId="7" w16cid:durableId="1330982428">
    <w:abstractNumId w:val="5"/>
  </w:num>
  <w:num w:numId="8" w16cid:durableId="868686074">
    <w:abstractNumId w:val="5"/>
  </w:num>
  <w:num w:numId="9" w16cid:durableId="230044970">
    <w:abstractNumId w:val="4"/>
  </w:num>
  <w:num w:numId="10" w16cid:durableId="355623799">
    <w:abstractNumId w:val="4"/>
  </w:num>
  <w:num w:numId="11" w16cid:durableId="1966543991">
    <w:abstractNumId w:val="8"/>
  </w:num>
  <w:num w:numId="12" w16cid:durableId="441071030">
    <w:abstractNumId w:val="8"/>
  </w:num>
  <w:num w:numId="13" w16cid:durableId="1862164059">
    <w:abstractNumId w:val="3"/>
  </w:num>
  <w:num w:numId="14" w16cid:durableId="485826385">
    <w:abstractNumId w:val="3"/>
  </w:num>
  <w:num w:numId="15" w16cid:durableId="1262447938">
    <w:abstractNumId w:val="2"/>
  </w:num>
  <w:num w:numId="16" w16cid:durableId="1147817782">
    <w:abstractNumId w:val="2"/>
  </w:num>
  <w:num w:numId="17" w16cid:durableId="732238280">
    <w:abstractNumId w:val="1"/>
  </w:num>
  <w:num w:numId="18" w16cid:durableId="281965584">
    <w:abstractNumId w:val="1"/>
  </w:num>
  <w:num w:numId="19" w16cid:durableId="205140453">
    <w:abstractNumId w:val="0"/>
  </w:num>
  <w:num w:numId="20" w16cid:durableId="990791330">
    <w:abstractNumId w:val="0"/>
  </w:num>
  <w:num w:numId="21" w16cid:durableId="1257595382">
    <w:abstractNumId w:val="9"/>
  </w:num>
  <w:num w:numId="22" w16cid:durableId="685713771">
    <w:abstractNumId w:val="7"/>
  </w:num>
  <w:num w:numId="23" w16cid:durableId="1222521551">
    <w:abstractNumId w:val="6"/>
  </w:num>
  <w:num w:numId="24" w16cid:durableId="1311834878">
    <w:abstractNumId w:val="5"/>
  </w:num>
  <w:num w:numId="25" w16cid:durableId="121267357">
    <w:abstractNumId w:val="4"/>
  </w:num>
  <w:num w:numId="26" w16cid:durableId="849681390">
    <w:abstractNumId w:val="8"/>
  </w:num>
  <w:num w:numId="27" w16cid:durableId="1641956626">
    <w:abstractNumId w:val="3"/>
  </w:num>
  <w:num w:numId="28" w16cid:durableId="430123599">
    <w:abstractNumId w:val="2"/>
  </w:num>
  <w:num w:numId="29" w16cid:durableId="1128164645">
    <w:abstractNumId w:val="1"/>
  </w:num>
  <w:num w:numId="30" w16cid:durableId="2058506573">
    <w:abstractNumId w:val="0"/>
  </w:num>
  <w:num w:numId="31" w16cid:durableId="1181432074">
    <w:abstractNumId w:val="9"/>
  </w:num>
  <w:num w:numId="32" w16cid:durableId="590311404">
    <w:abstractNumId w:val="7"/>
  </w:num>
  <w:num w:numId="33" w16cid:durableId="132018361">
    <w:abstractNumId w:val="6"/>
  </w:num>
  <w:num w:numId="34" w16cid:durableId="1582835133">
    <w:abstractNumId w:val="5"/>
  </w:num>
  <w:num w:numId="35" w16cid:durableId="1087575212">
    <w:abstractNumId w:val="4"/>
  </w:num>
  <w:num w:numId="36" w16cid:durableId="319768561">
    <w:abstractNumId w:val="8"/>
  </w:num>
  <w:num w:numId="37" w16cid:durableId="1802113090">
    <w:abstractNumId w:val="3"/>
  </w:num>
  <w:num w:numId="38" w16cid:durableId="300381331">
    <w:abstractNumId w:val="2"/>
  </w:num>
  <w:num w:numId="39" w16cid:durableId="1840540356">
    <w:abstractNumId w:val="1"/>
  </w:num>
  <w:num w:numId="40" w16cid:durableId="1742365028">
    <w:abstractNumId w:val="0"/>
  </w:num>
  <w:num w:numId="41" w16cid:durableId="179399187">
    <w:abstractNumId w:val="10"/>
  </w:num>
  <w:num w:numId="42" w16cid:durableId="809981934">
    <w:abstractNumId w:val="10"/>
  </w:num>
  <w:num w:numId="43" w16cid:durableId="1674916488">
    <w:abstractNumId w:val="10"/>
  </w:num>
  <w:num w:numId="44" w16cid:durableId="1336484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DA"/>
    <w:docVar w:name="dvnumam" w:val="0"/>
    <w:docVar w:name="dvpe" w:val="781.475"/>
    <w:docVar w:name="dvrapporteur" w:val="Ordfører: "/>
    <w:docVar w:name="dvtitre" w:val="Europa-Parlamentets afgørelse af xx.xx 2026 om revisionen af rammeaftalen om forbindelserne mellem Europa-Parlamentet og Europa-Kommissionen(2025/2243(ACI))"/>
  </w:docVars>
  <w:rsids>
    <w:rsidRoot w:val="00340682"/>
    <w:rsid w:val="00002272"/>
    <w:rsid w:val="00064002"/>
    <w:rsid w:val="000677B9"/>
    <w:rsid w:val="000831BA"/>
    <w:rsid w:val="000A42CC"/>
    <w:rsid w:val="000E7DD9"/>
    <w:rsid w:val="0010095E"/>
    <w:rsid w:val="00125B37"/>
    <w:rsid w:val="00145CAF"/>
    <w:rsid w:val="00182EB9"/>
    <w:rsid w:val="00187494"/>
    <w:rsid w:val="001F32AE"/>
    <w:rsid w:val="002767FF"/>
    <w:rsid w:val="002B18FE"/>
    <w:rsid w:val="002B5493"/>
    <w:rsid w:val="00340682"/>
    <w:rsid w:val="00343214"/>
    <w:rsid w:val="00361C00"/>
    <w:rsid w:val="00395FA1"/>
    <w:rsid w:val="003A4B5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05DF"/>
    <w:rsid w:val="00652507"/>
    <w:rsid w:val="006631B6"/>
    <w:rsid w:val="00680577"/>
    <w:rsid w:val="006C3740"/>
    <w:rsid w:val="006F74FA"/>
    <w:rsid w:val="00710D92"/>
    <w:rsid w:val="00723E45"/>
    <w:rsid w:val="00731ADD"/>
    <w:rsid w:val="00734777"/>
    <w:rsid w:val="00747932"/>
    <w:rsid w:val="00751A4A"/>
    <w:rsid w:val="00756632"/>
    <w:rsid w:val="00762C74"/>
    <w:rsid w:val="00786EC0"/>
    <w:rsid w:val="007B60A5"/>
    <w:rsid w:val="007D1690"/>
    <w:rsid w:val="007E22AD"/>
    <w:rsid w:val="00817416"/>
    <w:rsid w:val="00842779"/>
    <w:rsid w:val="0085270B"/>
    <w:rsid w:val="00865F67"/>
    <w:rsid w:val="00881A7B"/>
    <w:rsid w:val="008840E5"/>
    <w:rsid w:val="00887B3E"/>
    <w:rsid w:val="008C2AC6"/>
    <w:rsid w:val="00910007"/>
    <w:rsid w:val="00930C23"/>
    <w:rsid w:val="0093193B"/>
    <w:rsid w:val="009509D8"/>
    <w:rsid w:val="00950B64"/>
    <w:rsid w:val="0095103B"/>
    <w:rsid w:val="00974A41"/>
    <w:rsid w:val="00981893"/>
    <w:rsid w:val="00981DB9"/>
    <w:rsid w:val="009D5C32"/>
    <w:rsid w:val="00A1687D"/>
    <w:rsid w:val="00A43E52"/>
    <w:rsid w:val="00A4678D"/>
    <w:rsid w:val="00A778C7"/>
    <w:rsid w:val="00AB441E"/>
    <w:rsid w:val="00AB6293"/>
    <w:rsid w:val="00AE0928"/>
    <w:rsid w:val="00AF3B82"/>
    <w:rsid w:val="00B12E95"/>
    <w:rsid w:val="00B1481C"/>
    <w:rsid w:val="00B22876"/>
    <w:rsid w:val="00B558F0"/>
    <w:rsid w:val="00BC2B53"/>
    <w:rsid w:val="00BD48FE"/>
    <w:rsid w:val="00BD7BD8"/>
    <w:rsid w:val="00BE6ADC"/>
    <w:rsid w:val="00C05BFE"/>
    <w:rsid w:val="00C23CD4"/>
    <w:rsid w:val="00C61C0C"/>
    <w:rsid w:val="00C941CB"/>
    <w:rsid w:val="00CC2357"/>
    <w:rsid w:val="00CD734F"/>
    <w:rsid w:val="00CF071A"/>
    <w:rsid w:val="00D00894"/>
    <w:rsid w:val="00D058B8"/>
    <w:rsid w:val="00D33F9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26091674"/>
  <w15:chartTrackingRefBased/>
  <w15:docId w15:val="{3B18F935-B3F9-446E-B354-62721377F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Appel note de bas de p,BVI fnr,Footnote,Footnote symbol,Nota"/>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D5C3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D5C32"/>
    <w:pPr>
      <w:keepNext/>
      <w:spacing w:after="480"/>
      <w:jc w:val="center"/>
    </w:pPr>
    <w:rPr>
      <w:rFonts w:ascii="Arial" w:hAnsi="Arial" w:cs="Arial"/>
      <w:b/>
    </w:rPr>
  </w:style>
  <w:style w:type="paragraph" w:customStyle="1" w:styleId="NormalHanging12a">
    <w:name w:val="NormalHanging12a"/>
    <w:basedOn w:val="Normal"/>
    <w:link w:val="NormalHanging12aChar"/>
    <w:rsid w:val="009D5C32"/>
    <w:pPr>
      <w:spacing w:after="240"/>
      <w:ind w:left="567" w:hanging="567"/>
    </w:pPr>
  </w:style>
  <w:style w:type="paragraph" w:styleId="Header">
    <w:name w:val="header"/>
    <w:basedOn w:val="Normal"/>
    <w:link w:val="HeaderChar"/>
    <w:uiPriority w:val="99"/>
    <w:rsid w:val="009D5C32"/>
    <w:pPr>
      <w:tabs>
        <w:tab w:val="center" w:pos="4513"/>
        <w:tab w:val="right" w:pos="9026"/>
      </w:tabs>
    </w:pPr>
  </w:style>
  <w:style w:type="character" w:customStyle="1" w:styleId="HeaderChar">
    <w:name w:val="Header Char"/>
    <w:basedOn w:val="DefaultParagraphFont"/>
    <w:link w:val="Header"/>
    <w:uiPriority w:val="99"/>
    <w:rsid w:val="009D5C32"/>
    <w:rPr>
      <w:sz w:val="24"/>
      <w:lang w:val="da-DK"/>
    </w:rPr>
  </w:style>
  <w:style w:type="paragraph" w:customStyle="1" w:styleId="EPFooter">
    <w:name w:val="EPFooter"/>
    <w:basedOn w:val="Normal"/>
    <w:rsid w:val="009D5C32"/>
    <w:pPr>
      <w:tabs>
        <w:tab w:val="center" w:pos="4535"/>
        <w:tab w:val="right" w:pos="9071"/>
      </w:tabs>
      <w:spacing w:before="240" w:after="240"/>
    </w:pPr>
    <w:rPr>
      <w:color w:val="010000"/>
      <w:sz w:val="22"/>
    </w:rPr>
  </w:style>
  <w:style w:type="paragraph" w:customStyle="1" w:styleId="EPComma">
    <w:name w:val="EPComma"/>
    <w:basedOn w:val="Normal"/>
    <w:rsid w:val="009D5C32"/>
    <w:pPr>
      <w:spacing w:before="480" w:after="240"/>
    </w:pPr>
  </w:style>
  <w:style w:type="character" w:styleId="Hyperlink">
    <w:name w:val="Hyperlink"/>
    <w:basedOn w:val="DefaultParagraphFont"/>
    <w:uiPriority w:val="99"/>
    <w:unhideWhenUsed/>
    <w:rsid w:val="009D5C32"/>
    <w:rPr>
      <w:color w:val="0563C1" w:themeColor="hyperlink"/>
      <w:u w:val="single"/>
    </w:rPr>
  </w:style>
  <w:style w:type="character" w:customStyle="1" w:styleId="normaltextrun">
    <w:name w:val="normaltextrun"/>
    <w:basedOn w:val="DefaultParagraphFont"/>
    <w:rsid w:val="009D5C32"/>
  </w:style>
  <w:style w:type="character" w:customStyle="1" w:styleId="NormalHanging12aChar">
    <w:name w:val="NormalHanging12a Char"/>
    <w:basedOn w:val="DefaultParagraphFont"/>
    <w:link w:val="NormalHanging12a"/>
    <w:rsid w:val="009D5C32"/>
    <w:rPr>
      <w:sz w:val="24"/>
      <w:lang w:val="da-DK"/>
    </w:rPr>
  </w:style>
  <w:style w:type="character" w:styleId="Strong">
    <w:name w:val="Strong"/>
    <w:basedOn w:val="DefaultParagraphFont"/>
    <w:uiPriority w:val="22"/>
    <w:qFormat/>
    <w:rsid w:val="009D5C32"/>
    <w:rPr>
      <w:b/>
      <w:bCs/>
    </w:rPr>
  </w:style>
  <w:style w:type="paragraph" w:styleId="Revision">
    <w:name w:val="Revision"/>
    <w:hidden/>
    <w:uiPriority w:val="99"/>
    <w:semiHidden/>
    <w:rsid w:val="00D33F92"/>
    <w:rPr>
      <w:sz w:val="24"/>
      <w:lang w:val="da-DK"/>
    </w:rPr>
  </w:style>
  <w:style w:type="character" w:styleId="CommentReference">
    <w:name w:val="annotation reference"/>
    <w:basedOn w:val="DefaultParagraphFont"/>
    <w:rsid w:val="003A4B53"/>
    <w:rPr>
      <w:sz w:val="16"/>
      <w:szCs w:val="16"/>
    </w:rPr>
  </w:style>
  <w:style w:type="paragraph" w:styleId="CommentText">
    <w:name w:val="annotation text"/>
    <w:basedOn w:val="Normal"/>
    <w:link w:val="CommentTextChar"/>
    <w:rsid w:val="003A4B53"/>
    <w:rPr>
      <w:sz w:val="20"/>
    </w:rPr>
  </w:style>
  <w:style w:type="character" w:customStyle="1" w:styleId="CommentTextChar">
    <w:name w:val="Comment Text Char"/>
    <w:basedOn w:val="DefaultParagraphFont"/>
    <w:link w:val="CommentText"/>
    <w:rsid w:val="003A4B53"/>
    <w:rPr>
      <w:lang w:val="da-DK"/>
    </w:rPr>
  </w:style>
  <w:style w:type="paragraph" w:styleId="CommentSubject">
    <w:name w:val="annotation subject"/>
    <w:basedOn w:val="CommentText"/>
    <w:next w:val="CommentText"/>
    <w:link w:val="CommentSubjectChar"/>
    <w:rsid w:val="003A4B53"/>
    <w:rPr>
      <w:b/>
      <w:bCs/>
    </w:rPr>
  </w:style>
  <w:style w:type="character" w:customStyle="1" w:styleId="CommentSubjectChar">
    <w:name w:val="Comment Subject Char"/>
    <w:basedOn w:val="CommentTextChar"/>
    <w:link w:val="CommentSubject"/>
    <w:rsid w:val="003A4B53"/>
    <w:rPr>
      <w:b/>
      <w:bCs/>
      <w:lang w:val="da-DK"/>
    </w:rPr>
  </w:style>
  <w:style w:type="paragraph" w:styleId="Footer">
    <w:name w:val="footer"/>
    <w:basedOn w:val="Normal"/>
    <w:link w:val="FooterChar"/>
    <w:uiPriority w:val="99"/>
    <w:rsid w:val="003A4B53"/>
    <w:pPr>
      <w:tabs>
        <w:tab w:val="center" w:pos="4513"/>
        <w:tab w:val="right" w:pos="9026"/>
      </w:tabs>
    </w:pPr>
  </w:style>
  <w:style w:type="character" w:customStyle="1" w:styleId="FooterChar">
    <w:name w:val="Footer Char"/>
    <w:basedOn w:val="DefaultParagraphFont"/>
    <w:link w:val="Footer"/>
    <w:uiPriority w:val="99"/>
    <w:rsid w:val="003A4B53"/>
    <w:rPr>
      <w:sz w:val="24"/>
      <w:lang w:val="da-DK"/>
    </w:rPr>
  </w:style>
  <w:style w:type="character" w:styleId="FollowedHyperlink">
    <w:name w:val="FollowedHyperlink"/>
    <w:basedOn w:val="DefaultParagraphFont"/>
    <w:rsid w:val="00981D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10439</Words>
  <Characters>68401</Characters>
  <Application>Microsoft Office Word</Application>
  <DocSecurity>4</DocSecurity>
  <Lines>570</Lines>
  <Paragraphs>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ILLY_D</cp:lastModifiedBy>
  <cp:revision>2</cp:revision>
  <cp:lastPrinted>2004-11-19T15:42:00Z</cp:lastPrinted>
  <dcterms:created xsi:type="dcterms:W3CDTF">2026-06-08T16:22:00Z</dcterms:created>
  <dcterms:modified xsi:type="dcterms:W3CDTF">2026-06-08T16:22:00Z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P10_TA(2026)0069_</vt:lpwstr>
  </property>
  <property fmtid="{D5CDD505-2E9C-101B-9397-08002B2CF9AE}" pid="4" name="&lt;Type&gt;">
    <vt:lpwstr>RR</vt:lpwstr>
  </property>
</Properties>
</file>