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1725" w14:paraId="2FBC45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92D0E4" w14:textId="6BA7C1E6" w:rsidR="00751A4A" w:rsidRPr="00F01725" w:rsidRDefault="00276AEC" w:rsidP="0010095E">
            <w:pPr>
              <w:pStyle w:val="EPName"/>
            </w:pPr>
            <w:r w:rsidRPr="00F01725">
              <w:t>Европейски</w:t>
            </w:r>
            <w:r w:rsidR="00905F08" w:rsidRPr="00F01725">
              <w:t xml:space="preserve"> парламент</w:t>
            </w:r>
          </w:p>
          <w:p w14:paraId="3C648A7A" w14:textId="6DECF07B" w:rsidR="00751A4A" w:rsidRPr="00F017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1725">
              <w:t>2024</w:t>
            </w:r>
            <w:r w:rsidR="00276AEC">
              <w:rPr>
                <w:lang w:val="en-GB"/>
              </w:rPr>
              <w:t> – </w:t>
            </w:r>
            <w:r w:rsidR="00817416" w:rsidRPr="00F01725">
              <w:t>202</w:t>
            </w:r>
            <w:r w:rsidRPr="00F01725">
              <w:t>9</w:t>
            </w:r>
          </w:p>
        </w:tc>
        <w:tc>
          <w:tcPr>
            <w:tcW w:w="2268" w:type="dxa"/>
            <w:shd w:val="clear" w:color="auto" w:fill="auto"/>
          </w:tcPr>
          <w:p w14:paraId="78214761" w14:textId="77777777" w:rsidR="00751A4A" w:rsidRPr="00F01725" w:rsidRDefault="00187494" w:rsidP="0010095E">
            <w:pPr>
              <w:pStyle w:val="EPLogo"/>
            </w:pPr>
            <w:r w:rsidRPr="00F01725">
              <w:rPr>
                <w:noProof/>
                <w:lang w:eastAsia="ja-JP"/>
              </w:rPr>
              <w:drawing>
                <wp:inline distT="0" distB="0" distL="0" distR="0" wp14:anchorId="2376AA34" wp14:editId="1A6C47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B01F70" w14:textId="77777777" w:rsidR="00D058B8" w:rsidRPr="00F01725" w:rsidRDefault="00D058B8" w:rsidP="004C5D52">
      <w:pPr>
        <w:pStyle w:val="LineTop"/>
      </w:pPr>
    </w:p>
    <w:p w14:paraId="53B2F0FD" w14:textId="77777777" w:rsidR="00680577" w:rsidRPr="00F01725" w:rsidRDefault="00905F08" w:rsidP="00680577">
      <w:pPr>
        <w:pStyle w:val="EPBodyTA1"/>
      </w:pPr>
      <w:r w:rsidRPr="00F01725">
        <w:t>ПРИЕТИ ТЕКСТОВЕ</w:t>
      </w:r>
    </w:p>
    <w:p w14:paraId="12D409EE" w14:textId="77777777" w:rsidR="00D058B8" w:rsidRPr="00F01725" w:rsidRDefault="00D058B8" w:rsidP="00D058B8">
      <w:pPr>
        <w:pStyle w:val="LineBottom"/>
      </w:pPr>
    </w:p>
    <w:p w14:paraId="6B8DB824" w14:textId="1CD72936" w:rsidR="00905F08" w:rsidRPr="005E3EE7" w:rsidRDefault="00905F08" w:rsidP="00905F08">
      <w:pPr>
        <w:pStyle w:val="ATHeading1"/>
        <w:rPr>
          <w:lang w:val="en-GB"/>
        </w:rPr>
      </w:pPr>
      <w:bookmarkStart w:id="0" w:name="TANumber"/>
      <w:r w:rsidRPr="00F01725">
        <w:t>P10_TA(2026)00</w:t>
      </w:r>
      <w:r w:rsidR="005E3EE7">
        <w:rPr>
          <w:lang w:val="en-GB"/>
        </w:rPr>
        <w:t>73</w:t>
      </w:r>
      <w:bookmarkEnd w:id="0"/>
    </w:p>
    <w:p w14:paraId="023BBA73" w14:textId="1DE5CF88" w:rsidR="00905F08" w:rsidRPr="005E3EE7" w:rsidRDefault="00905F08" w:rsidP="00905F08">
      <w:pPr>
        <w:pStyle w:val="ATHeading2"/>
        <w:rPr>
          <w:lang w:val="en-GB"/>
        </w:rPr>
      </w:pPr>
      <w:bookmarkStart w:id="1" w:name="title"/>
      <w:bookmarkStart w:id="2" w:name="_Hlk224127070"/>
      <w:r w:rsidRPr="00F01725">
        <w:t>Мобилизиране на средства от Европейския фонд за приспособяване към глобализацията за съкратени</w:t>
      </w:r>
      <w:r w:rsidR="00276AEC">
        <w:rPr>
          <w:lang w:val="en-GB"/>
        </w:rPr>
        <w:t xml:space="preserve"> </w:t>
      </w:r>
      <w:r w:rsidRPr="00F01725">
        <w:t>работници</w:t>
      </w:r>
      <w:r w:rsidR="00276AEC">
        <w:rPr>
          <w:lang w:val="en-GB"/>
        </w:rPr>
        <w:t>:</w:t>
      </w:r>
      <w:r w:rsidRPr="00F01725">
        <w:t xml:space="preserve"> заявление – EGF/2025/004 BE/</w:t>
      </w:r>
      <w:proofErr w:type="spellStart"/>
      <w:r w:rsidRPr="00F01725">
        <w:t>Tupperware</w:t>
      </w:r>
      <w:bookmarkEnd w:id="1"/>
      <w:proofErr w:type="spellEnd"/>
      <w:r w:rsidR="00276AEC">
        <w:rPr>
          <w:lang w:val="en-GB"/>
        </w:rPr>
        <w:t xml:space="preserve"> – </w:t>
      </w:r>
      <w:r w:rsidR="00276AEC" w:rsidRPr="00F01725">
        <w:t xml:space="preserve">Белгия </w:t>
      </w:r>
    </w:p>
    <w:bookmarkEnd w:id="2"/>
    <w:p w14:paraId="486C738B" w14:textId="77777777" w:rsidR="00905F08" w:rsidRPr="00F01725" w:rsidRDefault="00905F08" w:rsidP="00905F08">
      <w:pPr>
        <w:rPr>
          <w:i/>
          <w:vanish/>
        </w:rPr>
      </w:pPr>
      <w:r w:rsidRPr="00F01725">
        <w:rPr>
          <w:i/>
        </w:rPr>
        <w:fldChar w:fldCharType="begin"/>
      </w:r>
      <w:r w:rsidRPr="00F01725">
        <w:rPr>
          <w:i/>
        </w:rPr>
        <w:instrText xml:space="preserve"> TC"(</w:instrText>
      </w:r>
      <w:bookmarkStart w:id="3" w:name="DocNumber"/>
      <w:r w:rsidRPr="00F01725">
        <w:rPr>
          <w:i/>
        </w:rPr>
        <w:instrText>A10-0030/2026</w:instrText>
      </w:r>
      <w:bookmarkEnd w:id="3"/>
      <w:r w:rsidRPr="00F01725">
        <w:rPr>
          <w:i/>
        </w:rPr>
        <w:instrText xml:space="preserve"> - Докладчик: Жан-Марк Жермен)"\l3 \n&gt; \* MERGEFORMAT </w:instrText>
      </w:r>
      <w:r w:rsidRPr="00F01725">
        <w:rPr>
          <w:i/>
        </w:rPr>
        <w:fldChar w:fldCharType="end"/>
      </w:r>
    </w:p>
    <w:p w14:paraId="039963F5" w14:textId="77777777" w:rsidR="00905F08" w:rsidRPr="00F01725" w:rsidRDefault="00905F08" w:rsidP="00905F08">
      <w:pPr>
        <w:rPr>
          <w:vanish/>
        </w:rPr>
      </w:pPr>
      <w:bookmarkStart w:id="4" w:name="Commission"/>
      <w:r w:rsidRPr="00F01725">
        <w:rPr>
          <w:vanish/>
        </w:rPr>
        <w:t>Комисия по бюджети</w:t>
      </w:r>
      <w:bookmarkEnd w:id="4"/>
    </w:p>
    <w:p w14:paraId="2E9C6AEC" w14:textId="77777777" w:rsidR="00905F08" w:rsidRPr="00F01725" w:rsidRDefault="00905F08" w:rsidP="00905F08">
      <w:pPr>
        <w:rPr>
          <w:vanish/>
        </w:rPr>
      </w:pPr>
      <w:bookmarkStart w:id="5" w:name="PE"/>
      <w:r w:rsidRPr="00F01725">
        <w:rPr>
          <w:vanish/>
        </w:rPr>
        <w:t>PE782.416</w:t>
      </w:r>
      <w:bookmarkEnd w:id="5"/>
    </w:p>
    <w:p w14:paraId="41BEAD10" w14:textId="3B54085E" w:rsidR="00905F08" w:rsidRPr="00F01725" w:rsidRDefault="00905F08" w:rsidP="00905F08">
      <w:pPr>
        <w:pStyle w:val="ATHeading3"/>
      </w:pPr>
      <w:bookmarkStart w:id="6" w:name="Sujet"/>
      <w:r w:rsidRPr="00F01725">
        <w:t xml:space="preserve">Резолюция на Европейския парламент от </w:t>
      </w:r>
      <w:r w:rsidR="00622DC5">
        <w:t>11</w:t>
      </w:r>
      <w:r w:rsidRPr="00F01725">
        <w:t xml:space="preserve"> </w:t>
      </w:r>
      <w:r w:rsidR="00276AEC">
        <w:t xml:space="preserve">март </w:t>
      </w:r>
      <w:r w:rsidRPr="00F01725">
        <w:t>2026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 – EGF/2025/004 BE/</w:t>
      </w:r>
      <w:proofErr w:type="spellStart"/>
      <w:r w:rsidRPr="00F01725">
        <w:t>Tupperware</w:t>
      </w:r>
      <w:proofErr w:type="spellEnd"/>
      <w:r w:rsidRPr="00F01725">
        <w:t xml:space="preserve"> </w:t>
      </w:r>
      <w:bookmarkStart w:id="7" w:name="References"/>
      <w:bookmarkEnd w:id="6"/>
      <w:r w:rsidRPr="00F01725">
        <w:t>(COM(2026)0001 – C10-0012/2026 – 2026/0004(BUD))</w:t>
      </w:r>
      <w:bookmarkEnd w:id="7"/>
    </w:p>
    <w:p w14:paraId="2AF95132" w14:textId="77777777" w:rsidR="006C0C7C" w:rsidRPr="00F01725" w:rsidRDefault="006C0C7C" w:rsidP="006C0C7C">
      <w:pPr>
        <w:pStyle w:val="EPComma"/>
        <w:rPr>
          <w:noProof/>
        </w:rPr>
      </w:pPr>
      <w:r w:rsidRPr="00F01725">
        <w:rPr>
          <w:i/>
        </w:rPr>
        <w:t>Европейският парламент</w:t>
      </w:r>
      <w:r w:rsidRPr="00F01725">
        <w:t>,</w:t>
      </w:r>
    </w:p>
    <w:p w14:paraId="39ACBD23" w14:textId="56D15F91" w:rsidR="006C0C7C" w:rsidRPr="00F01725" w:rsidRDefault="006C0C7C" w:rsidP="006C0C7C">
      <w:pPr>
        <w:pStyle w:val="NormalHanging12a"/>
        <w:rPr>
          <w:noProof/>
        </w:rPr>
      </w:pPr>
      <w:r w:rsidRPr="00F01725">
        <w:t>–</w:t>
      </w:r>
      <w:r w:rsidRPr="00F01725">
        <w:tab/>
        <w:t xml:space="preserve">като взе предвид предложението на Комисията до </w:t>
      </w:r>
      <w:r w:rsidR="00276AEC">
        <w:t>П</w:t>
      </w:r>
      <w:r w:rsidRPr="00F01725">
        <w:t>арламент</w:t>
      </w:r>
      <w:r w:rsidR="00276AEC">
        <w:t>а</w:t>
      </w:r>
      <w:r w:rsidRPr="00F01725">
        <w:t xml:space="preserve"> и Съвета (COM(2026)0001 – C10</w:t>
      </w:r>
      <w:r w:rsidRPr="00F01725">
        <w:noBreakHyphen/>
        <w:t>0012/2026),</w:t>
      </w:r>
    </w:p>
    <w:p w14:paraId="32E0B69E" w14:textId="77777777" w:rsidR="006C0C7C" w:rsidRPr="00F01725" w:rsidRDefault="006C0C7C" w:rsidP="006C0C7C">
      <w:pPr>
        <w:pStyle w:val="NormalHanging12a"/>
      </w:pPr>
      <w:r w:rsidRPr="00F01725">
        <w:t>–</w:t>
      </w:r>
      <w:r w:rsidRPr="00F01725">
        <w:tab/>
        <w:t>като взе предвид Регламент (EС) 2021/691 на Европейския парламент и на Съвета от 28 април 2021 г. относно Европейския фонд за приспособяване към глобализацията за съкратени работници (ЕФПГ) и за отмяна на Регламент (ЕС) № 1309/2013</w:t>
      </w:r>
      <w:r w:rsidRPr="00F01725">
        <w:rPr>
          <w:vertAlign w:val="superscript"/>
        </w:rPr>
        <w:footnoteReference w:id="1"/>
      </w:r>
      <w:r w:rsidRPr="00F01725">
        <w:t xml:space="preserve"> („Регламента за ЕФПГ“), </w:t>
      </w:r>
    </w:p>
    <w:p w14:paraId="71CA8923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–</w:t>
      </w:r>
      <w:r w:rsidRPr="00F01725">
        <w:tab/>
        <w:t>като взе предвид Регламент (EC, Евратом) 2020/2093 на Съвета от 17 декември 2020 г. за определяне на многогодишната финансова рамка за годините 2021—2027</w:t>
      </w:r>
      <w:r w:rsidRPr="00F01725">
        <w:rPr>
          <w:noProof/>
          <w:vertAlign w:val="superscript"/>
        </w:rPr>
        <w:footnoteReference w:id="2"/>
      </w:r>
      <w:r w:rsidRPr="00F01725">
        <w:t>, изменен с Регламент (EC, Евратом) 2024/765</w:t>
      </w:r>
      <w:r w:rsidRPr="00F01725">
        <w:rPr>
          <w:noProof/>
          <w:vertAlign w:val="superscript"/>
        </w:rPr>
        <w:footnoteReference w:id="3"/>
      </w:r>
      <w:r w:rsidRPr="00F01725">
        <w:t xml:space="preserve"> („Регламента за МФР“), и по-специално член 8 от него, </w:t>
      </w:r>
    </w:p>
    <w:p w14:paraId="01FBF755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–</w:t>
      </w:r>
      <w:r w:rsidRPr="00F01725">
        <w:tab/>
        <w:t xml:space="preserve"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</w:t>
      </w:r>
      <w:r w:rsidRPr="00F01725">
        <w:lastRenderedPageBreak/>
        <w:t>включително пътна карта за въвеждането на нови собствени ресурси</w:t>
      </w:r>
      <w:r w:rsidRPr="00F01725">
        <w:rPr>
          <w:rStyle w:val="FootnoteReference"/>
          <w:noProof/>
        </w:rPr>
        <w:footnoteReference w:id="4"/>
      </w:r>
      <w:r w:rsidRPr="00F01725">
        <w:t>, и по-специално точка 9 от него,</w:t>
      </w:r>
    </w:p>
    <w:p w14:paraId="3A4C35D8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–</w:t>
      </w:r>
      <w:r w:rsidRPr="00F01725">
        <w:tab/>
        <w:t>като взе предвид Европейския стълб на социалните права,</w:t>
      </w:r>
    </w:p>
    <w:p w14:paraId="18BA81A1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–</w:t>
      </w:r>
      <w:r w:rsidRPr="00F01725">
        <w:tab/>
        <w:t>като взе предвид становището на комисията по заетост и социални въпроси,</w:t>
      </w:r>
    </w:p>
    <w:p w14:paraId="460BC605" w14:textId="77777777" w:rsidR="006C0C7C" w:rsidRPr="00F01725" w:rsidRDefault="006C0C7C" w:rsidP="006C0C7C">
      <w:pPr>
        <w:pStyle w:val="NormalHanging12a"/>
      </w:pPr>
      <w:r w:rsidRPr="00F01725">
        <w:t>–</w:t>
      </w:r>
      <w:r w:rsidRPr="00F01725">
        <w:tab/>
        <w:t>като взе предвид доклада на комисията по бюджети (A10-0030/2026),</w:t>
      </w:r>
    </w:p>
    <w:p w14:paraId="4CB88110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А.</w:t>
      </w:r>
      <w:r w:rsidRPr="00F01725">
        <w:tab/>
        <w:t>като има предвид, че Съюзът създаде законодателни и бюджетни инструменти, за да осигури допълнителна подкрепа за работници, които са засегнати от последиците от големи структурни събития и промени в моделите на световната търговия, и за да ги подпомогне при повторното им интегриране на пазара на труда; като има предвид, че тази помощ се предоставя чрез финансова подкрепа за работниците;</w:t>
      </w:r>
    </w:p>
    <w:p w14:paraId="5D3C1515" w14:textId="40893B61" w:rsidR="006C0C7C" w:rsidRPr="00F01725" w:rsidRDefault="006C0C7C" w:rsidP="006C0C7C">
      <w:pPr>
        <w:pStyle w:val="NormalHanging12a"/>
        <w:rPr>
          <w:noProof/>
        </w:rPr>
      </w:pPr>
      <w:r w:rsidRPr="00F01725">
        <w:t>Б.</w:t>
      </w:r>
      <w:r w:rsidRPr="00F01725">
        <w:tab/>
        <w:t>като има предвид, че Белгия подаде заявление EGF/2025/004 BE/</w:t>
      </w:r>
      <w:proofErr w:type="spellStart"/>
      <w:r w:rsidRPr="00F01725">
        <w:t>Tupperware</w:t>
      </w:r>
      <w:proofErr w:type="spellEnd"/>
      <w:r w:rsidRPr="00F01725">
        <w:t xml:space="preserve"> за финансово участие от страна на </w:t>
      </w:r>
      <w:r w:rsidR="00276AEC" w:rsidRPr="00F01725">
        <w:t>от Европейския фонд за приспособяване към глобализацията</w:t>
      </w:r>
      <w:r w:rsidR="00276AEC">
        <w:rPr>
          <w:lang w:val="en-GB"/>
        </w:rPr>
        <w:t xml:space="preserve"> (</w:t>
      </w:r>
      <w:r w:rsidRPr="00F01725">
        <w:t>ЕФПГ</w:t>
      </w:r>
      <w:r w:rsidR="00276AEC">
        <w:rPr>
          <w:lang w:val="en-GB"/>
        </w:rPr>
        <w:t>)</w:t>
      </w:r>
      <w:r w:rsidRPr="00F01725">
        <w:t xml:space="preserve"> вследствие на 267 съкращения</w:t>
      </w:r>
      <w:r w:rsidRPr="00F01725">
        <w:rPr>
          <w:noProof/>
          <w:vertAlign w:val="superscript"/>
        </w:rPr>
        <w:footnoteReference w:id="5"/>
      </w:r>
      <w:r w:rsidRPr="00F01725">
        <w:t xml:space="preserve"> в предприятието </w:t>
      </w:r>
      <w:proofErr w:type="spellStart"/>
      <w:r w:rsidRPr="00F01725">
        <w:t>Tupperware</w:t>
      </w:r>
      <w:proofErr w:type="spellEnd"/>
      <w:r w:rsidRPr="00F01725">
        <w:t xml:space="preserve"> General Services NV (</w:t>
      </w:r>
      <w:proofErr w:type="spellStart"/>
      <w:r w:rsidRPr="00F01725">
        <w:t>Tupperware</w:t>
      </w:r>
      <w:proofErr w:type="spellEnd"/>
      <w:r w:rsidRPr="00F01725">
        <w:t xml:space="preserve">) в икономическия сектор от разделение 22 по NACE </w:t>
      </w:r>
      <w:proofErr w:type="spellStart"/>
      <w:r w:rsidRPr="00F01725">
        <w:t>Rev</w:t>
      </w:r>
      <w:proofErr w:type="spellEnd"/>
      <w:r w:rsidRPr="00F01725">
        <w:t xml:space="preserve">. 2 („Производство на изделия от каучук и пластмаси“) в провинция Източна Фландрия (BE23) в рамките на референтен период от 17 февруари 2025 г. до 17 юни 2025 г.; </w:t>
      </w:r>
    </w:p>
    <w:p w14:paraId="6501B166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В.</w:t>
      </w:r>
      <w:r w:rsidRPr="00F01725">
        <w:tab/>
        <w:t xml:space="preserve">като има предвид, че заявлението се основава на критериите за намеса по член 4, параграф 2, буква а) от Регламента за ЕФПГ, съгласно които следва да е налице прекратяване на дейността на най-малко 200 съкратени работници или самостоятелно заети лица за референтен период от четири месеца в дадено предприятие в държава членка; </w:t>
      </w:r>
    </w:p>
    <w:p w14:paraId="0CFF900B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Г.</w:t>
      </w:r>
      <w:r w:rsidRPr="00F01725">
        <w:tab/>
        <w:t xml:space="preserve">като има предвид подадената от </w:t>
      </w:r>
      <w:proofErr w:type="spellStart"/>
      <w:r w:rsidRPr="00F01725">
        <w:t>Tupperware</w:t>
      </w:r>
      <w:proofErr w:type="spellEnd"/>
      <w:r w:rsidRPr="00F01725">
        <w:t xml:space="preserve"> на 17 февруари 2025 г. молба за обявяване в несъстоятелност; като има предвид, че от 2022 г. насам случаите на несъстоятелност в Белгия нарастват;</w:t>
      </w:r>
    </w:p>
    <w:p w14:paraId="43459E62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Д.</w:t>
      </w:r>
      <w:r w:rsidRPr="00F01725">
        <w:tab/>
        <w:t>като има предвид, че Белгия посочи, че Фламандската служба по заетостта (VDAB) предоставя националното предварително финансиране и съфинансиране за мерките;</w:t>
      </w:r>
    </w:p>
    <w:p w14:paraId="60D9EBC4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Е.</w:t>
      </w:r>
      <w:r w:rsidRPr="00F01725">
        <w:tab/>
        <w:t>като има предвид, че са изпълнени изискванията относно колективните съкращения, определени в законодателството на Съюза и в националното законодателство;</w:t>
      </w:r>
    </w:p>
    <w:p w14:paraId="2336BA10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Ж.</w:t>
      </w:r>
      <w:r w:rsidRPr="00F01725">
        <w:tab/>
        <w:t xml:space="preserve">като има предвид, че финансовото участие от ЕФПГ следва да бъде насочено главно към активни мерки на политиката на пазара на труда и персонализирани услуги, целящи бързото реинтегриране на </w:t>
      </w:r>
      <w:proofErr w:type="spellStart"/>
      <w:r w:rsidRPr="00F01725">
        <w:t>бенефициерите</w:t>
      </w:r>
      <w:proofErr w:type="spellEnd"/>
      <w:r w:rsidRPr="00F01725">
        <w:t xml:space="preserve"> на достойни и устойчиви работни места и подготвящи ги същевременно за една по-екологосъобразна и по-цифровизирана европейска икономика;</w:t>
      </w:r>
    </w:p>
    <w:p w14:paraId="058CB4F5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lastRenderedPageBreak/>
        <w:t>З.</w:t>
      </w:r>
      <w:r w:rsidRPr="00F01725">
        <w:tab/>
        <w:t>като има предвид, че ЕФПГ не надхвърля максимален годишен размер от 30 милиона евро (по цени от 2018 г.)</w:t>
      </w:r>
      <w:r w:rsidRPr="00F01725">
        <w:rPr>
          <w:noProof/>
          <w:vertAlign w:val="superscript"/>
        </w:rPr>
        <w:footnoteReference w:id="6"/>
      </w:r>
      <w:r w:rsidRPr="00F01725">
        <w:t xml:space="preserve">; </w:t>
      </w:r>
    </w:p>
    <w:p w14:paraId="0206D6E0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1.</w:t>
      </w:r>
      <w:r w:rsidRPr="00F01725">
        <w:tab/>
        <w:t>изразява съгласие с Комисията, че условията по Регламента за ЕФПГ, и по-специално по член 4, параграф 2, буква а) от него, са изпълнени и че Белгия има право на финансово подпомагане в размер на 1 622 650 EUR съгласно посочения регламент, което съставлява 85% от общите разходи в размер на 1 909 000 EUR, като те включват разходи за персонализирани услуги в размер на 1 843 500 EUR и разходи за дейности по подготовка, управление, информация и публичност, контрол и докладване в размер на 65 500 EUR;</w:t>
      </w:r>
    </w:p>
    <w:p w14:paraId="5B6E07DF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2.</w:t>
      </w:r>
      <w:r w:rsidRPr="00F01725">
        <w:tab/>
        <w:t>отбелязва, че белгийските органи подадоха заявлението на 28 август 2025 г. и че след получаването на допълнителна информация от Белгия Комисията приключи оценката си на 20 януари 2026 г. — почти пет месеца по-късно, и уведоми Парламента за това на същия ден; подчертава, че е важно да се съкрати времето между подаването на заявление за подпомагане от ЕФПГ и вземането на решение за финансиране, при пълно зачитане на правата на Европейския парламент в качеството му на подразделение на бюджетния орган;</w:t>
      </w:r>
    </w:p>
    <w:p w14:paraId="2730CE35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3.</w:t>
      </w:r>
      <w:r w:rsidRPr="00F01725">
        <w:tab/>
        <w:t>отбелязва, че заявлението се отнася до целева група от 267 </w:t>
      </w:r>
      <w:proofErr w:type="spellStart"/>
      <w:r w:rsidRPr="00F01725">
        <w:t>бенефициери</w:t>
      </w:r>
      <w:proofErr w:type="spellEnd"/>
      <w:r w:rsidRPr="00F01725">
        <w:t xml:space="preserve">, съкратени от предприятието </w:t>
      </w:r>
      <w:proofErr w:type="spellStart"/>
      <w:r w:rsidRPr="00F01725">
        <w:t>Tupperware</w:t>
      </w:r>
      <w:proofErr w:type="spellEnd"/>
      <w:r w:rsidRPr="00F01725">
        <w:t>;</w:t>
      </w:r>
    </w:p>
    <w:p w14:paraId="166389B8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4.</w:t>
      </w:r>
      <w:r w:rsidRPr="00F01725">
        <w:tab/>
        <w:t xml:space="preserve">отбелязва, че предприятието </w:t>
      </w:r>
      <w:proofErr w:type="spellStart"/>
      <w:r w:rsidRPr="00F01725">
        <w:t>Tupperware</w:t>
      </w:r>
      <w:proofErr w:type="spellEnd"/>
      <w:r w:rsidRPr="00F01725">
        <w:t xml:space="preserve"> беше установено в </w:t>
      </w:r>
      <w:proofErr w:type="spellStart"/>
      <w:r w:rsidRPr="00F01725">
        <w:t>Алст</w:t>
      </w:r>
      <w:proofErr w:type="spellEnd"/>
      <w:r w:rsidRPr="00F01725">
        <w:t xml:space="preserve"> в провинция Източна Фландрия, където трудово зает беше само един на всеки двама души, в сравнение със средно двама на всеки трима души в целия регион Фландрия, още преди обявяването на </w:t>
      </w:r>
      <w:proofErr w:type="spellStart"/>
      <w:r w:rsidRPr="00F01725">
        <w:t>Tupperware</w:t>
      </w:r>
      <w:proofErr w:type="spellEnd"/>
      <w:r w:rsidRPr="00F01725">
        <w:t xml:space="preserve"> в несъстоятелност; изразява съжаление, че тези съкращения допълнително ще влошат положението; подчертава, че са необходими бързи действия за предотвратяване на структурен регионален упадък;</w:t>
      </w:r>
    </w:p>
    <w:p w14:paraId="03A70FBF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5.</w:t>
      </w:r>
      <w:r w:rsidRPr="00F01725">
        <w:tab/>
        <w:t xml:space="preserve">изразява съжаление, че американското дружество майка </w:t>
      </w:r>
      <w:proofErr w:type="spellStart"/>
      <w:r w:rsidRPr="00F01725">
        <w:t>Tupperware</w:t>
      </w:r>
      <w:proofErr w:type="spellEnd"/>
      <w:r w:rsidRPr="00F01725">
        <w:t xml:space="preserve"> </w:t>
      </w:r>
      <w:proofErr w:type="spellStart"/>
      <w:r w:rsidRPr="00F01725">
        <w:t>Brands</w:t>
      </w:r>
      <w:proofErr w:type="spellEnd"/>
      <w:r w:rsidRPr="00F01725">
        <w:t xml:space="preserve"> беше поето от кредиторите през октомври 2024 г. и поради значително преструктуриране прекрати производствения процес и действието на лицензите, предоставени на </w:t>
      </w:r>
      <w:proofErr w:type="spellStart"/>
      <w:r w:rsidRPr="00F01725">
        <w:t>Tupperware</w:t>
      </w:r>
      <w:proofErr w:type="spellEnd"/>
      <w:r w:rsidRPr="00F01725">
        <w:t xml:space="preserve"> General Services NV, което направи белгийското дъщерно дружество финансово нежизнеспособно и доведе до неговата несъстоятелност на 17 февруари 2025 г.; </w:t>
      </w:r>
    </w:p>
    <w:p w14:paraId="3B13B2D5" w14:textId="33662718" w:rsidR="006C0C7C" w:rsidRPr="00F01725" w:rsidRDefault="006C0C7C" w:rsidP="006C0C7C">
      <w:pPr>
        <w:pStyle w:val="NormalHanging12a"/>
        <w:rPr>
          <w:noProof/>
        </w:rPr>
      </w:pPr>
      <w:r w:rsidRPr="00F01725">
        <w:t>6.</w:t>
      </w:r>
      <w:r w:rsidRPr="00F01725">
        <w:tab/>
        <w:t>приветства инициативата на група европейски предприемачи, насочена към съживяване на марката в Германия, Франция, Белгия, Италия и Полша;</w:t>
      </w:r>
    </w:p>
    <w:p w14:paraId="7DC061CD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7.</w:t>
      </w:r>
      <w:r w:rsidRPr="00F01725">
        <w:tab/>
        <w:t>подчертава, че във Фландрия рискът от безработица е повече от два пъти по-висок за хората с ниско равнище на образование; отбелязва, че една трета от съкратените работници имат само прогимназиален етап на основното образование; призовава белгийските органи да предоставят специфична подкрепа, съобразена с тези профили, за да помогнат на работниците да преодолеят трудностите, пред които са изправени, и да намерят нова работа, като същевременно се предприемат мерки за намаляване на случаите на несъстоятелност и за преодоляване на социалните различия, водещи до изключване на работната сила;</w:t>
      </w:r>
    </w:p>
    <w:p w14:paraId="5875002A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lastRenderedPageBreak/>
        <w:t>8.</w:t>
      </w:r>
      <w:r w:rsidRPr="00F01725">
        <w:tab/>
        <w:t xml:space="preserve">припомня, че със съгласието на синдикалните организации, експертите и социалните партньори персонализираните услуги, които ще бъдат предоставени на работниците, се състоят от следните мерки: информационни сесии за реинтеграция на пазара на труда, услуги по пренасочване, включително обучение в областта на ИКТ; помощ при намиране на работа чрез ориентиране и съдействие при търсене на работа, обучение и преквалификация, трудова борса, търсене на работни места и намиране на подходящи работни места; подчертава, че е важно да се насърчават висококачествени, ориентирани към бъдещето работни места, за да се гарантира дългосрочна икономическа и социална устойчивост; призовава белгийските органи да установят диалог с новите европейски представители на </w:t>
      </w:r>
      <w:proofErr w:type="spellStart"/>
      <w:r w:rsidRPr="00F01725">
        <w:t>Tupperware</w:t>
      </w:r>
      <w:proofErr w:type="spellEnd"/>
      <w:r w:rsidRPr="00F01725">
        <w:t>, за да проучат възможностите за реинтеграция на съкратените работници в техните икономически дейности;</w:t>
      </w:r>
    </w:p>
    <w:p w14:paraId="1B942D7E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9.</w:t>
      </w:r>
      <w:r w:rsidRPr="00F01725">
        <w:tab/>
        <w:t>подчертава, че квалификациите и уменията на съкратените работници продължават да бъдат от ключово значение за ориентираната към бъдещето европейска икономика; счита следователно, че мобилизирането на ЕФПГ трябва да бъде включено в рамките на по-всеобхватни ответни мерки на политиката на всички политически равнища, за да се гарантира, че засегнатите работници ще намерят подходящи възможности за работа в съответствие с техните квалификации и умения; припомня освен това, че ЕФПГ е инструмент за солидарност и справедлив преход и че основната задача на Съюза трябва да бъде на първо място да предотвратява подобни закривания; счита, че въпреки че ЕФПГ предоставя необходимата подкрепа на засегнатите работници, по-силната промишлена политика, по-стабилната, устойчива и издръжлива икономика и намаляването на стратегическите зависимости са от съществено значение за запазване на равнището на заетост в европейската промишленост;</w:t>
      </w:r>
    </w:p>
    <w:p w14:paraId="1EA1F346" w14:textId="77777777" w:rsidR="006C0C7C" w:rsidRPr="00F01725" w:rsidRDefault="006C0C7C" w:rsidP="006C0C7C">
      <w:pPr>
        <w:pStyle w:val="NormalHanging12a"/>
        <w:rPr>
          <w:bCs/>
          <w:iCs/>
          <w:noProof/>
        </w:rPr>
      </w:pPr>
      <w:r w:rsidRPr="00F01725">
        <w:t>10.</w:t>
      </w:r>
      <w:r w:rsidRPr="00F01725">
        <w:tab/>
        <w:t xml:space="preserve">подчертава, че белгийските органи следва да гарантират видимостта на финансирането от Съюза и да изтъкват неговата добавена стойност, като предоставят ефективна и целенасочена информация на </w:t>
      </w:r>
      <w:proofErr w:type="spellStart"/>
      <w:r w:rsidRPr="00F01725">
        <w:t>бенефициерите</w:t>
      </w:r>
      <w:proofErr w:type="spellEnd"/>
      <w:r w:rsidRPr="00F01725">
        <w:t>, регионалните и местните органи на власт, социалните партньори и широката общественост;</w:t>
      </w:r>
    </w:p>
    <w:p w14:paraId="45FE7642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11.</w:t>
      </w:r>
      <w:r w:rsidRPr="00F01725">
        <w:tab/>
        <w:t>призовава за извършване на задълбочени окончателни оценки на приложените мерки, включително предоставяне на ясна информация за начина, по който са използвани средствата и дали те са били изразходвани в съответствие с одобрените планове; подчертава, че тези оценки следва да се основават на ясно определени цели и измерими резултати, даващи възможност за оценка на резултатите, постигнати за съответните работници; подчертава, че е важно да се осигурят по-бързи и по-ефективни интервенции, и припомня в този контекст необходимостта да се проучат начини за гарантиране на устойчивостта на ЕФПГ или на неговата програма приемник в рамките на следващата многогодишна финансова рамка за периода 2028 — 2034 г.;</w:t>
      </w:r>
    </w:p>
    <w:p w14:paraId="4E0B93CC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12.</w:t>
      </w:r>
      <w:r w:rsidRPr="00F01725">
        <w:tab/>
        <w:t xml:space="preserve">отбелязва, че белгийските органи са започнали да предоставят персонализирани услуги на </w:t>
      </w:r>
      <w:proofErr w:type="spellStart"/>
      <w:r w:rsidRPr="00F01725">
        <w:t>бенефициерите</w:t>
      </w:r>
      <w:proofErr w:type="spellEnd"/>
      <w:r w:rsidRPr="00F01725">
        <w:t xml:space="preserve"> от целевата група на 17 февруари 2025 г. и че следователно периодът на допустимост за предоставяне на финансиране от ЕФПГ ще бъде от тази дата до 24 месеца след датата на влизане в сила на решението за финансиране;</w:t>
      </w:r>
    </w:p>
    <w:p w14:paraId="2D31E070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13.</w:t>
      </w:r>
      <w:r w:rsidRPr="00F01725">
        <w:tab/>
        <w:t xml:space="preserve">отбелязва, че белгийските органи са започнали да извършват административни </w:t>
      </w:r>
      <w:r w:rsidRPr="00F01725">
        <w:lastRenderedPageBreak/>
        <w:t>разходи по прилагането на ЕФПГ на 17 февруари 2025 г. и че следователно тези разходи ще бъдат допустими за финансиране от ЕФПГ считано от тази дата до 31 месеца след датата на влизане в сила на решението за финансиране;</w:t>
      </w:r>
    </w:p>
    <w:p w14:paraId="6D7BEEAB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14.</w:t>
      </w:r>
      <w:r w:rsidRPr="00F01725">
        <w:tab/>
        <w:t>отбелязва, че белгийските органи са представили гаранции, че принципите на равно третиране и недискриминация ще се спазват при достъпа до предложените действия и тяхното изпълнение, както и че няма да бъде допуснато дублиране на финансирането;</w:t>
      </w:r>
    </w:p>
    <w:p w14:paraId="468008FC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15.</w:t>
      </w:r>
      <w:r w:rsidRPr="00F01725">
        <w:tab/>
        <w:t>заявява отново, че помощта от ЕФПГ не трябва да замества действията, които са задължение на предприятията по силата на националното законодателство или на колективни трудови договори;</w:t>
      </w:r>
    </w:p>
    <w:p w14:paraId="38E596EB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16.</w:t>
      </w:r>
      <w:r w:rsidRPr="00F01725">
        <w:tab/>
        <w:t>одобрява приложеното към настоящата резолюция решение;</w:t>
      </w:r>
    </w:p>
    <w:p w14:paraId="5ADB9A60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17.</w:t>
      </w:r>
      <w:r w:rsidRPr="00F01725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F01725">
        <w:rPr>
          <w:i/>
        </w:rPr>
        <w:t>Официален вестник на Европейския съюз</w:t>
      </w:r>
      <w:r w:rsidRPr="00F01725">
        <w:t>;</w:t>
      </w:r>
    </w:p>
    <w:p w14:paraId="35BE2905" w14:textId="77777777" w:rsidR="006C0C7C" w:rsidRPr="00F01725" w:rsidRDefault="006C0C7C" w:rsidP="006C0C7C">
      <w:pPr>
        <w:pStyle w:val="NormalHanging12a"/>
        <w:rPr>
          <w:noProof/>
        </w:rPr>
      </w:pPr>
      <w:r w:rsidRPr="00F01725">
        <w:t>18.</w:t>
      </w:r>
      <w:r w:rsidRPr="00F01725">
        <w:tab/>
        <w:t>възлага на своя председател да предаде настоящата резолюция, включително и приложението към нея, съответно на Съвета и на Комисията.</w:t>
      </w:r>
    </w:p>
    <w:p w14:paraId="5B387DFB" w14:textId="77777777" w:rsidR="006C0C7C" w:rsidRPr="00F01725" w:rsidRDefault="006C0C7C" w:rsidP="006C0C7C">
      <w:pPr>
        <w:pStyle w:val="NormalHanging12a"/>
        <w:rPr>
          <w:noProof/>
        </w:rPr>
      </w:pPr>
    </w:p>
    <w:p w14:paraId="2145E5DF" w14:textId="77777777" w:rsidR="006C0C7C" w:rsidRPr="00F01725" w:rsidRDefault="006C0C7C" w:rsidP="006C0C7C">
      <w:pPr>
        <w:rPr>
          <w:noProof/>
        </w:rPr>
      </w:pPr>
    </w:p>
    <w:p w14:paraId="11904DC4" w14:textId="77777777" w:rsidR="006C0C7C" w:rsidRPr="00F01725" w:rsidRDefault="006C0C7C" w:rsidP="006C0C7C">
      <w:pPr>
        <w:pStyle w:val="PageHeading"/>
        <w:rPr>
          <w:noProof/>
        </w:rPr>
        <w:sectPr w:rsidR="006C0C7C" w:rsidRPr="00F01725" w:rsidSect="00F017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CEAB27A" w14:textId="77777777" w:rsidR="00F7655B" w:rsidRPr="00F7655B" w:rsidRDefault="006C0C7C" w:rsidP="00F7655B">
      <w:pPr>
        <w:pStyle w:val="PageHeading"/>
        <w:spacing w:after="240"/>
        <w:rPr>
          <w:rFonts w:ascii="Times New Roman" w:hAnsi="Times New Roman" w:cs="Times New Roman"/>
          <w:lang w:val="en-GB"/>
        </w:rPr>
      </w:pPr>
      <w:bookmarkStart w:id="8" w:name="_Toc223443827"/>
      <w:r w:rsidRPr="00F7655B">
        <w:rPr>
          <w:rFonts w:ascii="Times New Roman" w:hAnsi="Times New Roman" w:cs="Times New Roman"/>
        </w:rPr>
        <w:lastRenderedPageBreak/>
        <w:t>ПРИЛОЖЕНИЕ</w:t>
      </w:r>
    </w:p>
    <w:p w14:paraId="6804230E" w14:textId="3C5390E7" w:rsidR="006C0C7C" w:rsidRPr="00F7655B" w:rsidRDefault="006C0C7C" w:rsidP="006C0C7C">
      <w:pPr>
        <w:pStyle w:val="PageHeading"/>
        <w:rPr>
          <w:rFonts w:ascii="Times New Roman" w:hAnsi="Times New Roman" w:cs="Times New Roman"/>
          <w:noProof/>
        </w:rPr>
      </w:pPr>
      <w:r w:rsidRPr="00F7655B">
        <w:rPr>
          <w:rFonts w:ascii="Times New Roman" w:hAnsi="Times New Roman" w:cs="Times New Roman"/>
        </w:rPr>
        <w:t>РЕШЕНИЕ НА ЕВРОПЕЙСКИЯ ПАРЛАМЕНТ И НА СЪВЕТА</w:t>
      </w:r>
      <w:bookmarkEnd w:id="8"/>
    </w:p>
    <w:p w14:paraId="01C1BB8A" w14:textId="77777777" w:rsidR="006C0C7C" w:rsidRPr="00F01725" w:rsidRDefault="006C0C7C" w:rsidP="005E3EE7">
      <w:pPr>
        <w:pStyle w:val="Institutionquiagit"/>
        <w:jc w:val="center"/>
        <w:rPr>
          <w:b/>
          <w:bCs/>
        </w:rPr>
      </w:pPr>
      <w:r w:rsidRPr="00F01725">
        <w:rPr>
          <w:b/>
        </w:rPr>
        <w:t>за мобилизиране на средства от Европейския фонд за приспособяване към глобализацията за съкратени работници във връзка със заявление от Белгия – EGF/2025/004 BE/</w:t>
      </w:r>
      <w:proofErr w:type="spellStart"/>
      <w:r w:rsidRPr="00F01725">
        <w:rPr>
          <w:b/>
        </w:rPr>
        <w:t>Tupperware</w:t>
      </w:r>
      <w:proofErr w:type="spellEnd"/>
    </w:p>
    <w:p w14:paraId="5142619C" w14:textId="5F6F5F00" w:rsidR="00E365E1" w:rsidRDefault="00E365E1" w:rsidP="00905F08">
      <w:pPr>
        <w:rPr>
          <w:lang w:val="en-GB"/>
        </w:rPr>
      </w:pPr>
    </w:p>
    <w:p w14:paraId="375EDF0C" w14:textId="4141EDC2" w:rsidR="00F7655B" w:rsidRPr="00F7655B" w:rsidRDefault="00F7655B" w:rsidP="00F7655B">
      <w:pPr>
        <w:rPr>
          <w:i/>
        </w:rPr>
      </w:pPr>
      <w:r w:rsidRPr="00F7655B">
        <w:rPr>
          <w:i/>
        </w:rPr>
        <w:t xml:space="preserve">(Текстът на това приложение не е възпроизведен тук, тъй като той съответства на окончателния акт, Решение </w:t>
      </w:r>
      <w:r w:rsidRPr="00F7655B">
        <w:rPr>
          <w:i/>
          <w:lang w:val="en-GB"/>
        </w:rPr>
        <w:t>(E</w:t>
      </w:r>
      <w:r w:rsidRPr="00F7655B">
        <w:rPr>
          <w:i/>
        </w:rPr>
        <w:t>С) 202</w:t>
      </w:r>
      <w:r w:rsidRPr="00F7655B">
        <w:rPr>
          <w:i/>
          <w:lang w:val="en-GB"/>
        </w:rPr>
        <w:t>6</w:t>
      </w:r>
      <w:r w:rsidRPr="00F7655B">
        <w:rPr>
          <w:i/>
        </w:rPr>
        <w:t>/</w:t>
      </w:r>
      <w:r>
        <w:rPr>
          <w:i/>
          <w:lang w:val="en-GB"/>
        </w:rPr>
        <w:t>723</w:t>
      </w:r>
      <w:r w:rsidRPr="00F7655B">
        <w:rPr>
          <w:i/>
        </w:rPr>
        <w:t xml:space="preserve">.) </w:t>
      </w:r>
    </w:p>
    <w:p w14:paraId="1FEE0A2A" w14:textId="77777777" w:rsidR="00F7655B" w:rsidRPr="00F7655B" w:rsidRDefault="00F7655B" w:rsidP="00905F08">
      <w:pPr>
        <w:rPr>
          <w:lang w:val="en-GB"/>
        </w:rPr>
      </w:pPr>
    </w:p>
    <w:sectPr w:rsidR="00F7655B" w:rsidRPr="00F7655B" w:rsidSect="00F0172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48069" w14:textId="77777777" w:rsidR="00905F08" w:rsidRPr="00F01725" w:rsidRDefault="00905F08">
      <w:r w:rsidRPr="00F01725">
        <w:separator/>
      </w:r>
    </w:p>
  </w:endnote>
  <w:endnote w:type="continuationSeparator" w:id="0">
    <w:p w14:paraId="604FA1EE" w14:textId="77777777" w:rsidR="00905F08" w:rsidRPr="00F01725" w:rsidRDefault="00905F08">
      <w:r w:rsidRPr="00F017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114A8" w14:textId="77777777" w:rsidR="006C0C7C" w:rsidRPr="00F01725" w:rsidRDefault="006C0C7C" w:rsidP="002B44C6">
    <w:pPr>
      <w:pStyle w:val="EPFooter"/>
    </w:pPr>
    <w:r w:rsidRPr="00F01725">
      <w:t>PE</w:t>
    </w:r>
    <w:r w:rsidRPr="00F01725">
      <w:rPr>
        <w:rStyle w:val="HideTWBExt"/>
      </w:rPr>
      <w:t>&lt;NoPE&gt;</w:t>
    </w:r>
    <w:r w:rsidRPr="00F01725">
      <w:t>782.416</w:t>
    </w:r>
    <w:r w:rsidRPr="00F01725">
      <w:rPr>
        <w:rStyle w:val="HideTWBExt"/>
      </w:rPr>
      <w:t>&lt;/NoPE&gt;&lt;Version&gt;</w:t>
    </w:r>
    <w:r w:rsidRPr="00F01725">
      <w:t>v02-00</w:t>
    </w:r>
    <w:r w:rsidRPr="00F01725">
      <w:rPr>
        <w:rStyle w:val="HideTWBExt"/>
      </w:rPr>
      <w:t>&lt;/Version&gt;</w:t>
    </w:r>
    <w:r w:rsidRPr="00F01725">
      <w:tab/>
    </w:r>
    <w:r w:rsidRPr="00F01725">
      <w:fldChar w:fldCharType="begin"/>
    </w:r>
    <w:r w:rsidRPr="00F01725">
      <w:instrText xml:space="preserve"> PAGE  \* MERGEFORMAT </w:instrText>
    </w:r>
    <w:r w:rsidRPr="00F01725">
      <w:fldChar w:fldCharType="separate"/>
    </w:r>
    <w:r w:rsidRPr="00F01725">
      <w:rPr>
        <w:noProof/>
      </w:rPr>
      <w:t>1</w:t>
    </w:r>
    <w:r w:rsidRPr="00F01725">
      <w:fldChar w:fldCharType="end"/>
    </w:r>
    <w:r w:rsidRPr="00F01725">
      <w:t>/</w:t>
    </w:r>
    <w:fldSimple w:instr=" NUMPAGES  \* MERGEFORMAT ">
      <w:r w:rsidRPr="00F01725">
        <w:rPr>
          <w:noProof/>
        </w:rPr>
        <w:t>1</w:t>
      </w:r>
    </w:fldSimple>
    <w:r w:rsidRPr="00F01725">
      <w:tab/>
    </w:r>
    <w:r w:rsidRPr="00F01725">
      <w:rPr>
        <w:rStyle w:val="HideTWBExt"/>
      </w:rPr>
      <w:t>&lt;PathFdR&gt;</w:t>
    </w:r>
    <w:r w:rsidRPr="00F01725">
      <w:t>RR\1338392BG.docx</w:t>
    </w:r>
    <w:r w:rsidRPr="00F01725">
      <w:rPr>
        <w:rStyle w:val="HideTWBExt"/>
      </w:rPr>
      <w:t>&lt;/PathFdR&gt;</w:t>
    </w:r>
  </w:p>
  <w:p w14:paraId="1D823E82" w14:textId="77777777" w:rsidR="006C0C7C" w:rsidRPr="00F01725" w:rsidRDefault="006C0C7C" w:rsidP="002B44C6">
    <w:pPr>
      <w:pStyle w:val="EPFooter2"/>
    </w:pPr>
    <w:r w:rsidRPr="00F01725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43880" w14:textId="2A1FD283" w:rsidR="006C0C7C" w:rsidRPr="00F01725" w:rsidRDefault="006C0C7C" w:rsidP="002B44C6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AE63" w14:textId="77777777" w:rsidR="006C0C7C" w:rsidRPr="00F01725" w:rsidRDefault="006C0C7C" w:rsidP="002B44C6">
    <w:pPr>
      <w:pStyle w:val="EPFooter"/>
    </w:pPr>
    <w:r w:rsidRPr="00F01725">
      <w:rPr>
        <w:rStyle w:val="HideTWBExt"/>
      </w:rPr>
      <w:t>&lt;PathFdR&gt;</w:t>
    </w:r>
    <w:r w:rsidRPr="00F01725">
      <w:t>RR\1338392BG.docx</w:t>
    </w:r>
    <w:r w:rsidRPr="00F01725">
      <w:rPr>
        <w:rStyle w:val="HideTWBExt"/>
      </w:rPr>
      <w:t>&lt;/PathFdR&gt;</w:t>
    </w:r>
    <w:r w:rsidRPr="00F01725">
      <w:tab/>
    </w:r>
    <w:r w:rsidRPr="00F01725">
      <w:tab/>
      <w:t>PE</w:t>
    </w:r>
    <w:r w:rsidRPr="00F01725">
      <w:rPr>
        <w:rStyle w:val="HideTWBExt"/>
      </w:rPr>
      <w:t>&lt;NoPE&gt;</w:t>
    </w:r>
    <w:r w:rsidRPr="00F01725">
      <w:t>782.416</w:t>
    </w:r>
    <w:r w:rsidRPr="00F01725">
      <w:rPr>
        <w:rStyle w:val="HideTWBExt"/>
      </w:rPr>
      <w:t>&lt;/NoPE&gt;&lt;Version&gt;</w:t>
    </w:r>
    <w:r w:rsidRPr="00F01725">
      <w:t>v02-00</w:t>
    </w:r>
    <w:r w:rsidRPr="00F01725">
      <w:rPr>
        <w:rStyle w:val="HideTWBExt"/>
      </w:rPr>
      <w:t>&lt;/Version&gt;</w:t>
    </w:r>
  </w:p>
  <w:p w14:paraId="40CEE607" w14:textId="77777777" w:rsidR="006C0C7C" w:rsidRPr="00F01725" w:rsidRDefault="006C0C7C" w:rsidP="002B44C6">
    <w:pPr>
      <w:pStyle w:val="EPFooter2"/>
    </w:pPr>
    <w:r w:rsidRPr="00F01725">
      <w:t>BG</w:t>
    </w:r>
    <w:r w:rsidRPr="00F01725">
      <w:tab/>
    </w:r>
    <w:r w:rsidRPr="00F01725">
      <w:rPr>
        <w:b w:val="0"/>
        <w:i/>
        <w:color w:val="C0C0C0"/>
        <w:sz w:val="22"/>
      </w:rPr>
      <w:t>Единство в многообразието</w:t>
    </w:r>
    <w:r w:rsidRPr="00F01725">
      <w:tab/>
      <w:t>BG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36F11" w14:textId="77777777" w:rsidR="00064002" w:rsidRPr="00F0172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B808" w14:textId="77777777" w:rsidR="00064002" w:rsidRPr="00F01725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B32B5" w14:textId="77777777" w:rsidR="00064002" w:rsidRPr="00F017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89C13" w14:textId="77777777" w:rsidR="00905F08" w:rsidRPr="00F01725" w:rsidRDefault="00905F08">
      <w:r w:rsidRPr="00F01725">
        <w:separator/>
      </w:r>
    </w:p>
  </w:footnote>
  <w:footnote w:type="continuationSeparator" w:id="0">
    <w:p w14:paraId="4E4C483B" w14:textId="77777777" w:rsidR="00905F08" w:rsidRPr="00F01725" w:rsidRDefault="00905F08">
      <w:r w:rsidRPr="00F01725">
        <w:continuationSeparator/>
      </w:r>
    </w:p>
  </w:footnote>
  <w:footnote w:id="1">
    <w:p w14:paraId="501D2BBF" w14:textId="060CABD4" w:rsidR="006C0C7C" w:rsidRPr="00F01725" w:rsidRDefault="006C0C7C" w:rsidP="00F01725">
      <w:pPr>
        <w:pStyle w:val="FootnoteText"/>
        <w:ind w:left="567" w:hanging="567"/>
        <w:rPr>
          <w:sz w:val="24"/>
          <w:lang w:val="bg-BG"/>
        </w:rPr>
      </w:pPr>
      <w:r w:rsidRPr="00F01725">
        <w:rPr>
          <w:rStyle w:val="FootnoteReference"/>
          <w:sz w:val="24"/>
          <w:lang w:val="bg-BG"/>
        </w:rPr>
        <w:footnoteRef/>
      </w:r>
      <w:r w:rsidR="00F01725" w:rsidRPr="00F01725">
        <w:rPr>
          <w:sz w:val="24"/>
          <w:lang w:val="bg-BG"/>
        </w:rPr>
        <w:t xml:space="preserve"> </w:t>
      </w:r>
      <w:r w:rsidR="00F01725" w:rsidRPr="00F01725">
        <w:rPr>
          <w:sz w:val="24"/>
          <w:lang w:val="bg-BG"/>
        </w:rPr>
        <w:tab/>
      </w:r>
      <w:r w:rsidRPr="00F01725">
        <w:rPr>
          <w:sz w:val="24"/>
          <w:lang w:val="bg-BG"/>
        </w:rPr>
        <w:t xml:space="preserve">OВ L 153, 3.5.2021 г., стр. 48, ELI: </w:t>
      </w:r>
      <w:hyperlink r:id="rId1" w:history="1">
        <w:r w:rsidRPr="00F01725">
          <w:rPr>
            <w:rStyle w:val="Hyperlink"/>
            <w:sz w:val="24"/>
            <w:lang w:val="bg-BG"/>
          </w:rPr>
          <w:t>http://data.europa.eu/eli/reg/2021/691/oj</w:t>
        </w:r>
      </w:hyperlink>
      <w:r w:rsidRPr="00F01725">
        <w:rPr>
          <w:sz w:val="24"/>
          <w:lang w:val="bg-BG"/>
        </w:rPr>
        <w:t>.</w:t>
      </w:r>
    </w:p>
  </w:footnote>
  <w:footnote w:id="2">
    <w:p w14:paraId="0A240B7E" w14:textId="42F81211" w:rsidR="006C0C7C" w:rsidRPr="00F01725" w:rsidRDefault="006C0C7C" w:rsidP="00F01725">
      <w:pPr>
        <w:pStyle w:val="FootnoteText"/>
        <w:ind w:left="567" w:hanging="567"/>
        <w:rPr>
          <w:sz w:val="24"/>
          <w:lang w:val="bg-BG"/>
        </w:rPr>
      </w:pPr>
      <w:r w:rsidRPr="00F01725">
        <w:rPr>
          <w:rStyle w:val="FootnoteReference"/>
          <w:sz w:val="24"/>
          <w:lang w:val="bg-BG"/>
        </w:rPr>
        <w:footnoteRef/>
      </w:r>
      <w:r w:rsidR="00F01725" w:rsidRPr="00F01725">
        <w:rPr>
          <w:sz w:val="24"/>
          <w:lang w:val="bg-BG"/>
        </w:rPr>
        <w:t xml:space="preserve"> </w:t>
      </w:r>
      <w:r w:rsidR="00F01725" w:rsidRPr="00F01725">
        <w:rPr>
          <w:sz w:val="24"/>
          <w:lang w:val="bg-BG"/>
        </w:rPr>
        <w:tab/>
      </w:r>
      <w:r w:rsidRPr="00F01725">
        <w:rPr>
          <w:sz w:val="24"/>
          <w:lang w:val="bg-BG"/>
        </w:rPr>
        <w:t xml:space="preserve">ОВ L 433 I, 22.12.2020 г., стр. 11, ELI: </w:t>
      </w:r>
      <w:hyperlink r:id="rId2" w:history="1">
        <w:r w:rsidRPr="00F01725">
          <w:rPr>
            <w:rStyle w:val="Hyperlink"/>
            <w:sz w:val="24"/>
            <w:lang w:val="bg-BG"/>
          </w:rPr>
          <w:t>http://data.europa.eu/eli/reg/2020/2093/oj</w:t>
        </w:r>
      </w:hyperlink>
      <w:r w:rsidRPr="00F01725">
        <w:rPr>
          <w:sz w:val="24"/>
          <w:lang w:val="bg-BG"/>
        </w:rPr>
        <w:t>.</w:t>
      </w:r>
    </w:p>
  </w:footnote>
  <w:footnote w:id="3">
    <w:p w14:paraId="23D990BB" w14:textId="60D3DB62" w:rsidR="006C0C7C" w:rsidRPr="00F01725" w:rsidRDefault="006C0C7C" w:rsidP="00F01725">
      <w:pPr>
        <w:pStyle w:val="FootnoteText"/>
        <w:ind w:left="567" w:hanging="567"/>
        <w:rPr>
          <w:sz w:val="24"/>
          <w:lang w:val="bg-BG"/>
        </w:rPr>
      </w:pPr>
      <w:r w:rsidRPr="00F01725">
        <w:rPr>
          <w:rStyle w:val="FootnoteReference"/>
          <w:sz w:val="24"/>
          <w:lang w:val="bg-BG"/>
        </w:rPr>
        <w:footnoteRef/>
      </w:r>
      <w:r w:rsidR="00F01725" w:rsidRPr="00F01725">
        <w:rPr>
          <w:sz w:val="24"/>
          <w:shd w:val="clear" w:color="auto" w:fill="FFFFFF"/>
          <w:lang w:val="bg-BG"/>
        </w:rPr>
        <w:t xml:space="preserve"> </w:t>
      </w:r>
      <w:r w:rsidR="00F01725" w:rsidRPr="00F01725">
        <w:rPr>
          <w:sz w:val="24"/>
          <w:shd w:val="clear" w:color="auto" w:fill="FFFFFF"/>
          <w:lang w:val="bg-BG"/>
        </w:rPr>
        <w:tab/>
      </w:r>
      <w:r w:rsidRPr="00F01725">
        <w:rPr>
          <w:sz w:val="24"/>
          <w:shd w:val="clear" w:color="auto" w:fill="FFFFFF"/>
          <w:lang w:val="bg-BG"/>
        </w:rPr>
        <w:t>Регламент (ЕС, Евратом) 2024/765 на Съвета от 29 февруари 2024 г. за изменение на Регламент (EC, Евратом) 2020/2093 за определяне на многогодишната финансова рамка за годините 2021—2027 (ОВ L, 2024/765, 29.2.2024 г., ELI:</w:t>
      </w:r>
      <w:r w:rsidRPr="00F01725">
        <w:rPr>
          <w:color w:val="333333"/>
          <w:sz w:val="24"/>
          <w:shd w:val="clear" w:color="auto" w:fill="FFFFFF"/>
          <w:lang w:val="bg-BG"/>
        </w:rPr>
        <w:t xml:space="preserve"> </w:t>
      </w:r>
      <w:hyperlink r:id="rId3" w:history="1">
        <w:r w:rsidRPr="00F01725">
          <w:rPr>
            <w:rStyle w:val="Hyperlink"/>
            <w:sz w:val="24"/>
            <w:shd w:val="clear" w:color="auto" w:fill="FFFFFF"/>
            <w:lang w:val="bg-BG"/>
          </w:rPr>
          <w:t>http://data.europa.eu/eli/reg/2024/765/oj</w:t>
        </w:r>
      </w:hyperlink>
      <w:r w:rsidRPr="00F01725">
        <w:rPr>
          <w:i/>
          <w:color w:val="333333"/>
          <w:sz w:val="24"/>
          <w:shd w:val="clear" w:color="auto" w:fill="FFFFFF"/>
          <w:lang w:val="bg-BG"/>
        </w:rPr>
        <w:t>).</w:t>
      </w:r>
    </w:p>
  </w:footnote>
  <w:footnote w:id="4">
    <w:p w14:paraId="6C9212FF" w14:textId="5FA56B45" w:rsidR="006C0C7C" w:rsidRPr="00F01725" w:rsidRDefault="006C0C7C" w:rsidP="00F01725">
      <w:pPr>
        <w:pStyle w:val="FootnoteText"/>
        <w:ind w:left="567" w:hanging="567"/>
        <w:rPr>
          <w:sz w:val="24"/>
          <w:lang w:val="bg-BG"/>
        </w:rPr>
      </w:pPr>
      <w:r w:rsidRPr="00F01725">
        <w:rPr>
          <w:rStyle w:val="FootnoteReference"/>
          <w:sz w:val="24"/>
          <w:lang w:val="bg-BG"/>
        </w:rPr>
        <w:footnoteRef/>
      </w:r>
      <w:r w:rsidR="00F01725" w:rsidRPr="00F01725">
        <w:rPr>
          <w:sz w:val="24"/>
          <w:lang w:val="bg-BG"/>
        </w:rPr>
        <w:t xml:space="preserve"> </w:t>
      </w:r>
      <w:r w:rsidR="00F01725" w:rsidRPr="00F01725">
        <w:rPr>
          <w:sz w:val="24"/>
          <w:lang w:val="bg-BG"/>
        </w:rPr>
        <w:tab/>
      </w:r>
      <w:r w:rsidRPr="00F01725">
        <w:rPr>
          <w:sz w:val="24"/>
          <w:lang w:val="bg-BG"/>
        </w:rPr>
        <w:t xml:space="preserve">ОВ L 433 I, 22.12.2020 г., стр. 28, ELI: </w:t>
      </w:r>
      <w:hyperlink r:id="rId4" w:history="1">
        <w:r w:rsidRPr="00F01725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F01725">
        <w:rPr>
          <w:sz w:val="24"/>
          <w:lang w:val="bg-BG"/>
        </w:rPr>
        <w:t>.</w:t>
      </w:r>
    </w:p>
  </w:footnote>
  <w:footnote w:id="5">
    <w:p w14:paraId="3AEFC243" w14:textId="764D92E4" w:rsidR="006C0C7C" w:rsidRPr="00F01725" w:rsidRDefault="006C0C7C" w:rsidP="00F01725">
      <w:pPr>
        <w:pStyle w:val="FootnoteText"/>
        <w:ind w:left="567" w:hanging="567"/>
        <w:rPr>
          <w:sz w:val="24"/>
          <w:lang w:val="bg-BG"/>
        </w:rPr>
      </w:pPr>
      <w:r w:rsidRPr="00F01725">
        <w:rPr>
          <w:rStyle w:val="FootnoteReference"/>
          <w:sz w:val="24"/>
          <w:lang w:val="bg-BG"/>
        </w:rPr>
        <w:footnoteRef/>
      </w:r>
      <w:r w:rsidR="00F01725" w:rsidRPr="00F01725">
        <w:rPr>
          <w:sz w:val="24"/>
          <w:lang w:val="bg-BG"/>
        </w:rPr>
        <w:t xml:space="preserve"> </w:t>
      </w:r>
      <w:r w:rsidR="00F01725" w:rsidRPr="00F01725">
        <w:rPr>
          <w:sz w:val="24"/>
          <w:lang w:val="bg-BG"/>
        </w:rPr>
        <w:tab/>
      </w:r>
      <w:r w:rsidRPr="00F01725">
        <w:rPr>
          <w:sz w:val="24"/>
          <w:lang w:val="bg-BG"/>
        </w:rPr>
        <w:t>По смисъла на член 3 от Регламента за ЕФПГ.</w:t>
      </w:r>
    </w:p>
  </w:footnote>
  <w:footnote w:id="6">
    <w:p w14:paraId="1AFC6779" w14:textId="11C2BFF7" w:rsidR="006C0C7C" w:rsidRPr="00F01725" w:rsidRDefault="006C0C7C" w:rsidP="00F01725">
      <w:pPr>
        <w:pStyle w:val="FootnoteText"/>
        <w:ind w:left="567" w:hanging="567"/>
        <w:rPr>
          <w:sz w:val="24"/>
          <w:lang w:val="bg-BG"/>
        </w:rPr>
      </w:pPr>
      <w:r w:rsidRPr="00F01725">
        <w:rPr>
          <w:rStyle w:val="FootnoteReference"/>
          <w:sz w:val="24"/>
          <w:lang w:val="bg-BG"/>
        </w:rPr>
        <w:footnoteRef/>
      </w:r>
      <w:r w:rsidR="00F01725" w:rsidRPr="00F01725">
        <w:rPr>
          <w:sz w:val="24"/>
          <w:lang w:val="bg-BG"/>
        </w:rPr>
        <w:t xml:space="preserve"> </w:t>
      </w:r>
      <w:r w:rsidR="00F01725" w:rsidRPr="00F01725">
        <w:rPr>
          <w:sz w:val="24"/>
          <w:lang w:val="bg-BG"/>
        </w:rPr>
        <w:tab/>
      </w:r>
      <w:r w:rsidRPr="00F01725">
        <w:rPr>
          <w:sz w:val="24"/>
          <w:lang w:val="bg-BG"/>
        </w:rPr>
        <w:t>Член 8 от Регламента за МФР.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BDBB8" w14:textId="77777777" w:rsidR="006C0C7C" w:rsidRPr="00F01725" w:rsidRDefault="006C0C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15FA" w14:textId="77777777" w:rsidR="006C0C7C" w:rsidRPr="00F01725" w:rsidRDefault="006C0C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FE9E4" w14:textId="77777777" w:rsidR="006C0C7C" w:rsidRPr="00F01725" w:rsidRDefault="006C0C7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A4FD" w14:textId="77777777" w:rsidR="00064002" w:rsidRPr="00F01725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C08ED" w14:textId="77777777" w:rsidR="00064002" w:rsidRPr="00F01725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91789" w14:textId="77777777" w:rsidR="00064002" w:rsidRPr="00F017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6264749">
    <w:abstractNumId w:val="9"/>
  </w:num>
  <w:num w:numId="2" w16cid:durableId="683433365">
    <w:abstractNumId w:val="9"/>
  </w:num>
  <w:num w:numId="3" w16cid:durableId="944776409">
    <w:abstractNumId w:val="7"/>
  </w:num>
  <w:num w:numId="4" w16cid:durableId="1432554569">
    <w:abstractNumId w:val="7"/>
  </w:num>
  <w:num w:numId="5" w16cid:durableId="1594706">
    <w:abstractNumId w:val="6"/>
  </w:num>
  <w:num w:numId="6" w16cid:durableId="1597440646">
    <w:abstractNumId w:val="6"/>
  </w:num>
  <w:num w:numId="7" w16cid:durableId="425923206">
    <w:abstractNumId w:val="5"/>
  </w:num>
  <w:num w:numId="8" w16cid:durableId="1821992539">
    <w:abstractNumId w:val="5"/>
  </w:num>
  <w:num w:numId="9" w16cid:durableId="2012905129">
    <w:abstractNumId w:val="4"/>
  </w:num>
  <w:num w:numId="10" w16cid:durableId="1470635061">
    <w:abstractNumId w:val="4"/>
  </w:num>
  <w:num w:numId="11" w16cid:durableId="1721436134">
    <w:abstractNumId w:val="8"/>
  </w:num>
  <w:num w:numId="12" w16cid:durableId="1056126791">
    <w:abstractNumId w:val="8"/>
  </w:num>
  <w:num w:numId="13" w16cid:durableId="319584084">
    <w:abstractNumId w:val="3"/>
  </w:num>
  <w:num w:numId="14" w16cid:durableId="1933322220">
    <w:abstractNumId w:val="3"/>
  </w:num>
  <w:num w:numId="15" w16cid:durableId="1954826656">
    <w:abstractNumId w:val="2"/>
  </w:num>
  <w:num w:numId="16" w16cid:durableId="1399136015">
    <w:abstractNumId w:val="2"/>
  </w:num>
  <w:num w:numId="17" w16cid:durableId="1573812773">
    <w:abstractNumId w:val="1"/>
  </w:num>
  <w:num w:numId="18" w16cid:durableId="229852094">
    <w:abstractNumId w:val="1"/>
  </w:num>
  <w:num w:numId="19" w16cid:durableId="1738354848">
    <w:abstractNumId w:val="0"/>
  </w:num>
  <w:num w:numId="20" w16cid:durableId="1134372522">
    <w:abstractNumId w:val="0"/>
  </w:num>
  <w:num w:numId="21" w16cid:durableId="654770364">
    <w:abstractNumId w:val="9"/>
  </w:num>
  <w:num w:numId="22" w16cid:durableId="175729448">
    <w:abstractNumId w:val="7"/>
  </w:num>
  <w:num w:numId="23" w16cid:durableId="589659215">
    <w:abstractNumId w:val="6"/>
  </w:num>
  <w:num w:numId="24" w16cid:durableId="1579515226">
    <w:abstractNumId w:val="5"/>
  </w:num>
  <w:num w:numId="25" w16cid:durableId="1959944242">
    <w:abstractNumId w:val="4"/>
  </w:num>
  <w:num w:numId="26" w16cid:durableId="271088847">
    <w:abstractNumId w:val="8"/>
  </w:num>
  <w:num w:numId="27" w16cid:durableId="1357731203">
    <w:abstractNumId w:val="3"/>
  </w:num>
  <w:num w:numId="28" w16cid:durableId="687604710">
    <w:abstractNumId w:val="2"/>
  </w:num>
  <w:num w:numId="29" w16cid:durableId="152718662">
    <w:abstractNumId w:val="1"/>
  </w:num>
  <w:num w:numId="30" w16cid:durableId="1673605302">
    <w:abstractNumId w:val="0"/>
  </w:num>
  <w:num w:numId="31" w16cid:durableId="1669599013">
    <w:abstractNumId w:val="9"/>
  </w:num>
  <w:num w:numId="32" w16cid:durableId="1093087617">
    <w:abstractNumId w:val="7"/>
  </w:num>
  <w:num w:numId="33" w16cid:durableId="1781878937">
    <w:abstractNumId w:val="6"/>
  </w:num>
  <w:num w:numId="34" w16cid:durableId="1907451728">
    <w:abstractNumId w:val="5"/>
  </w:num>
  <w:num w:numId="35" w16cid:durableId="502355164">
    <w:abstractNumId w:val="4"/>
  </w:num>
  <w:num w:numId="36" w16cid:durableId="845171607">
    <w:abstractNumId w:val="8"/>
  </w:num>
  <w:num w:numId="37" w16cid:durableId="211844446">
    <w:abstractNumId w:val="3"/>
  </w:num>
  <w:num w:numId="38" w16cid:durableId="279649784">
    <w:abstractNumId w:val="2"/>
  </w:num>
  <w:num w:numId="39" w16cid:durableId="455105918">
    <w:abstractNumId w:val="1"/>
  </w:num>
  <w:num w:numId="40" w16cid:durableId="684751912">
    <w:abstractNumId w:val="0"/>
  </w:num>
  <w:num w:numId="41" w16cid:durableId="843127978">
    <w:abstractNumId w:val="10"/>
  </w:num>
  <w:num w:numId="42" w16cid:durableId="1543712389">
    <w:abstractNumId w:val="10"/>
  </w:num>
  <w:num w:numId="43" w16cid:durableId="1887182076">
    <w:abstractNumId w:val="10"/>
  </w:num>
  <w:num w:numId="44" w16cid:durableId="8606278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0/2026"/>
    <w:docVar w:name="dvlangue" w:val="BG"/>
    <w:docVar w:name="dvnumam" w:val="0"/>
    <w:docVar w:name="dvpe" w:val="782.416"/>
    <w:docVar w:name="dvrapporteur" w:val="Докладчик: "/>
    <w:docVar w:name="dvtitre" w:val="Резолюция на Европейския парламент от ... 2026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 – EGF/2025/004 BE/Tupperware (COM(2026)0001 – C10-0012/2026 – 2026/0004(BUD))"/>
  </w:docVars>
  <w:rsids>
    <w:rsidRoot w:val="00905F0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76AEC"/>
    <w:rsid w:val="002B18FE"/>
    <w:rsid w:val="002B5493"/>
    <w:rsid w:val="0030097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4E8"/>
    <w:rsid w:val="005C2568"/>
    <w:rsid w:val="005E3EE7"/>
    <w:rsid w:val="005F1B17"/>
    <w:rsid w:val="006037C0"/>
    <w:rsid w:val="00622DC5"/>
    <w:rsid w:val="006631B6"/>
    <w:rsid w:val="00680577"/>
    <w:rsid w:val="006B7C7F"/>
    <w:rsid w:val="006C0C7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46E"/>
    <w:rsid w:val="00865F67"/>
    <w:rsid w:val="00881A7B"/>
    <w:rsid w:val="008840E5"/>
    <w:rsid w:val="00887B3E"/>
    <w:rsid w:val="008C2AC6"/>
    <w:rsid w:val="00905F0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2D6"/>
    <w:rsid w:val="00C941CB"/>
    <w:rsid w:val="00CC2357"/>
    <w:rsid w:val="00CF071A"/>
    <w:rsid w:val="00D058B8"/>
    <w:rsid w:val="00D12BB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725"/>
    <w:rsid w:val="00F04346"/>
    <w:rsid w:val="00F075DC"/>
    <w:rsid w:val="00F149E9"/>
    <w:rsid w:val="00F5134D"/>
    <w:rsid w:val="00F74202"/>
    <w:rsid w:val="00F7655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0952A"/>
  <w15:chartTrackingRefBased/>
  <w15:docId w15:val="{CBC83425-9A03-4B6F-8BD7-CAE9DACD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C0C7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6C0C7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6C0C7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C0C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C0C7C"/>
    <w:rPr>
      <w:sz w:val="24"/>
      <w:lang w:val="bg-BG"/>
    </w:rPr>
  </w:style>
  <w:style w:type="paragraph" w:customStyle="1" w:styleId="EPFooter">
    <w:name w:val="EPFooter"/>
    <w:basedOn w:val="Normal"/>
    <w:rsid w:val="006C0C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C0C7C"/>
    <w:pPr>
      <w:spacing w:before="480" w:after="240"/>
    </w:pPr>
  </w:style>
  <w:style w:type="character" w:styleId="Hyperlink">
    <w:name w:val="Hyperlink"/>
    <w:basedOn w:val="DefaultParagraphFont"/>
    <w:uiPriority w:val="99"/>
    <w:rsid w:val="006C0C7C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6C0C7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6C0C7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6C0C7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C0C7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C0C7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C0C7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6C0C7C"/>
    <w:rPr>
      <w:rFonts w:ascii="Arial" w:hAnsi="Arial" w:cs="Arial"/>
      <w:b/>
      <w:sz w:val="24"/>
      <w:lang w:val="bg-BG"/>
    </w:rPr>
  </w:style>
  <w:style w:type="character" w:customStyle="1" w:styleId="NormalHanging12aChar">
    <w:name w:val="NormalHanging12a Char"/>
    <w:basedOn w:val="DefaultParagraphFont"/>
    <w:link w:val="NormalHanging12a"/>
    <w:locked/>
    <w:rsid w:val="006C0C7C"/>
    <w:rPr>
      <w:sz w:val="24"/>
      <w:lang w:val="bg-BG"/>
    </w:rPr>
  </w:style>
  <w:style w:type="paragraph" w:customStyle="1" w:styleId="Personnequisigne">
    <w:name w:val="Personne qui signe"/>
    <w:basedOn w:val="Normal"/>
    <w:next w:val="Institutionquisigne"/>
    <w:rsid w:val="006C0C7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Revision">
    <w:name w:val="Revision"/>
    <w:hidden/>
    <w:uiPriority w:val="99"/>
    <w:semiHidden/>
    <w:rsid w:val="00276AEC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276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1620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2026-05-11T12:26:00Z</dcterms:created>
  <dcterms:modified xsi:type="dcterms:W3CDTF">2026-05-11T12:26:00Z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P10_TA(2026)0073_</vt:lpwstr>
  </property>
  <property fmtid="{D5CDD505-2E9C-101B-9397-08002B2CF9AE}" pid="4" name="&lt;Type&gt;">
    <vt:lpwstr>RR</vt:lpwstr>
  </property>
</Properties>
</file>