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2F66" w14:paraId="426A6A6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8EEDF1" w14:textId="20B17A55" w:rsidR="00751A4A" w:rsidRPr="00362F66" w:rsidRDefault="00D33285" w:rsidP="0010095E">
            <w:pPr>
              <w:pStyle w:val="EPName"/>
            </w:pPr>
            <w:r w:rsidRPr="00362F66">
              <w:t>Evropský parlament</w:t>
            </w:r>
          </w:p>
          <w:p w14:paraId="224B22E6" w14:textId="77777777" w:rsidR="00751A4A" w:rsidRPr="00362F6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2F66">
              <w:t>2024</w:t>
            </w:r>
            <w:r w:rsidR="00817416" w:rsidRPr="00362F66">
              <w:t>-202</w:t>
            </w:r>
            <w:r w:rsidRPr="00362F66">
              <w:t>9</w:t>
            </w:r>
          </w:p>
        </w:tc>
        <w:tc>
          <w:tcPr>
            <w:tcW w:w="2268" w:type="dxa"/>
            <w:shd w:val="clear" w:color="auto" w:fill="auto"/>
          </w:tcPr>
          <w:p w14:paraId="37869E0F" w14:textId="77777777" w:rsidR="00751A4A" w:rsidRPr="00362F66" w:rsidRDefault="00187494" w:rsidP="0010095E">
            <w:pPr>
              <w:pStyle w:val="EPLogo"/>
            </w:pPr>
            <w:r w:rsidRPr="00362F66">
              <w:rPr>
                <w:noProof/>
                <w:lang w:eastAsia="ja-JP"/>
              </w:rPr>
              <w:drawing>
                <wp:inline distT="0" distB="0" distL="0" distR="0" wp14:anchorId="78113113" wp14:editId="4694A65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800FA4" w14:textId="77777777" w:rsidR="00D058B8" w:rsidRPr="00362F66" w:rsidRDefault="00D058B8" w:rsidP="004C5D52">
      <w:pPr>
        <w:pStyle w:val="LineTop"/>
      </w:pPr>
    </w:p>
    <w:p w14:paraId="56E4B87B" w14:textId="738B0168" w:rsidR="00680577" w:rsidRPr="00362F66" w:rsidRDefault="00D33285" w:rsidP="00680577">
      <w:pPr>
        <w:pStyle w:val="EPBodyTA1"/>
      </w:pPr>
      <w:r w:rsidRPr="00362F66">
        <w:t>PŘIJATÉ TEXTY</w:t>
      </w:r>
    </w:p>
    <w:p w14:paraId="1F861F7A" w14:textId="77777777" w:rsidR="00D058B8" w:rsidRPr="00362F66" w:rsidRDefault="00D058B8" w:rsidP="00D058B8">
      <w:pPr>
        <w:pStyle w:val="LineBottom"/>
      </w:pPr>
    </w:p>
    <w:p w14:paraId="623F67B0" w14:textId="7AF7CEBC" w:rsidR="00D33285" w:rsidRPr="00362F66" w:rsidRDefault="00D33285" w:rsidP="00D33285">
      <w:pPr>
        <w:pStyle w:val="ATHeading1"/>
      </w:pPr>
      <w:bookmarkStart w:id="0" w:name="TANumber"/>
      <w:r w:rsidRPr="00362F66">
        <w:t>P10_</w:t>
      </w:r>
      <w:proofErr w:type="gramStart"/>
      <w:r w:rsidRPr="00362F66">
        <w:t>TA(</w:t>
      </w:r>
      <w:proofErr w:type="gramEnd"/>
      <w:r w:rsidRPr="00362F66">
        <w:t>2026)00</w:t>
      </w:r>
      <w:r w:rsidR="0086590B">
        <w:t>73</w:t>
      </w:r>
      <w:bookmarkEnd w:id="0"/>
    </w:p>
    <w:p w14:paraId="17ABCA21" w14:textId="61BF34CD" w:rsidR="00D33285" w:rsidRPr="00362F66" w:rsidRDefault="0072005E" w:rsidP="0072005E">
      <w:pPr>
        <w:pStyle w:val="ATHeading2"/>
      </w:pPr>
      <w:r>
        <w:t>Uvolnění prostředků z Evropského fondu pro přizpůsobení se globalizaci na pomoc propuštěným pracovníkům</w:t>
      </w:r>
      <w:r w:rsidR="002D0A52">
        <w:t>:</w:t>
      </w:r>
      <w:r>
        <w:t xml:space="preserve"> žádost</w:t>
      </w:r>
      <w:r w:rsidR="002D0A52">
        <w:t xml:space="preserve"> </w:t>
      </w:r>
      <w:r>
        <w:t>EGF/2025/004 BE/</w:t>
      </w:r>
      <w:proofErr w:type="spellStart"/>
      <w:r>
        <w:t>Tupperware</w:t>
      </w:r>
      <w:proofErr w:type="spellEnd"/>
      <w:r w:rsidR="002D0A52" w:rsidRPr="002D0A52">
        <w:t xml:space="preserve"> – Belgie</w:t>
      </w:r>
    </w:p>
    <w:p w14:paraId="433813A5" w14:textId="77777777" w:rsidR="00D33285" w:rsidRPr="00362F66" w:rsidRDefault="00D33285" w:rsidP="00D33285">
      <w:pPr>
        <w:rPr>
          <w:i/>
          <w:vanish/>
        </w:rPr>
      </w:pPr>
      <w:r w:rsidRPr="00362F66">
        <w:rPr>
          <w:i/>
        </w:rPr>
        <w:fldChar w:fldCharType="begin"/>
      </w:r>
      <w:r w:rsidRPr="00362F66">
        <w:rPr>
          <w:i/>
        </w:rPr>
        <w:instrText xml:space="preserve"> TC"(</w:instrText>
      </w:r>
      <w:bookmarkStart w:id="1" w:name="DocNumber"/>
      <w:r w:rsidRPr="00362F66">
        <w:rPr>
          <w:i/>
        </w:rPr>
        <w:instrText>A10-0030/2026</w:instrText>
      </w:r>
      <w:bookmarkEnd w:id="1"/>
      <w:r w:rsidRPr="00362F66">
        <w:rPr>
          <w:i/>
        </w:rPr>
        <w:instrText xml:space="preserve"> - Zpravodaj: Jean-Marc Germain)"\l3 \n&gt; \* MERGEFORMAT </w:instrText>
      </w:r>
      <w:r w:rsidRPr="00362F66">
        <w:rPr>
          <w:i/>
        </w:rPr>
        <w:fldChar w:fldCharType="end"/>
      </w:r>
    </w:p>
    <w:p w14:paraId="7C11C94B" w14:textId="77777777" w:rsidR="00D33285" w:rsidRPr="00362F66" w:rsidRDefault="00D33285" w:rsidP="00D33285">
      <w:pPr>
        <w:rPr>
          <w:vanish/>
        </w:rPr>
      </w:pPr>
      <w:bookmarkStart w:id="2" w:name="Commission"/>
      <w:r w:rsidRPr="00362F66">
        <w:rPr>
          <w:vanish/>
        </w:rPr>
        <w:t>Rozpočtový výbor</w:t>
      </w:r>
      <w:bookmarkEnd w:id="2"/>
    </w:p>
    <w:p w14:paraId="0C2745EF" w14:textId="77777777" w:rsidR="00D33285" w:rsidRPr="00362F66" w:rsidRDefault="00D33285" w:rsidP="00D33285">
      <w:pPr>
        <w:rPr>
          <w:vanish/>
        </w:rPr>
      </w:pPr>
      <w:bookmarkStart w:id="3" w:name="PE"/>
      <w:r w:rsidRPr="00362F66">
        <w:rPr>
          <w:vanish/>
        </w:rPr>
        <w:t>PE782.416</w:t>
      </w:r>
      <w:bookmarkEnd w:id="3"/>
    </w:p>
    <w:p w14:paraId="07B5FE6C" w14:textId="7F598299" w:rsidR="00D33285" w:rsidRPr="00362F66" w:rsidRDefault="00D33285" w:rsidP="00D33285">
      <w:pPr>
        <w:pStyle w:val="ATHeading3"/>
      </w:pPr>
      <w:bookmarkStart w:id="4" w:name="Sujet"/>
      <w:r w:rsidRPr="00362F66">
        <w:t>Usnesení Evropského parlamentu ze dne</w:t>
      </w:r>
      <w:r w:rsidR="00263E5B">
        <w:t xml:space="preserve"> </w:t>
      </w:r>
      <w:r w:rsidR="002D0A52">
        <w:t>11</w:t>
      </w:r>
      <w:r w:rsidR="00263E5B">
        <w:t>. března</w:t>
      </w:r>
      <w:r w:rsidRPr="00362F66">
        <w:t xml:space="preserve"> 2026 o návrhu rozhodnutí Evropského parlamentu a Rady o uvolnění prostředků z Evropského fondu pro přizpůsobení se globalizaci na pomoc propuštěným pracovníkům na základě žádosti Belgie – EGF/2025/004 BE/</w:t>
      </w:r>
      <w:proofErr w:type="spellStart"/>
      <w:r w:rsidRPr="00362F66">
        <w:t>Tupperware</w:t>
      </w:r>
      <w:bookmarkEnd w:id="4"/>
      <w:proofErr w:type="spellEnd"/>
      <w:r w:rsidRPr="00362F66">
        <w:t xml:space="preserve"> </w:t>
      </w:r>
      <w:bookmarkStart w:id="5" w:name="References"/>
      <w:r w:rsidRPr="00362F66">
        <w:t>(</w:t>
      </w:r>
      <w:proofErr w:type="gramStart"/>
      <w:r w:rsidRPr="00362F66">
        <w:t>COM(</w:t>
      </w:r>
      <w:proofErr w:type="gramEnd"/>
      <w:r w:rsidRPr="00362F66">
        <w:t>2026)0001 – C10-0012/2026 – 2026/0004(BUD))</w:t>
      </w:r>
      <w:bookmarkEnd w:id="5"/>
    </w:p>
    <w:p w14:paraId="391D400D" w14:textId="77777777" w:rsidR="00D844FE" w:rsidRPr="00362F66" w:rsidRDefault="00D844FE" w:rsidP="00D844FE">
      <w:pPr>
        <w:pStyle w:val="EPComma"/>
        <w:rPr>
          <w:noProof/>
        </w:rPr>
      </w:pPr>
      <w:r w:rsidRPr="00362F66">
        <w:rPr>
          <w:i/>
        </w:rPr>
        <w:t>Evropský parlament</w:t>
      </w:r>
      <w:r w:rsidRPr="00362F66">
        <w:t>,</w:t>
      </w:r>
    </w:p>
    <w:p w14:paraId="322F104F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–</w:t>
      </w:r>
      <w:r w:rsidRPr="00362F66">
        <w:tab/>
        <w:t>s ohledem na návrh Komise předložený Evropskému parlamentu a Radě (</w:t>
      </w:r>
      <w:proofErr w:type="gramStart"/>
      <w:r w:rsidRPr="00362F66">
        <w:t>COM(</w:t>
      </w:r>
      <w:proofErr w:type="gramEnd"/>
      <w:r w:rsidRPr="00362F66">
        <w:t>2026)0001 – C10</w:t>
      </w:r>
      <w:r w:rsidRPr="00362F66">
        <w:noBreakHyphen/>
        <w:t>0012/2026),</w:t>
      </w:r>
    </w:p>
    <w:p w14:paraId="52917B84" w14:textId="4E3818DC" w:rsidR="00D844FE" w:rsidRPr="00362F66" w:rsidRDefault="00D844FE" w:rsidP="00D844FE">
      <w:pPr>
        <w:pStyle w:val="NormalHanging12a"/>
        <w:rPr>
          <w:noProof/>
        </w:rPr>
      </w:pPr>
      <w:r w:rsidRPr="00362F66">
        <w:t>–</w:t>
      </w:r>
      <w:r w:rsidRPr="00362F66">
        <w:tab/>
        <w:t>s ohledem na nařízení Evropského parlamentu a Rady (EU) 2021/691 ze dne 28. dubna 2021 o Evropském fondu pro přizpůsobení se globalizaci na pomoc propuštěným pracovníkům (EFG) a o zrušení nařízení (E</w:t>
      </w:r>
      <w:r w:rsidR="0053264F">
        <w:t>U</w:t>
      </w:r>
      <w:r w:rsidRPr="00362F66">
        <w:t>) č. 1309/2013</w:t>
      </w:r>
      <w:r w:rsidRPr="00362F66">
        <w:rPr>
          <w:rStyle w:val="FootnoteReference"/>
        </w:rPr>
        <w:footnoteReference w:id="1"/>
      </w:r>
      <w:r w:rsidRPr="00362F66">
        <w:t xml:space="preserve"> (dále jen „nařízení o EFG“),</w:t>
      </w:r>
    </w:p>
    <w:p w14:paraId="323C6878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–</w:t>
      </w:r>
      <w:r w:rsidRPr="00362F66">
        <w:tab/>
        <w:t>s ohledem na nařízení Rady (EU, Euratom) 2020/2093 ze dne 17. prosince 2020, kterým se stanoví víceletý finanční rámec na období 2021–2027</w:t>
      </w:r>
      <w:r w:rsidRPr="00362F66">
        <w:rPr>
          <w:noProof/>
          <w:vertAlign w:val="superscript"/>
        </w:rPr>
        <w:footnoteReference w:id="2"/>
      </w:r>
      <w:r w:rsidRPr="00362F66">
        <w:t>, ve znění nařízení (EU, Euratom) 2024/765</w:t>
      </w:r>
      <w:r w:rsidRPr="00362F66">
        <w:rPr>
          <w:noProof/>
          <w:vertAlign w:val="superscript"/>
        </w:rPr>
        <w:footnoteReference w:id="3"/>
      </w:r>
      <w:r w:rsidRPr="00362F66">
        <w:t xml:space="preserve"> (dále jen „nařízení o VFR“), a zejména na článek 8 tohoto nařízení,</w:t>
      </w:r>
    </w:p>
    <w:p w14:paraId="5280A48D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–</w:t>
      </w:r>
      <w:r w:rsidRPr="00362F66">
        <w:tab/>
        <w:t>s ohledem na interinstitucionální dohodu ze dne 16. prosince 2020 mezi Evropským parlamentem, Radou Evropské unie a Evropskou komisí o rozpočtové kázni, spolupráci v rozpočtových záležitostech a řádném finančním řízení, jakož i o nových vlastních zdrojích, včetně plánu zavádění nových vlastních zdrojů</w:t>
      </w:r>
      <w:r w:rsidRPr="00362F66">
        <w:rPr>
          <w:rStyle w:val="FootnoteReference"/>
          <w:noProof/>
        </w:rPr>
        <w:footnoteReference w:id="4"/>
      </w:r>
      <w:r w:rsidRPr="00362F66">
        <w:t xml:space="preserve">, a zejména na bod 9 této </w:t>
      </w:r>
      <w:r w:rsidRPr="00362F66">
        <w:lastRenderedPageBreak/>
        <w:t>dohody,</w:t>
      </w:r>
    </w:p>
    <w:p w14:paraId="2C3590B6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–</w:t>
      </w:r>
      <w:r w:rsidRPr="00362F66">
        <w:tab/>
        <w:t>s ohledem na evropský pilíř sociálních práv,</w:t>
      </w:r>
    </w:p>
    <w:p w14:paraId="1DFD67A4" w14:textId="77777777" w:rsidR="00D844FE" w:rsidRPr="00362F66" w:rsidRDefault="00D844FE" w:rsidP="00D844FE">
      <w:pPr>
        <w:pStyle w:val="NormalHanging12a"/>
      </w:pPr>
      <w:r w:rsidRPr="00362F66">
        <w:t>–</w:t>
      </w:r>
      <w:r w:rsidRPr="00362F66">
        <w:tab/>
        <w:t>s ohledem na stanovisko Výboru pro zaměstnanost a sociální věci,</w:t>
      </w:r>
    </w:p>
    <w:p w14:paraId="1D7DCA09" w14:textId="77777777" w:rsidR="00D844FE" w:rsidRPr="00362F66" w:rsidRDefault="00D844FE" w:rsidP="00D844FE">
      <w:pPr>
        <w:pStyle w:val="NormalHanging12a"/>
      </w:pPr>
      <w:r w:rsidRPr="00362F66">
        <w:t>–</w:t>
      </w:r>
      <w:r w:rsidRPr="00362F66">
        <w:tab/>
        <w:t>s ohledem na zprávu Rozpočtového výboru (A10</w:t>
      </w:r>
      <w:r w:rsidRPr="00362F66">
        <w:noBreakHyphen/>
        <w:t>0030/2026),</w:t>
      </w:r>
    </w:p>
    <w:p w14:paraId="7DBC6B5F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A.</w:t>
      </w:r>
      <w:r w:rsidRPr="00362F66">
        <w:tab/>
        <w:t>vzhledem k tomu, že Unie vytvořila legislativní a rozpočtové nástroje s cílem poskytovat dodatečnou podporu pracovníkům, kteří jsou postiženi důsledky významných událostí a změn ve struktuře světového obchodu, a pomáhat jim při opětovném začleňování na trh práce; vzhledem k tomu, že tato pomoc je poskytována v podobě finanční podpory pracovníkům;</w:t>
      </w:r>
    </w:p>
    <w:p w14:paraId="40700CE1" w14:textId="378B7D31" w:rsidR="00D844FE" w:rsidRPr="00362F66" w:rsidRDefault="00D844FE" w:rsidP="00D844FE">
      <w:pPr>
        <w:pStyle w:val="NormalHanging12a"/>
        <w:rPr>
          <w:noProof/>
        </w:rPr>
      </w:pPr>
      <w:r w:rsidRPr="00362F66">
        <w:t>B.</w:t>
      </w:r>
      <w:r w:rsidRPr="00362F66">
        <w:tab/>
        <w:t>vzhledem k tomu, že Belgie předložila žádost EGF/2025/004 BE/</w:t>
      </w:r>
      <w:proofErr w:type="spellStart"/>
      <w:r w:rsidRPr="00362F66">
        <w:t>Tupperware</w:t>
      </w:r>
      <w:proofErr w:type="spellEnd"/>
      <w:r w:rsidRPr="00362F66">
        <w:t xml:space="preserve"> o finanční příspěvek z </w:t>
      </w:r>
      <w:r w:rsidR="002D0A52" w:rsidRPr="002D0A52">
        <w:t xml:space="preserve">Evropského fondu pro přizpůsobení se globalizaci </w:t>
      </w:r>
      <w:r w:rsidR="002D0A52">
        <w:t>(</w:t>
      </w:r>
      <w:r w:rsidRPr="00362F66">
        <w:t>EFG</w:t>
      </w:r>
      <w:r w:rsidR="002D0A52">
        <w:t>)</w:t>
      </w:r>
      <w:r w:rsidRPr="00362F66">
        <w:t xml:space="preserve"> v souvislosti s propuštěním 267 pracovníků</w:t>
      </w:r>
      <w:r w:rsidRPr="00362F66">
        <w:rPr>
          <w:noProof/>
          <w:vertAlign w:val="superscript"/>
        </w:rPr>
        <w:footnoteReference w:id="5"/>
      </w:r>
      <w:r w:rsidRPr="00362F66">
        <w:t xml:space="preserve"> v podniku </w:t>
      </w:r>
      <w:proofErr w:type="spellStart"/>
      <w:r w:rsidRPr="00362F66">
        <w:t>Tupperware</w:t>
      </w:r>
      <w:proofErr w:type="spellEnd"/>
      <w:r w:rsidRPr="00362F66">
        <w:t xml:space="preserve"> General Services NV (</w:t>
      </w:r>
      <w:proofErr w:type="spellStart"/>
      <w:r w:rsidRPr="00362F66">
        <w:t>Tupperware</w:t>
      </w:r>
      <w:proofErr w:type="spellEnd"/>
      <w:r w:rsidRPr="00362F66">
        <w:t xml:space="preserve">) v hospodářském odvětví, které je v rámci klasifikace NACE Revize 2 zařazeno do oddílu 22 (Výroba pryžových a plastových výrobků), v provincii Východní Flandry (BE23) během referenčního období od 17. února 2025 do 17. června 2025; </w:t>
      </w:r>
    </w:p>
    <w:p w14:paraId="25AAE6D6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C.</w:t>
      </w:r>
      <w:r w:rsidRPr="00362F66">
        <w:tab/>
        <w:t xml:space="preserve">vzhledem k tomu, že se žádost opírá o kritéria pro pomoc stanovená v čl. 4 odst. 2 písm. a) nařízení o EFG, které vyžaduje ukončení činnosti nejméně 200 propuštěných pracovníků nebo osob samostatně výdělečně činných během referenčního období v délce čtyř měsíců v jednom podniku v členském státě; </w:t>
      </w:r>
    </w:p>
    <w:p w14:paraId="28666414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D.</w:t>
      </w:r>
      <w:r w:rsidRPr="00362F66">
        <w:tab/>
        <w:t xml:space="preserve">vzhledem k tomu, že podnik </w:t>
      </w:r>
      <w:proofErr w:type="spellStart"/>
      <w:r w:rsidRPr="00362F66">
        <w:t>Tupperware</w:t>
      </w:r>
      <w:proofErr w:type="spellEnd"/>
      <w:r w:rsidRPr="00362F66">
        <w:t xml:space="preserve"> podal dne 17. února 2025 návrh na vyhlášení úpadku; vzhledem k tomu, že v Belgii se od roku 2022 počet úpadků neustále zvyšuje;</w:t>
      </w:r>
    </w:p>
    <w:p w14:paraId="7B1A1FEA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E.</w:t>
      </w:r>
      <w:r w:rsidRPr="00362F66">
        <w:tab/>
        <w:t>vzhledem k tomu, že Belgie uvedla, že vnitrostátní předběžné financování a spolufinancování opatření poskytuje úřad VDAB;</w:t>
      </w:r>
    </w:p>
    <w:p w14:paraId="34474D3E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F.</w:t>
      </w:r>
      <w:r w:rsidRPr="00362F66">
        <w:tab/>
        <w:t>vzhledem k tomu, že byly splněny požadavky stanovené v unijních a vnitrostátních právních předpisech, které se týkají hromadného propouštění;</w:t>
      </w:r>
    </w:p>
    <w:p w14:paraId="2E6B1978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G.</w:t>
      </w:r>
      <w:r w:rsidRPr="00362F66">
        <w:tab/>
        <w:t>vzhledem k tomu, že finanční příspěvky z EFG by měly primárně směřovat na aktivní opatření politiky v oblasti trhu práce a na individualizované služby, jejichž cílem je rychle důstojně a udržitelně opětovně zaměstnat příjemce a současně je připravit pro zelenější a digitální evropskou ekonomiku;</w:t>
      </w:r>
    </w:p>
    <w:p w14:paraId="5DBCD12E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H.</w:t>
      </w:r>
      <w:r w:rsidRPr="00362F66">
        <w:tab/>
        <w:t>vzhledem k tomu, že EFG nepřekročí maximální roční částku 30 milionů EUR (v cenách roku 2018)</w:t>
      </w:r>
      <w:r w:rsidRPr="00362F66">
        <w:rPr>
          <w:noProof/>
          <w:vertAlign w:val="superscript"/>
        </w:rPr>
        <w:footnoteReference w:id="6"/>
      </w:r>
      <w:r w:rsidRPr="00362F66">
        <w:t xml:space="preserve">; </w:t>
      </w:r>
    </w:p>
    <w:p w14:paraId="2FB1C195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1.</w:t>
      </w:r>
      <w:r w:rsidRPr="00362F66">
        <w:tab/>
        <w:t>souhlasí s Komisí, že podmínky stanovené v nařízení o EFG, a zejména v čl. 4 odst. 2 písm. a) tohoto nařízení byly splněny, a Belgie má proto podle uvedeného nařízení nárok na finanční příspěvek ve výši 1 622 650 EUR, což představuje 85 % celkových nákladů, které činí 1 909 000 EUR a zahrnují výdaje na individualizované služby ve výši 1 843 500 EUR a výdaje na přípravné, řídicí, informační, propagační, kontrolní a vykazovací činnosti ve výši 65 500 EUR;</w:t>
      </w:r>
    </w:p>
    <w:p w14:paraId="515C2BDF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lastRenderedPageBreak/>
        <w:t>2.</w:t>
      </w:r>
      <w:r w:rsidRPr="00362F66">
        <w:tab/>
        <w:t>konstatuje, že belgické orgány podaly žádost dne 28. srpna 2025 a že poté, co Belgie poskytla další informace, dokončila Komise dne 20. ledna 2026, tj. téměř o pět měsíců později, své posouzení a tentýž den o tom informovala Parlament; zdůrazňuje, že je důležité zkrátit dobu mezi podáním žádosti o pomoc z EFG a rozhodnutím o financování a zároveň v plné míře ochránit práva Evropského parlamentu jakožto jedné ze složek rozpočtového orgánu;</w:t>
      </w:r>
    </w:p>
    <w:p w14:paraId="580BF36F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3.</w:t>
      </w:r>
      <w:r w:rsidRPr="00362F66">
        <w:tab/>
        <w:t xml:space="preserve">bere na vědomí, že žádost se týká 267 cílových příjemců, kteří byli propuštěni v podniku </w:t>
      </w:r>
      <w:proofErr w:type="spellStart"/>
      <w:r w:rsidRPr="00362F66">
        <w:t>Tupperware</w:t>
      </w:r>
      <w:proofErr w:type="spellEnd"/>
      <w:r w:rsidRPr="00362F66">
        <w:t>;</w:t>
      </w:r>
    </w:p>
    <w:p w14:paraId="5D86D8F7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4.</w:t>
      </w:r>
      <w:r w:rsidRPr="00362F66">
        <w:tab/>
        <w:t xml:space="preserve">konstatuje, že podnik </w:t>
      </w:r>
      <w:proofErr w:type="spellStart"/>
      <w:r w:rsidRPr="00362F66">
        <w:t>Tupperware</w:t>
      </w:r>
      <w:proofErr w:type="spellEnd"/>
      <w:r w:rsidRPr="00362F66">
        <w:t xml:space="preserve"> se nacházel ve městě </w:t>
      </w:r>
      <w:proofErr w:type="spellStart"/>
      <w:r w:rsidRPr="00362F66">
        <w:t>Aalst</w:t>
      </w:r>
      <w:proofErr w:type="spellEnd"/>
      <w:r w:rsidRPr="00362F66">
        <w:t xml:space="preserve"> v provincii Východní Flandry, kde již předtím, než tento podnik vyhlásil úpadek, měl zaměstnání pouze jeden člověk ze dvou, zatímco v regionu Flandry to jsou v průměru dva lidé ze tří; vyjadřuje politování nad tím, že toto propouštění situaci ještě zhorší; zdůrazňuje, že je třeba urychleně jednat, aby se zabránilo strukturálnímu úpadku regionu;</w:t>
      </w:r>
    </w:p>
    <w:p w14:paraId="193E6E4C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5.</w:t>
      </w:r>
      <w:r w:rsidRPr="00362F66">
        <w:tab/>
        <w:t xml:space="preserve">vyjadřuje hluboké politování nad tím, že americkou mateřskou společnost </w:t>
      </w:r>
      <w:proofErr w:type="spellStart"/>
      <w:r w:rsidRPr="00362F66">
        <w:t>Tupperware</w:t>
      </w:r>
      <w:proofErr w:type="spellEnd"/>
      <w:r w:rsidRPr="00362F66">
        <w:t xml:space="preserve"> </w:t>
      </w:r>
      <w:proofErr w:type="spellStart"/>
      <w:r w:rsidRPr="00362F66">
        <w:t>Brands</w:t>
      </w:r>
      <w:proofErr w:type="spellEnd"/>
      <w:r w:rsidRPr="00362F66">
        <w:t xml:space="preserve"> převzali v říjnu 2024 věřitelé a že tato společnost v důsledku významné restrukturalizace zrušila výrobní a prodejní licence udělené podniku </w:t>
      </w:r>
      <w:proofErr w:type="spellStart"/>
      <w:r w:rsidRPr="00362F66">
        <w:t>Tupperware</w:t>
      </w:r>
      <w:proofErr w:type="spellEnd"/>
      <w:r w:rsidRPr="00362F66">
        <w:t xml:space="preserve"> General Services NV, což vedlo k tomu, že belgická dceřiná společnost ztratila finanční životaschopnost a dne 17. února 2025 vyhlásila úpadek; </w:t>
      </w:r>
    </w:p>
    <w:p w14:paraId="0B1A2909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6.</w:t>
      </w:r>
      <w:r w:rsidRPr="00362F66">
        <w:tab/>
        <w:t>vítá iniciativu skupiny evropských podnikatelů, jejímž cílem je oživit značku v Německu, Francii, Belgii, Itálii a Polsku;</w:t>
      </w:r>
    </w:p>
    <w:p w14:paraId="05A5066E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7.</w:t>
      </w:r>
      <w:r w:rsidRPr="00362F66">
        <w:tab/>
        <w:t>zdůrazňuje, že ve Flandrech je riziko nezaměstnanosti více než dvojnásobné u osob s nižším vzděláním; konstatuje, že třetina propuštěných pracovníků má pouze nižší sekundární vzdělání; vyzývá belgické orgány, aby pracovníkům s uvedeným profilem poskytly zvláštní individualizovanou podporu, která jim pomůže překonat jejich nedostatky a nalézt nová pracovní místa, a zároveň aby přijaly opatření ke snížení počtu úpadků a odstraňování sociálních nerovností, které mají za následek vyloučení pracovní síly;</w:t>
      </w:r>
    </w:p>
    <w:p w14:paraId="26F45A5E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8.</w:t>
      </w:r>
      <w:r w:rsidRPr="00362F66">
        <w:tab/>
        <w:t xml:space="preserve">připomíná, že po dohodě s odbory, odborníky a sociálními partnery sestávají individualizované služby, které mají být poskytnuty pracovníkům, z těchto opatření: informačních schůzek za účelem opětovného získání zaměstnání a služeb souvisejících s přeřazením do jiného zaměstnaní, včetně odborné přípravy v oblasti IKT, pomoci při hledání zaměstnání prostřednictvím poradenství a asistence při vyhledávání pracovních příležitostí, odborné přípravy a rekvalifikace, veletrhu pracovních míst, zprostředkování pracovních míst a slaďování poptávky a nabídky; zdůrazňuje, že je důležité podporovat kvalitní pracovní místa orientovaná na budoucnost s cílem zajistit dlouhodobou hospodářskou a sociální odolnost; vyzývá belgické orgány, aby navázaly dialog s novými zástupci evropskými zástupci společnosti </w:t>
      </w:r>
      <w:proofErr w:type="spellStart"/>
      <w:r w:rsidRPr="00362F66">
        <w:t>Tupperware</w:t>
      </w:r>
      <w:proofErr w:type="spellEnd"/>
      <w:r w:rsidRPr="00362F66">
        <w:t xml:space="preserve"> s cílem prozkoumat možnosti opětovného začlenění propuštěných pracovníků do jejich hospodářských činností;</w:t>
      </w:r>
    </w:p>
    <w:p w14:paraId="073B88AA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9.</w:t>
      </w:r>
      <w:r w:rsidRPr="00362F66">
        <w:tab/>
        <w:t xml:space="preserve">zdůrazňuje, že kvalifikace a dovednosti propuštěných pracovníků jsou i nadále klíčové, chceme-li vytvořit evropské hospodářství, jež obstojí i v budoucnosti; domnívá se proto, že uvolnění prostředků z fondu EFG musí být součástí širší politické reakce na všech politických úrovních, aby se zajistilo, že dotyční pracovníci najdou odpovídající příležitosti v souladu se svou kvalifikací a dovednostmi; dále připomíná, že EFG je nástrojem solidarity a spravedlivé transformace a že hlavním úkolem Unie musí v prvé </w:t>
      </w:r>
      <w:r w:rsidRPr="00362F66">
        <w:lastRenderedPageBreak/>
        <w:t xml:space="preserve">řadě být takovýmto uzavíráním podniků předcházet; domnívá se, že ačkoli EFG poskytuje dotčeným pracovníkům nezbytnou podporu, zásadní význam pro zachování evropské průmyslové základny zaměstnanosti mají silnější průmyslová politika, </w:t>
      </w:r>
      <w:proofErr w:type="spellStart"/>
      <w:r w:rsidRPr="00362F66">
        <w:t>robustější</w:t>
      </w:r>
      <w:proofErr w:type="spellEnd"/>
      <w:r w:rsidRPr="00362F66">
        <w:t>, udržitelnější a odolnější hospodářství a snížení strategických závislostí;</w:t>
      </w:r>
    </w:p>
    <w:p w14:paraId="11F6A44C" w14:textId="77777777" w:rsidR="00D844FE" w:rsidRPr="00362F66" w:rsidRDefault="00D844FE" w:rsidP="00D844FE">
      <w:pPr>
        <w:pStyle w:val="NormalHanging12a"/>
        <w:rPr>
          <w:bCs/>
          <w:iCs/>
          <w:noProof/>
        </w:rPr>
      </w:pPr>
      <w:r w:rsidRPr="00362F66">
        <w:t>10.</w:t>
      </w:r>
      <w:r w:rsidRPr="00362F66">
        <w:tab/>
        <w:t>zdůrazňuje, že belgické orgány musí zajistit viditelnost finančních prostředků Unie a zdůraznit jejich přidanou hodnotu tím, že příjemcům, regionálním a místním orgánům, sociálním partnerům a širší veřejnosti poskytnou účinné a cílené informace;</w:t>
      </w:r>
    </w:p>
    <w:p w14:paraId="3E09B67A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11.</w:t>
      </w:r>
      <w:r w:rsidRPr="00362F66">
        <w:tab/>
        <w:t>vyzývá k důkladnému závěrečnému hodnocení prováděných opatření, včetně jasných informací o tom, jak byly finanční prostředky využity a zda byly vynaloženy v souladu se schválenými plány; zdůrazňuje, že tato hodnocení by měla být založena na jasně definovaných cílech a měřitelných výsledcích, které umožní posoudit výsledky dosažené u dotčených pracovníků; zdůrazňuje, že je důležité zajistit rychlejší a účinnější intervence, a v této souvislosti připomíná, že je třeba prozkoumat způsoby, jak zajistit udržitelnost EFG nebo jeho nástupnického programu v rámci příštího víceletého finančního rámce na období 2028–2034;</w:t>
      </w:r>
    </w:p>
    <w:p w14:paraId="15AA2902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12.</w:t>
      </w:r>
      <w:r w:rsidRPr="00362F66">
        <w:tab/>
        <w:t>konstatuje, že Belgie začala poskytovat individualizované služby cílovým příjemcům dne 17. února 2025, a že období způsobilosti pro finanční příspěvek z EFG tudíž trvá od tohoto data do 24 měsíců ode dne vstupu rozhodnutí o financování v platnost;</w:t>
      </w:r>
    </w:p>
    <w:p w14:paraId="3BF3FE87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13.</w:t>
      </w:r>
      <w:r w:rsidRPr="00362F66">
        <w:tab/>
        <w:t>konstatuje, že Belgii začaly vznikat administrativní výdaje spojené s prováděním EFG dne 17. února 2025, a že tyto výdaje jsou proto způsobilé pro finanční příspěvek z EFG od tohoto data do 31 měsíců ode dne vstupu rozhodnutí o financování v platnost;</w:t>
      </w:r>
    </w:p>
    <w:p w14:paraId="1A7861DA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14.</w:t>
      </w:r>
      <w:r w:rsidRPr="00362F66">
        <w:tab/>
        <w:t>konstatuje, že belgické orgány potvrdily, že při přístupu k navrhovaným opatřením a jejich provádění budou dodržovány zásady rovného zacházení a nediskriminace a že se zamezí jakémukoli dvojímu financování;</w:t>
      </w:r>
    </w:p>
    <w:p w14:paraId="174EB5C0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15.</w:t>
      </w:r>
      <w:r w:rsidRPr="00362F66">
        <w:tab/>
        <w:t>opakuje, že pomoc z fondu EFG nesmí nahrazovat opatření, za něž na základě vnitrostátních právních předpisů nebo kolektivních smluv odpovídají podniky;</w:t>
      </w:r>
    </w:p>
    <w:p w14:paraId="419F3A27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16.</w:t>
      </w:r>
      <w:r w:rsidRPr="00362F66">
        <w:tab/>
        <w:t>schvaluje rozhodnutí uvedené v příloze k tomuto usnesení;</w:t>
      </w:r>
    </w:p>
    <w:p w14:paraId="1486B4E0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17.</w:t>
      </w:r>
      <w:r w:rsidRPr="00362F66">
        <w:tab/>
        <w:t>pověřuje svou předsedkyni, aby podepsala toto rozhodnutí společně s předsedou Rady a aby zajistila jeho zveřejnění v</w:t>
      </w:r>
      <w:r w:rsidRPr="00362F66">
        <w:rPr>
          <w:i/>
          <w:iCs/>
        </w:rPr>
        <w:t xml:space="preserve"> Úředním věstníku Evropské unie;</w:t>
      </w:r>
    </w:p>
    <w:p w14:paraId="0ED5AC87" w14:textId="77777777" w:rsidR="00D844FE" w:rsidRPr="00362F66" w:rsidRDefault="00D844FE" w:rsidP="00D844FE">
      <w:pPr>
        <w:pStyle w:val="NormalHanging12a"/>
        <w:rPr>
          <w:noProof/>
        </w:rPr>
      </w:pPr>
      <w:r w:rsidRPr="00362F66">
        <w:t>18.</w:t>
      </w:r>
      <w:r w:rsidRPr="00362F66">
        <w:tab/>
        <w:t>pověřuje svou předsedkyni, aby předala toto usnesení, včetně přílohy, Radě a Komisi.</w:t>
      </w:r>
    </w:p>
    <w:p w14:paraId="36485E88" w14:textId="77777777" w:rsidR="00D844FE" w:rsidRPr="00362F66" w:rsidRDefault="00D844FE" w:rsidP="00D844FE">
      <w:pPr>
        <w:pStyle w:val="NormalHanging12a"/>
        <w:rPr>
          <w:noProof/>
        </w:rPr>
      </w:pPr>
    </w:p>
    <w:p w14:paraId="115F56AF" w14:textId="77777777" w:rsidR="00D844FE" w:rsidRPr="00362F66" w:rsidRDefault="00D844FE" w:rsidP="00D844FE">
      <w:pPr>
        <w:rPr>
          <w:noProof/>
        </w:rPr>
      </w:pPr>
    </w:p>
    <w:p w14:paraId="118D31CC" w14:textId="77777777" w:rsidR="00D844FE" w:rsidRPr="00362F66" w:rsidRDefault="00D844FE" w:rsidP="00D844FE">
      <w:pPr>
        <w:pStyle w:val="PageHeading"/>
        <w:rPr>
          <w:noProof/>
        </w:rPr>
        <w:sectPr w:rsidR="00D844FE" w:rsidRPr="00362F66" w:rsidSect="00362F66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46DB9BF" w14:textId="77777777" w:rsidR="0053264F" w:rsidRPr="00A628EC" w:rsidRDefault="00D844FE" w:rsidP="00D844FE">
      <w:pPr>
        <w:pStyle w:val="PageHeading"/>
        <w:rPr>
          <w:rFonts w:ascii="Times New Roman" w:hAnsi="Times New Roman" w:cs="Times New Roman"/>
        </w:rPr>
      </w:pPr>
      <w:bookmarkStart w:id="6" w:name="_Toc223508048"/>
      <w:r w:rsidRPr="00A628EC">
        <w:rPr>
          <w:rFonts w:ascii="Times New Roman" w:hAnsi="Times New Roman" w:cs="Times New Roman"/>
        </w:rPr>
        <w:lastRenderedPageBreak/>
        <w:t>PŘÍLOHA</w:t>
      </w:r>
    </w:p>
    <w:p w14:paraId="70BC17C1" w14:textId="209FFB05" w:rsidR="00D844FE" w:rsidRPr="00A628EC" w:rsidRDefault="00D844FE" w:rsidP="00D844FE">
      <w:pPr>
        <w:pStyle w:val="PageHeading"/>
        <w:rPr>
          <w:rFonts w:ascii="Times New Roman" w:hAnsi="Times New Roman" w:cs="Times New Roman"/>
          <w:noProof/>
        </w:rPr>
      </w:pPr>
      <w:r w:rsidRPr="00A628EC">
        <w:rPr>
          <w:rFonts w:ascii="Times New Roman" w:hAnsi="Times New Roman" w:cs="Times New Roman"/>
        </w:rPr>
        <w:t>ROZHODNUTÍ EVROPSKÉHO PARLAMENTU A RADY</w:t>
      </w:r>
      <w:bookmarkEnd w:id="6"/>
    </w:p>
    <w:p w14:paraId="7AE82D3D" w14:textId="77777777" w:rsidR="00D844FE" w:rsidRDefault="00D844FE" w:rsidP="00A628EC">
      <w:pPr>
        <w:pStyle w:val="NormalBold24a"/>
        <w:jc w:val="center"/>
      </w:pPr>
      <w:r w:rsidRPr="00362F66">
        <w:t>o uvolnění prostředků z Evropského fondu pro přizpůsobení se globalizaci na pomoc propuštěným pracovníkům na základě žádosti Belgie – EGF/2025/004 BE/</w:t>
      </w:r>
      <w:proofErr w:type="spellStart"/>
      <w:r w:rsidRPr="00362F66">
        <w:t>Tupperware</w:t>
      </w:r>
      <w:proofErr w:type="spellEnd"/>
    </w:p>
    <w:p w14:paraId="5469506F" w14:textId="17DB4D33" w:rsidR="0053264F" w:rsidRPr="0053264F" w:rsidRDefault="0053264F" w:rsidP="00D844FE">
      <w:pPr>
        <w:pStyle w:val="NormalBold24a"/>
        <w:rPr>
          <w:b w:val="0"/>
          <w:bCs w:val="0"/>
          <w:i/>
          <w:iCs/>
        </w:rPr>
      </w:pPr>
      <w:r w:rsidRPr="0053264F">
        <w:rPr>
          <w:b w:val="0"/>
          <w:bCs w:val="0"/>
          <w:i/>
          <w:iCs/>
        </w:rPr>
        <w:t>(Znění této přílohy se zde neuvádí, jelikož odpovídá znění konečného aktu, rozhodnutí (EU) 2026/</w:t>
      </w:r>
      <w:r>
        <w:rPr>
          <w:b w:val="0"/>
          <w:bCs w:val="0"/>
          <w:i/>
          <w:iCs/>
        </w:rPr>
        <w:t>723</w:t>
      </w:r>
      <w:r w:rsidRPr="0053264F">
        <w:rPr>
          <w:b w:val="0"/>
          <w:bCs w:val="0"/>
          <w:i/>
          <w:iCs/>
        </w:rPr>
        <w:t>.)</w:t>
      </w:r>
    </w:p>
    <w:sectPr w:rsidR="0053264F" w:rsidRPr="0053264F" w:rsidSect="00362F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EF72A" w14:textId="77777777" w:rsidR="00D33285" w:rsidRPr="00362F66" w:rsidRDefault="00D33285">
      <w:r w:rsidRPr="00362F66">
        <w:separator/>
      </w:r>
    </w:p>
  </w:endnote>
  <w:endnote w:type="continuationSeparator" w:id="0">
    <w:p w14:paraId="24B92AF8" w14:textId="77777777" w:rsidR="00D33285" w:rsidRPr="00362F66" w:rsidRDefault="00D33285">
      <w:r w:rsidRPr="00362F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81E84" w14:textId="77777777" w:rsidR="00D844FE" w:rsidRPr="00362F66" w:rsidRDefault="00D844FE" w:rsidP="00DF0A3E">
    <w:pPr>
      <w:pStyle w:val="EPFooter"/>
    </w:pPr>
    <w:r w:rsidRPr="00362F66">
      <w:t>PE</w:t>
    </w:r>
    <w:r w:rsidRPr="00362F66">
      <w:rPr>
        <w:rStyle w:val="HideTWBExt"/>
      </w:rPr>
      <w:t>&lt;NoPE&gt;</w:t>
    </w:r>
    <w:r w:rsidRPr="00362F66">
      <w:t>782.416</w:t>
    </w:r>
    <w:r w:rsidRPr="00362F66">
      <w:rPr>
        <w:rStyle w:val="HideTWBExt"/>
      </w:rPr>
      <w:t>&lt;/NoPE&gt;&lt;Version&gt;</w:t>
    </w:r>
    <w:r w:rsidRPr="00362F66">
      <w:t>v02-00</w:t>
    </w:r>
    <w:r w:rsidRPr="00362F66">
      <w:rPr>
        <w:rStyle w:val="HideTWBExt"/>
      </w:rPr>
      <w:t>&lt;/Version&gt;</w:t>
    </w:r>
    <w:r w:rsidRPr="00362F66">
      <w:tab/>
    </w:r>
    <w:r w:rsidRPr="00362F66">
      <w:fldChar w:fldCharType="begin"/>
    </w:r>
    <w:r w:rsidRPr="00362F66">
      <w:instrText xml:space="preserve"> PAGE  \* MERGEFORMAT </w:instrText>
    </w:r>
    <w:r w:rsidRPr="00362F66">
      <w:fldChar w:fldCharType="separate"/>
    </w:r>
    <w:r w:rsidRPr="00362F66">
      <w:rPr>
        <w:noProof/>
      </w:rPr>
      <w:t>6</w:t>
    </w:r>
    <w:r w:rsidRPr="00362F66">
      <w:fldChar w:fldCharType="end"/>
    </w:r>
    <w:r w:rsidRPr="00362F66">
      <w:t>/</w:t>
    </w:r>
    <w:fldSimple w:instr=" NUMPAGES  \* MERGEFORMAT ">
      <w:r w:rsidRPr="00362F66">
        <w:rPr>
          <w:noProof/>
        </w:rPr>
        <w:t>8</w:t>
      </w:r>
    </w:fldSimple>
    <w:r w:rsidRPr="00362F66">
      <w:tab/>
    </w:r>
    <w:r w:rsidRPr="00362F66">
      <w:rPr>
        <w:rStyle w:val="HideTWBExt"/>
      </w:rPr>
      <w:t>&lt;PathFdR&gt;</w:t>
    </w:r>
    <w:r w:rsidRPr="00362F66">
      <w:t>RR\1338392CS.docx</w:t>
    </w:r>
    <w:r w:rsidRPr="00362F66">
      <w:rPr>
        <w:rStyle w:val="HideTWBExt"/>
      </w:rPr>
      <w:t>&lt;/PathFdR&gt;</w:t>
    </w:r>
  </w:p>
  <w:p w14:paraId="02C7A039" w14:textId="77777777" w:rsidR="00D844FE" w:rsidRPr="00362F66" w:rsidRDefault="00D844FE" w:rsidP="00DF0A3E">
    <w:pPr>
      <w:pStyle w:val="EPFooter2"/>
    </w:pPr>
    <w:r w:rsidRPr="00362F66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3316E" w14:textId="77777777" w:rsidR="00D844FE" w:rsidRPr="00362F66" w:rsidRDefault="00D844FE" w:rsidP="00DF0A3E">
    <w:pPr>
      <w:pStyle w:val="EPFooter"/>
    </w:pPr>
    <w:r w:rsidRPr="00362F66">
      <w:rPr>
        <w:rStyle w:val="HideTWBExt"/>
      </w:rPr>
      <w:t>&lt;PathFdR&gt;</w:t>
    </w:r>
    <w:r w:rsidRPr="00362F66">
      <w:t>RR\1338392CS.docx</w:t>
    </w:r>
    <w:r w:rsidRPr="00362F66">
      <w:rPr>
        <w:rStyle w:val="HideTWBExt"/>
      </w:rPr>
      <w:t>&lt;/PathFdR&gt;</w:t>
    </w:r>
    <w:r w:rsidRPr="00362F66">
      <w:tab/>
    </w:r>
    <w:r w:rsidRPr="00362F66">
      <w:tab/>
      <w:t>PE</w:t>
    </w:r>
    <w:r w:rsidRPr="00362F66">
      <w:rPr>
        <w:rStyle w:val="HideTWBExt"/>
      </w:rPr>
      <w:t>&lt;NoPE&gt;</w:t>
    </w:r>
    <w:r w:rsidRPr="00362F66">
      <w:t>782.416</w:t>
    </w:r>
    <w:r w:rsidRPr="00362F66">
      <w:rPr>
        <w:rStyle w:val="HideTWBExt"/>
      </w:rPr>
      <w:t>&lt;/NoPE&gt;&lt;Version&gt;</w:t>
    </w:r>
    <w:r w:rsidRPr="00362F66">
      <w:t>v02-00</w:t>
    </w:r>
    <w:r w:rsidRPr="00362F66">
      <w:rPr>
        <w:rStyle w:val="HideTWBExt"/>
      </w:rPr>
      <w:t>&lt;/Version&gt;</w:t>
    </w:r>
  </w:p>
  <w:p w14:paraId="76ABFE62" w14:textId="77777777" w:rsidR="00D844FE" w:rsidRPr="00362F66" w:rsidRDefault="00D844FE" w:rsidP="00DF0A3E">
    <w:pPr>
      <w:pStyle w:val="EPFooter2"/>
    </w:pPr>
    <w:r w:rsidRPr="00362F66">
      <w:t>CS</w:t>
    </w:r>
    <w:r w:rsidRPr="00362F66">
      <w:tab/>
    </w:r>
    <w:r w:rsidRPr="00362F66">
      <w:rPr>
        <w:b w:val="0"/>
        <w:i/>
        <w:color w:val="C0C0C0"/>
        <w:sz w:val="22"/>
      </w:rPr>
      <w:t>Jednotná v rozmanitosti</w:t>
    </w:r>
    <w:r w:rsidRPr="00362F66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810D4" w14:textId="77777777" w:rsidR="00064002" w:rsidRPr="00362F66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87D4B" w14:textId="77777777" w:rsidR="00064002" w:rsidRPr="00362F6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FDD8A" w14:textId="77777777" w:rsidR="00064002" w:rsidRPr="00362F6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AE47D" w14:textId="77777777" w:rsidR="00D33285" w:rsidRPr="00362F66" w:rsidRDefault="00D33285">
      <w:r w:rsidRPr="00362F66">
        <w:separator/>
      </w:r>
    </w:p>
  </w:footnote>
  <w:footnote w:type="continuationSeparator" w:id="0">
    <w:p w14:paraId="01DFEE42" w14:textId="77777777" w:rsidR="00D33285" w:rsidRPr="00362F66" w:rsidRDefault="00D33285">
      <w:r w:rsidRPr="00362F66">
        <w:continuationSeparator/>
      </w:r>
    </w:p>
  </w:footnote>
  <w:footnote w:id="1">
    <w:p w14:paraId="282054B6" w14:textId="23164696" w:rsidR="00D844FE" w:rsidRPr="00362F66" w:rsidRDefault="00D844FE" w:rsidP="00362F66">
      <w:pPr>
        <w:pStyle w:val="FootnoteText"/>
        <w:ind w:left="567" w:hanging="567"/>
        <w:rPr>
          <w:sz w:val="24"/>
          <w:szCs w:val="24"/>
          <w:lang w:val="cs-CZ"/>
        </w:rPr>
      </w:pPr>
      <w:r w:rsidRPr="00362F66">
        <w:rPr>
          <w:rStyle w:val="FootnoteReference"/>
          <w:sz w:val="24"/>
          <w:lang w:val="cs-CZ"/>
        </w:rPr>
        <w:footnoteRef/>
      </w:r>
      <w:r w:rsidR="00362F66" w:rsidRPr="00362F66">
        <w:rPr>
          <w:sz w:val="24"/>
          <w:lang w:val="cs-CZ"/>
        </w:rPr>
        <w:t xml:space="preserve"> </w:t>
      </w:r>
      <w:r w:rsidR="00362F66" w:rsidRPr="00362F66">
        <w:rPr>
          <w:sz w:val="24"/>
          <w:lang w:val="cs-CZ"/>
        </w:rPr>
        <w:tab/>
      </w:r>
      <w:proofErr w:type="spellStart"/>
      <w:r w:rsidRPr="00362F66">
        <w:rPr>
          <w:sz w:val="24"/>
          <w:lang w:val="cs-CZ"/>
        </w:rPr>
        <w:t>Úř</w:t>
      </w:r>
      <w:proofErr w:type="spellEnd"/>
      <w:r w:rsidRPr="00362F66">
        <w:rPr>
          <w:sz w:val="24"/>
          <w:lang w:val="cs-CZ"/>
        </w:rPr>
        <w:t xml:space="preserve">. </w:t>
      </w:r>
      <w:proofErr w:type="spellStart"/>
      <w:r w:rsidRPr="00362F66">
        <w:rPr>
          <w:sz w:val="24"/>
          <w:lang w:val="cs-CZ"/>
        </w:rPr>
        <w:t>věst</w:t>
      </w:r>
      <w:proofErr w:type="spellEnd"/>
      <w:r w:rsidRPr="00362F66">
        <w:rPr>
          <w:sz w:val="24"/>
          <w:lang w:val="cs-CZ"/>
        </w:rPr>
        <w:t xml:space="preserve">. L 153, 3.5.2021, s. 48, ELI: </w:t>
      </w:r>
      <w:hyperlink r:id="rId1" w:history="1">
        <w:r w:rsidRPr="00362F66">
          <w:rPr>
            <w:rStyle w:val="Hyperlink"/>
            <w:sz w:val="24"/>
            <w:lang w:val="cs-CZ"/>
          </w:rPr>
          <w:t>http://data.europa.eu/eli/reg/2021/691/oj</w:t>
        </w:r>
      </w:hyperlink>
      <w:r w:rsidRPr="00362F66">
        <w:rPr>
          <w:sz w:val="24"/>
          <w:lang w:val="cs-CZ"/>
        </w:rPr>
        <w:t>.</w:t>
      </w:r>
    </w:p>
  </w:footnote>
  <w:footnote w:id="2">
    <w:p w14:paraId="7B5E91AC" w14:textId="06CA6AC9" w:rsidR="00D844FE" w:rsidRPr="00362F66" w:rsidRDefault="00D844FE" w:rsidP="00362F66">
      <w:pPr>
        <w:pStyle w:val="FootnoteText"/>
        <w:ind w:left="567" w:hanging="567"/>
        <w:rPr>
          <w:sz w:val="24"/>
          <w:lang w:val="cs-CZ"/>
        </w:rPr>
      </w:pPr>
      <w:r w:rsidRPr="00362F66">
        <w:rPr>
          <w:rStyle w:val="FootnoteReference"/>
          <w:sz w:val="24"/>
          <w:lang w:val="cs-CZ"/>
        </w:rPr>
        <w:footnoteRef/>
      </w:r>
      <w:r w:rsidR="00362F66" w:rsidRPr="00362F66">
        <w:rPr>
          <w:sz w:val="24"/>
          <w:lang w:val="cs-CZ"/>
        </w:rPr>
        <w:t xml:space="preserve"> </w:t>
      </w:r>
      <w:r w:rsidR="00362F66" w:rsidRPr="00362F66">
        <w:rPr>
          <w:sz w:val="24"/>
          <w:lang w:val="cs-CZ"/>
        </w:rPr>
        <w:tab/>
      </w:r>
      <w:proofErr w:type="spellStart"/>
      <w:r w:rsidRPr="00362F66">
        <w:rPr>
          <w:sz w:val="24"/>
          <w:lang w:val="cs-CZ"/>
        </w:rPr>
        <w:t>Úř</w:t>
      </w:r>
      <w:proofErr w:type="spellEnd"/>
      <w:r w:rsidRPr="00362F66">
        <w:rPr>
          <w:sz w:val="24"/>
          <w:lang w:val="cs-CZ"/>
        </w:rPr>
        <w:t xml:space="preserve">. </w:t>
      </w:r>
      <w:proofErr w:type="spellStart"/>
      <w:r w:rsidRPr="00362F66">
        <w:rPr>
          <w:sz w:val="24"/>
          <w:lang w:val="cs-CZ"/>
        </w:rPr>
        <w:t>věst</w:t>
      </w:r>
      <w:proofErr w:type="spellEnd"/>
      <w:r w:rsidRPr="00362F66">
        <w:rPr>
          <w:sz w:val="24"/>
          <w:lang w:val="cs-CZ"/>
        </w:rPr>
        <w:t xml:space="preserve">. L 433 I, 22.12.2020, s. 11, ELI: </w:t>
      </w:r>
      <w:hyperlink r:id="rId2" w:history="1">
        <w:r w:rsidRPr="00362F66">
          <w:rPr>
            <w:rStyle w:val="Hyperlink"/>
            <w:sz w:val="24"/>
            <w:lang w:val="cs-CZ"/>
          </w:rPr>
          <w:t>http://data.europa.eu/eli/reg/2020/2093/oj</w:t>
        </w:r>
      </w:hyperlink>
      <w:r w:rsidRPr="00362F66">
        <w:rPr>
          <w:sz w:val="24"/>
          <w:lang w:val="cs-CZ"/>
        </w:rPr>
        <w:t>.</w:t>
      </w:r>
    </w:p>
  </w:footnote>
  <w:footnote w:id="3">
    <w:p w14:paraId="76075F3A" w14:textId="6CABFB65" w:rsidR="00D844FE" w:rsidRPr="00362F66" w:rsidRDefault="00D844FE" w:rsidP="00362F66">
      <w:pPr>
        <w:pStyle w:val="FootnoteText"/>
        <w:ind w:left="567" w:hanging="567"/>
        <w:rPr>
          <w:sz w:val="24"/>
          <w:lang w:val="cs-CZ"/>
        </w:rPr>
      </w:pPr>
      <w:r w:rsidRPr="00362F66">
        <w:rPr>
          <w:rStyle w:val="FootnoteReference"/>
          <w:sz w:val="24"/>
          <w:lang w:val="cs-CZ"/>
        </w:rPr>
        <w:footnoteRef/>
      </w:r>
      <w:r w:rsidR="00362F66" w:rsidRPr="00362F66">
        <w:rPr>
          <w:sz w:val="24"/>
          <w:shd w:val="clear" w:color="auto" w:fill="FFFFFF"/>
          <w:lang w:val="cs-CZ"/>
        </w:rPr>
        <w:t xml:space="preserve"> </w:t>
      </w:r>
      <w:r w:rsidR="00362F66" w:rsidRPr="00362F66">
        <w:rPr>
          <w:sz w:val="24"/>
          <w:shd w:val="clear" w:color="auto" w:fill="FFFFFF"/>
          <w:lang w:val="cs-CZ"/>
        </w:rPr>
        <w:tab/>
      </w:r>
      <w:r w:rsidRPr="00362F66">
        <w:rPr>
          <w:sz w:val="24"/>
          <w:shd w:val="clear" w:color="auto" w:fill="FFFFFF"/>
          <w:lang w:val="cs-CZ"/>
        </w:rPr>
        <w:t>Nařízení Rady (EU, Euratom) 2024/765 ze dne 29. února 2024, kterým se mění nařízení (EU, Euratom) 2020/2093, kterým se stanoví víceletý finanční rámec na období 2021–2027 (</w:t>
      </w:r>
      <w:proofErr w:type="spellStart"/>
      <w:r w:rsidRPr="00362F66">
        <w:rPr>
          <w:sz w:val="24"/>
          <w:shd w:val="clear" w:color="auto" w:fill="FFFFFF"/>
          <w:lang w:val="cs-CZ"/>
        </w:rPr>
        <w:t>Úř</w:t>
      </w:r>
      <w:proofErr w:type="spellEnd"/>
      <w:r w:rsidRPr="00362F66">
        <w:rPr>
          <w:sz w:val="24"/>
          <w:shd w:val="clear" w:color="auto" w:fill="FFFFFF"/>
          <w:lang w:val="cs-CZ"/>
        </w:rPr>
        <w:t xml:space="preserve">. </w:t>
      </w:r>
      <w:proofErr w:type="spellStart"/>
      <w:r w:rsidRPr="00362F66">
        <w:rPr>
          <w:sz w:val="24"/>
          <w:shd w:val="clear" w:color="auto" w:fill="FFFFFF"/>
          <w:lang w:val="cs-CZ"/>
        </w:rPr>
        <w:t>věst</w:t>
      </w:r>
      <w:proofErr w:type="spellEnd"/>
      <w:r w:rsidRPr="00362F66">
        <w:rPr>
          <w:sz w:val="24"/>
          <w:shd w:val="clear" w:color="auto" w:fill="FFFFFF"/>
          <w:lang w:val="cs-CZ"/>
        </w:rPr>
        <w:t>. L, 2024/765, 29.2.2024, ELI:</w:t>
      </w:r>
      <w:r w:rsidRPr="00362F66">
        <w:rPr>
          <w:color w:val="333333"/>
          <w:sz w:val="24"/>
          <w:shd w:val="clear" w:color="auto" w:fill="FFFFFF"/>
          <w:lang w:val="cs-CZ"/>
        </w:rPr>
        <w:t xml:space="preserve"> </w:t>
      </w:r>
      <w:hyperlink r:id="rId3" w:history="1">
        <w:r w:rsidRPr="00362F66">
          <w:rPr>
            <w:rStyle w:val="Hyperlink"/>
            <w:sz w:val="24"/>
            <w:shd w:val="clear" w:color="auto" w:fill="FFFFFF"/>
            <w:lang w:val="cs-CZ"/>
          </w:rPr>
          <w:t>http://data.europa.eu/eli/reg/2024/765/oj</w:t>
        </w:r>
      </w:hyperlink>
      <w:r w:rsidRPr="00362F66">
        <w:rPr>
          <w:sz w:val="24"/>
          <w:lang w:val="cs-CZ"/>
        </w:rPr>
        <w:t>).</w:t>
      </w:r>
    </w:p>
  </w:footnote>
  <w:footnote w:id="4">
    <w:p w14:paraId="13DD3C11" w14:textId="6EA838AE" w:rsidR="00D844FE" w:rsidRPr="00362F66" w:rsidRDefault="00D844FE" w:rsidP="00362F66">
      <w:pPr>
        <w:pStyle w:val="FootnoteText"/>
        <w:ind w:left="567" w:hanging="567"/>
        <w:rPr>
          <w:sz w:val="24"/>
          <w:lang w:val="cs-CZ"/>
        </w:rPr>
      </w:pPr>
      <w:r w:rsidRPr="00362F66">
        <w:rPr>
          <w:rStyle w:val="FootnoteReference"/>
          <w:sz w:val="24"/>
          <w:lang w:val="cs-CZ"/>
        </w:rPr>
        <w:footnoteRef/>
      </w:r>
      <w:r w:rsidR="00362F66" w:rsidRPr="00362F66">
        <w:rPr>
          <w:sz w:val="24"/>
          <w:lang w:val="cs-CZ"/>
        </w:rPr>
        <w:t xml:space="preserve"> </w:t>
      </w:r>
      <w:r w:rsidR="00362F66" w:rsidRPr="00362F66">
        <w:rPr>
          <w:sz w:val="24"/>
          <w:lang w:val="cs-CZ"/>
        </w:rPr>
        <w:tab/>
      </w:r>
      <w:proofErr w:type="spellStart"/>
      <w:r w:rsidRPr="00362F66">
        <w:rPr>
          <w:sz w:val="24"/>
          <w:lang w:val="cs-CZ"/>
        </w:rPr>
        <w:t>Úř</w:t>
      </w:r>
      <w:proofErr w:type="spellEnd"/>
      <w:r w:rsidRPr="00362F66">
        <w:rPr>
          <w:sz w:val="24"/>
          <w:lang w:val="cs-CZ"/>
        </w:rPr>
        <w:t xml:space="preserve">. </w:t>
      </w:r>
      <w:proofErr w:type="spellStart"/>
      <w:r w:rsidRPr="00362F66">
        <w:rPr>
          <w:sz w:val="24"/>
          <w:lang w:val="cs-CZ"/>
        </w:rPr>
        <w:t>věst</w:t>
      </w:r>
      <w:proofErr w:type="spellEnd"/>
      <w:r w:rsidRPr="00362F66">
        <w:rPr>
          <w:sz w:val="24"/>
          <w:lang w:val="cs-CZ"/>
        </w:rPr>
        <w:t xml:space="preserve">. L 433 I, 22.12.2020, s. 28, ELI: </w:t>
      </w:r>
      <w:hyperlink r:id="rId4" w:history="1">
        <w:r w:rsidRPr="00362F66">
          <w:rPr>
            <w:rStyle w:val="Hyperlink"/>
            <w:sz w:val="24"/>
            <w:lang w:val="cs-CZ"/>
          </w:rPr>
          <w:t>http://data.europa.eu/eli/agree_interinstit/2020/1222/oj</w:t>
        </w:r>
      </w:hyperlink>
      <w:r w:rsidRPr="00362F66">
        <w:rPr>
          <w:sz w:val="24"/>
          <w:lang w:val="cs-CZ"/>
        </w:rPr>
        <w:t>.</w:t>
      </w:r>
    </w:p>
  </w:footnote>
  <w:footnote w:id="5">
    <w:p w14:paraId="295625BA" w14:textId="7B52FDFF" w:rsidR="00D844FE" w:rsidRPr="00362F66" w:rsidRDefault="00D844FE" w:rsidP="00362F66">
      <w:pPr>
        <w:pStyle w:val="FootnoteText"/>
        <w:ind w:left="567" w:hanging="567"/>
        <w:rPr>
          <w:sz w:val="24"/>
          <w:lang w:val="cs-CZ"/>
        </w:rPr>
      </w:pPr>
      <w:r w:rsidRPr="00362F66">
        <w:rPr>
          <w:rStyle w:val="FootnoteReference"/>
          <w:sz w:val="24"/>
          <w:lang w:val="cs-CZ"/>
        </w:rPr>
        <w:footnoteRef/>
      </w:r>
      <w:r w:rsidR="00362F66" w:rsidRPr="00362F66">
        <w:rPr>
          <w:sz w:val="24"/>
          <w:lang w:val="cs-CZ"/>
        </w:rPr>
        <w:t xml:space="preserve"> </w:t>
      </w:r>
      <w:r w:rsidR="00362F66" w:rsidRPr="00362F66">
        <w:rPr>
          <w:sz w:val="24"/>
          <w:lang w:val="cs-CZ"/>
        </w:rPr>
        <w:tab/>
      </w:r>
      <w:r w:rsidRPr="00362F66">
        <w:rPr>
          <w:sz w:val="24"/>
          <w:lang w:val="cs-CZ"/>
        </w:rPr>
        <w:t>Ve smyslu článku 3 nařízení o EFG.</w:t>
      </w:r>
    </w:p>
  </w:footnote>
  <w:footnote w:id="6">
    <w:p w14:paraId="68F22A55" w14:textId="6707EFAE" w:rsidR="00D844FE" w:rsidRPr="00362F66" w:rsidRDefault="00D844FE" w:rsidP="00362F66">
      <w:pPr>
        <w:pStyle w:val="FootnoteText"/>
        <w:ind w:left="567" w:hanging="567"/>
        <w:rPr>
          <w:sz w:val="24"/>
          <w:lang w:val="cs-CZ"/>
        </w:rPr>
      </w:pPr>
      <w:r w:rsidRPr="00362F66">
        <w:rPr>
          <w:rStyle w:val="FootnoteReference"/>
          <w:sz w:val="24"/>
          <w:lang w:val="cs-CZ"/>
        </w:rPr>
        <w:footnoteRef/>
      </w:r>
      <w:r w:rsidR="00362F66" w:rsidRPr="00362F66">
        <w:rPr>
          <w:sz w:val="24"/>
          <w:lang w:val="cs-CZ"/>
        </w:rPr>
        <w:t xml:space="preserve"> </w:t>
      </w:r>
      <w:r w:rsidR="00362F66" w:rsidRPr="00362F66">
        <w:rPr>
          <w:sz w:val="24"/>
          <w:lang w:val="cs-CZ"/>
        </w:rPr>
        <w:tab/>
      </w:r>
      <w:r w:rsidRPr="00362F66">
        <w:rPr>
          <w:sz w:val="24"/>
          <w:lang w:val="cs-CZ"/>
        </w:rPr>
        <w:t>Článek 8 nařízení o VFR.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2B268" w14:textId="77777777" w:rsidR="00064002" w:rsidRPr="00362F6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C50AE" w14:textId="77777777" w:rsidR="00064002" w:rsidRPr="00362F6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129AE" w14:textId="77777777" w:rsidR="00064002" w:rsidRPr="00362F6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09196917">
    <w:abstractNumId w:val="9"/>
  </w:num>
  <w:num w:numId="2" w16cid:durableId="423768494">
    <w:abstractNumId w:val="9"/>
  </w:num>
  <w:num w:numId="3" w16cid:durableId="509612140">
    <w:abstractNumId w:val="7"/>
  </w:num>
  <w:num w:numId="4" w16cid:durableId="1357654398">
    <w:abstractNumId w:val="7"/>
  </w:num>
  <w:num w:numId="5" w16cid:durableId="1044520881">
    <w:abstractNumId w:val="6"/>
  </w:num>
  <w:num w:numId="6" w16cid:durableId="2138641511">
    <w:abstractNumId w:val="6"/>
  </w:num>
  <w:num w:numId="7" w16cid:durableId="554658230">
    <w:abstractNumId w:val="5"/>
  </w:num>
  <w:num w:numId="8" w16cid:durableId="727728431">
    <w:abstractNumId w:val="5"/>
  </w:num>
  <w:num w:numId="9" w16cid:durableId="911357539">
    <w:abstractNumId w:val="4"/>
  </w:num>
  <w:num w:numId="10" w16cid:durableId="787705410">
    <w:abstractNumId w:val="4"/>
  </w:num>
  <w:num w:numId="11" w16cid:durableId="979501212">
    <w:abstractNumId w:val="8"/>
  </w:num>
  <w:num w:numId="12" w16cid:durableId="877356975">
    <w:abstractNumId w:val="8"/>
  </w:num>
  <w:num w:numId="13" w16cid:durableId="271279427">
    <w:abstractNumId w:val="3"/>
  </w:num>
  <w:num w:numId="14" w16cid:durableId="186337747">
    <w:abstractNumId w:val="3"/>
  </w:num>
  <w:num w:numId="15" w16cid:durableId="771634818">
    <w:abstractNumId w:val="2"/>
  </w:num>
  <w:num w:numId="16" w16cid:durableId="1019544972">
    <w:abstractNumId w:val="2"/>
  </w:num>
  <w:num w:numId="17" w16cid:durableId="1964995639">
    <w:abstractNumId w:val="1"/>
  </w:num>
  <w:num w:numId="18" w16cid:durableId="49353106">
    <w:abstractNumId w:val="1"/>
  </w:num>
  <w:num w:numId="19" w16cid:durableId="890650240">
    <w:abstractNumId w:val="0"/>
  </w:num>
  <w:num w:numId="20" w16cid:durableId="1653487590">
    <w:abstractNumId w:val="0"/>
  </w:num>
  <w:num w:numId="21" w16cid:durableId="1160003543">
    <w:abstractNumId w:val="9"/>
  </w:num>
  <w:num w:numId="22" w16cid:durableId="408891656">
    <w:abstractNumId w:val="7"/>
  </w:num>
  <w:num w:numId="23" w16cid:durableId="418135703">
    <w:abstractNumId w:val="6"/>
  </w:num>
  <w:num w:numId="24" w16cid:durableId="358775390">
    <w:abstractNumId w:val="5"/>
  </w:num>
  <w:num w:numId="25" w16cid:durableId="548957722">
    <w:abstractNumId w:val="4"/>
  </w:num>
  <w:num w:numId="26" w16cid:durableId="2096660102">
    <w:abstractNumId w:val="8"/>
  </w:num>
  <w:num w:numId="27" w16cid:durableId="2075854829">
    <w:abstractNumId w:val="3"/>
  </w:num>
  <w:num w:numId="28" w16cid:durableId="1980914069">
    <w:abstractNumId w:val="2"/>
  </w:num>
  <w:num w:numId="29" w16cid:durableId="378239665">
    <w:abstractNumId w:val="1"/>
  </w:num>
  <w:num w:numId="30" w16cid:durableId="1613975733">
    <w:abstractNumId w:val="0"/>
  </w:num>
  <w:num w:numId="31" w16cid:durableId="1941136824">
    <w:abstractNumId w:val="9"/>
  </w:num>
  <w:num w:numId="32" w16cid:durableId="1441991352">
    <w:abstractNumId w:val="7"/>
  </w:num>
  <w:num w:numId="33" w16cid:durableId="560945322">
    <w:abstractNumId w:val="6"/>
  </w:num>
  <w:num w:numId="34" w16cid:durableId="787626202">
    <w:abstractNumId w:val="5"/>
  </w:num>
  <w:num w:numId="35" w16cid:durableId="1471746317">
    <w:abstractNumId w:val="4"/>
  </w:num>
  <w:num w:numId="36" w16cid:durableId="212891981">
    <w:abstractNumId w:val="8"/>
  </w:num>
  <w:num w:numId="37" w16cid:durableId="651952881">
    <w:abstractNumId w:val="3"/>
  </w:num>
  <w:num w:numId="38" w16cid:durableId="736123796">
    <w:abstractNumId w:val="2"/>
  </w:num>
  <w:num w:numId="39" w16cid:durableId="432940564">
    <w:abstractNumId w:val="1"/>
  </w:num>
  <w:num w:numId="40" w16cid:durableId="1248877911">
    <w:abstractNumId w:val="0"/>
  </w:num>
  <w:num w:numId="41" w16cid:durableId="861938092">
    <w:abstractNumId w:val="10"/>
  </w:num>
  <w:num w:numId="42" w16cid:durableId="294140177">
    <w:abstractNumId w:val="10"/>
  </w:num>
  <w:num w:numId="43" w16cid:durableId="614603049">
    <w:abstractNumId w:val="10"/>
  </w:num>
  <w:num w:numId="44" w16cid:durableId="11624301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0/2026"/>
    <w:docVar w:name="dvlangue" w:val="CS"/>
    <w:docVar w:name="dvnumam" w:val="0"/>
    <w:docVar w:name="dvpe" w:val="782.416"/>
    <w:docVar w:name="dvrapporteur" w:val="Zpravodaj: "/>
    <w:docVar w:name="dvtitre" w:val="Usnesení Evropského parlamentu ze dne.... 2026 o návrhu rozhodnutí Evropského parlamentu a Rady o uvolnění prostředků z Evropského fondu pro přizpůsobení se globalizaci na pomoc propuštěným pracovníkům na základě žádosti Belgie – EGF/2025/004 BE/Tupperware(COM(2026)0001 – C10-0012/2026 – 2026/0004(BUD))"/>
  </w:docVars>
  <w:rsids>
    <w:rsidRoot w:val="00D33285"/>
    <w:rsid w:val="00002272"/>
    <w:rsid w:val="00010CF8"/>
    <w:rsid w:val="000467C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3E5B"/>
    <w:rsid w:val="002767FF"/>
    <w:rsid w:val="002B18FE"/>
    <w:rsid w:val="002B5493"/>
    <w:rsid w:val="002D0A52"/>
    <w:rsid w:val="00343214"/>
    <w:rsid w:val="00361C00"/>
    <w:rsid w:val="00362F6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64F"/>
    <w:rsid w:val="00545827"/>
    <w:rsid w:val="00560270"/>
    <w:rsid w:val="005720E7"/>
    <w:rsid w:val="005C2568"/>
    <w:rsid w:val="005E1615"/>
    <w:rsid w:val="005F1B17"/>
    <w:rsid w:val="006037C0"/>
    <w:rsid w:val="006631B6"/>
    <w:rsid w:val="00680577"/>
    <w:rsid w:val="006F74FA"/>
    <w:rsid w:val="0072005E"/>
    <w:rsid w:val="00731ADD"/>
    <w:rsid w:val="00734777"/>
    <w:rsid w:val="00747932"/>
    <w:rsid w:val="00751A4A"/>
    <w:rsid w:val="00756632"/>
    <w:rsid w:val="00762C74"/>
    <w:rsid w:val="00775885"/>
    <w:rsid w:val="00786EC0"/>
    <w:rsid w:val="007B7308"/>
    <w:rsid w:val="007D1690"/>
    <w:rsid w:val="007E22AD"/>
    <w:rsid w:val="00817416"/>
    <w:rsid w:val="00842779"/>
    <w:rsid w:val="0086590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7147"/>
    <w:rsid w:val="00A1687D"/>
    <w:rsid w:val="00A43E52"/>
    <w:rsid w:val="00A4678D"/>
    <w:rsid w:val="00A628E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3285"/>
    <w:rsid w:val="00D56C11"/>
    <w:rsid w:val="00D834A0"/>
    <w:rsid w:val="00D844FE"/>
    <w:rsid w:val="00D872DF"/>
    <w:rsid w:val="00D91E21"/>
    <w:rsid w:val="00DA7FCD"/>
    <w:rsid w:val="00E365E1"/>
    <w:rsid w:val="00E820A4"/>
    <w:rsid w:val="00EA71E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6FBCFC"/>
  <w15:chartTrackingRefBased/>
  <w15:docId w15:val="{8FFA4539-E1D8-41DC-899A-813A35A6D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844F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D844F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D844F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844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844FE"/>
    <w:rPr>
      <w:sz w:val="24"/>
      <w:lang w:val="cs-CZ"/>
    </w:rPr>
  </w:style>
  <w:style w:type="paragraph" w:customStyle="1" w:styleId="NormalBold24a">
    <w:name w:val="NormalBold24a"/>
    <w:basedOn w:val="Normal"/>
    <w:rsid w:val="00D844FE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D844F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844FE"/>
    <w:pPr>
      <w:spacing w:before="480" w:after="240"/>
    </w:pPr>
  </w:style>
  <w:style w:type="character" w:styleId="Hyperlink">
    <w:name w:val="Hyperlink"/>
    <w:basedOn w:val="DefaultParagraphFont"/>
    <w:uiPriority w:val="99"/>
    <w:rsid w:val="00D844FE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D844FE"/>
    <w:rPr>
      <w:sz w:val="24"/>
      <w:lang w:val="cs-CZ"/>
    </w:rPr>
  </w:style>
  <w:style w:type="paragraph" w:customStyle="1" w:styleId="Institutionquiagit">
    <w:name w:val="Institution qui agit"/>
    <w:basedOn w:val="Normal"/>
    <w:next w:val="Normal"/>
    <w:rsid w:val="00D844F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D844F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D844F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844F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844F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844F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844F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D844FE"/>
    <w:rPr>
      <w:rFonts w:ascii="Arial" w:hAnsi="Arial" w:cs="Arial"/>
      <w:b/>
      <w:sz w:val="24"/>
      <w:lang w:val="cs-CZ"/>
    </w:rPr>
  </w:style>
  <w:style w:type="paragraph" w:styleId="Footer">
    <w:name w:val="footer"/>
    <w:basedOn w:val="Normal"/>
    <w:link w:val="FooterChar"/>
    <w:rsid w:val="00263E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63E5B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72005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D0A52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1465</Words>
  <Characters>8838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2026-05-11T12:31:00Z</dcterms:created>
  <dcterms:modified xsi:type="dcterms:W3CDTF">2026-05-11T12:31:00Z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P10_TA(2026)0073_</vt:lpwstr>
  </property>
  <property fmtid="{D5CDD505-2E9C-101B-9397-08002B2CF9AE}" pid="4" name="&lt;Type&gt;">
    <vt:lpwstr>RR</vt:lpwstr>
  </property>
</Properties>
</file>