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51A4" w14:paraId="35D51C2F" w14:textId="77777777" w:rsidTr="0010095E">
        <w:trPr>
          <w:trHeight w:hRule="exact" w:val="1418"/>
        </w:trPr>
        <w:tc>
          <w:tcPr>
            <w:tcW w:w="6804" w:type="dxa"/>
            <w:shd w:val="clear" w:color="auto" w:fill="auto"/>
            <w:vAlign w:val="center"/>
          </w:tcPr>
          <w:p w14:paraId="14D1EAEC" w14:textId="77777777" w:rsidR="00751A4A" w:rsidRPr="009151A4" w:rsidRDefault="003564E1" w:rsidP="0010095E">
            <w:pPr>
              <w:pStyle w:val="EPName"/>
            </w:pPr>
            <w:r w:rsidRPr="009151A4">
              <w:t>Europa-Parlamentet</w:t>
            </w:r>
          </w:p>
          <w:p w14:paraId="542E18C1" w14:textId="77777777" w:rsidR="00751A4A" w:rsidRPr="009151A4" w:rsidRDefault="005F1B17" w:rsidP="005F1B17">
            <w:pPr>
              <w:pStyle w:val="EPTerm"/>
              <w:rPr>
                <w:rStyle w:val="HideTWBExt"/>
                <w:noProof w:val="0"/>
                <w:vanish w:val="0"/>
                <w:color w:val="auto"/>
              </w:rPr>
            </w:pPr>
            <w:r w:rsidRPr="009151A4">
              <w:t>2024</w:t>
            </w:r>
            <w:r w:rsidR="00817416" w:rsidRPr="009151A4">
              <w:t>-202</w:t>
            </w:r>
            <w:r w:rsidRPr="009151A4">
              <w:t>9</w:t>
            </w:r>
          </w:p>
        </w:tc>
        <w:tc>
          <w:tcPr>
            <w:tcW w:w="2268" w:type="dxa"/>
            <w:shd w:val="clear" w:color="auto" w:fill="auto"/>
          </w:tcPr>
          <w:p w14:paraId="077886B9" w14:textId="77777777" w:rsidR="00751A4A" w:rsidRPr="009151A4" w:rsidRDefault="00187494" w:rsidP="0010095E">
            <w:pPr>
              <w:pStyle w:val="EPLogo"/>
            </w:pPr>
            <w:r w:rsidRPr="009151A4">
              <w:rPr>
                <w:noProof/>
                <w:lang w:eastAsia="ja-JP"/>
              </w:rPr>
              <w:drawing>
                <wp:inline distT="0" distB="0" distL="0" distR="0" wp14:anchorId="7AA822A9" wp14:editId="1F46B0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A6FAA9" w14:textId="77777777" w:rsidR="00D058B8" w:rsidRPr="009151A4" w:rsidRDefault="00D058B8" w:rsidP="004C5D52">
      <w:pPr>
        <w:pStyle w:val="LineTop"/>
      </w:pPr>
    </w:p>
    <w:p w14:paraId="5FEAF916" w14:textId="77777777" w:rsidR="00680577" w:rsidRPr="009151A4" w:rsidRDefault="003564E1" w:rsidP="00680577">
      <w:pPr>
        <w:pStyle w:val="EPBodyTA1"/>
      </w:pPr>
      <w:r w:rsidRPr="009151A4">
        <w:t>VEDTAGNE TEKSTER</w:t>
      </w:r>
    </w:p>
    <w:p w14:paraId="5462BD13" w14:textId="77777777" w:rsidR="00D058B8" w:rsidRPr="009151A4" w:rsidRDefault="00D058B8" w:rsidP="00D058B8">
      <w:pPr>
        <w:pStyle w:val="LineBottom"/>
      </w:pPr>
    </w:p>
    <w:p w14:paraId="6AFC53F2" w14:textId="535A971C" w:rsidR="003564E1" w:rsidRPr="00B56A33" w:rsidRDefault="003564E1" w:rsidP="003564E1">
      <w:pPr>
        <w:pStyle w:val="ATHeading1"/>
      </w:pPr>
      <w:bookmarkStart w:id="0" w:name="TANumber"/>
      <w:r w:rsidRPr="00B56A33">
        <w:t>P10_TA(2026)00</w:t>
      </w:r>
      <w:r w:rsidR="00A5277D">
        <w:t>73</w:t>
      </w:r>
      <w:bookmarkEnd w:id="0"/>
    </w:p>
    <w:p w14:paraId="6D2D6725" w14:textId="77777777" w:rsidR="003564E1" w:rsidRPr="00B56A33" w:rsidRDefault="003564E1" w:rsidP="003564E1">
      <w:pPr>
        <w:pStyle w:val="ATHeading2"/>
      </w:pPr>
      <w:bookmarkStart w:id="1" w:name="title"/>
      <w:r w:rsidRPr="00B56A33">
        <w:t>Mobilisering af Den Europæiske Fond for Tilpasning til Globaliseringen for Afskedigede Arbejdstagere: ansøgning EGF/2025/004 BE/Tupperware – Belgien</w:t>
      </w:r>
      <w:bookmarkEnd w:id="1"/>
    </w:p>
    <w:p w14:paraId="01DAD694" w14:textId="77777777" w:rsidR="003564E1" w:rsidRPr="009151A4" w:rsidRDefault="003564E1" w:rsidP="003564E1">
      <w:pPr>
        <w:rPr>
          <w:i/>
          <w:vanish/>
        </w:rPr>
      </w:pPr>
      <w:r w:rsidRPr="009151A4">
        <w:rPr>
          <w:i/>
        </w:rPr>
        <w:fldChar w:fldCharType="begin"/>
      </w:r>
      <w:r w:rsidRPr="009151A4">
        <w:rPr>
          <w:i/>
        </w:rPr>
        <w:instrText xml:space="preserve"> TC"(</w:instrText>
      </w:r>
      <w:bookmarkStart w:id="2" w:name="DocNumber"/>
      <w:r w:rsidRPr="009151A4">
        <w:rPr>
          <w:i/>
        </w:rPr>
        <w:instrText>A10-0030/2026</w:instrText>
      </w:r>
      <w:bookmarkEnd w:id="2"/>
      <w:r w:rsidRPr="009151A4">
        <w:rPr>
          <w:i/>
        </w:rPr>
        <w:instrText xml:space="preserve"> - Ordfører: Jean-Marc Germain)"\l3 \n&gt; \* MERGEFORMAT </w:instrText>
      </w:r>
      <w:r w:rsidRPr="009151A4">
        <w:rPr>
          <w:i/>
        </w:rPr>
        <w:fldChar w:fldCharType="end"/>
      </w:r>
    </w:p>
    <w:p w14:paraId="4366A10A" w14:textId="77777777" w:rsidR="003564E1" w:rsidRPr="009151A4" w:rsidRDefault="003564E1" w:rsidP="003564E1">
      <w:pPr>
        <w:rPr>
          <w:vanish/>
        </w:rPr>
      </w:pPr>
      <w:bookmarkStart w:id="3" w:name="Commission"/>
      <w:r w:rsidRPr="009151A4">
        <w:rPr>
          <w:vanish/>
        </w:rPr>
        <w:t>Budgetudvalget</w:t>
      </w:r>
      <w:bookmarkEnd w:id="3"/>
    </w:p>
    <w:p w14:paraId="533CDC18" w14:textId="77777777" w:rsidR="003564E1" w:rsidRPr="009151A4" w:rsidRDefault="003564E1" w:rsidP="003564E1">
      <w:pPr>
        <w:rPr>
          <w:vanish/>
        </w:rPr>
      </w:pPr>
      <w:bookmarkStart w:id="4" w:name="PE"/>
      <w:r w:rsidRPr="009151A4">
        <w:rPr>
          <w:vanish/>
        </w:rPr>
        <w:t>PE782.416</w:t>
      </w:r>
      <w:bookmarkEnd w:id="4"/>
    </w:p>
    <w:p w14:paraId="60D45EEE" w14:textId="300D87D4" w:rsidR="003564E1" w:rsidRPr="00B56A33" w:rsidRDefault="003564E1" w:rsidP="003564E1">
      <w:pPr>
        <w:pStyle w:val="ATHeading3"/>
      </w:pPr>
      <w:bookmarkStart w:id="5" w:name="Sujet"/>
      <w:r w:rsidRPr="00B56A33">
        <w:t xml:space="preserve">Europa-Parlamentets beslutning af </w:t>
      </w:r>
      <w:r w:rsidR="00A819A0" w:rsidRPr="00B56A33">
        <w:t>11</w:t>
      </w:r>
      <w:r w:rsidRPr="00B56A33">
        <w:t>. marts 2026 om forslag til Europa-Parlamentets og Rådets afgørelse om mobilisering af Den Europæiske Fond for Tilpasning til Globaliseringen for Afskedigede Arbejdstagere på baggrund af en ansøgning fra Belgien – EGF/2025/004 BE/Tupperware</w:t>
      </w:r>
      <w:bookmarkEnd w:id="5"/>
      <w:r w:rsidRPr="00B56A33">
        <w:t xml:space="preserve"> </w:t>
      </w:r>
      <w:bookmarkStart w:id="6" w:name="References"/>
      <w:r w:rsidRPr="00B56A33">
        <w:t>(</w:t>
      </w:r>
      <w:proofErr w:type="gramStart"/>
      <w:r w:rsidRPr="00B56A33">
        <w:t>COM(</w:t>
      </w:r>
      <w:proofErr w:type="gramEnd"/>
      <w:r w:rsidRPr="00B56A33">
        <w:t>2026)0001 – C10-0012/2026 – 2026/0004(BUD))</w:t>
      </w:r>
      <w:bookmarkEnd w:id="6"/>
    </w:p>
    <w:p w14:paraId="56DE3276" w14:textId="77777777" w:rsidR="0093593D" w:rsidRPr="009151A4" w:rsidRDefault="0093593D" w:rsidP="0093593D">
      <w:pPr>
        <w:pStyle w:val="EPComma"/>
      </w:pPr>
      <w:r w:rsidRPr="009151A4">
        <w:rPr>
          <w:i/>
        </w:rPr>
        <w:t>Europa-Parlamentet</w:t>
      </w:r>
      <w:r w:rsidRPr="009151A4">
        <w:t>,</w:t>
      </w:r>
    </w:p>
    <w:p w14:paraId="2542CFDB" w14:textId="77777777" w:rsidR="0093593D" w:rsidRPr="009151A4" w:rsidRDefault="0093593D" w:rsidP="0093593D">
      <w:pPr>
        <w:pStyle w:val="NormalHanging12a"/>
      </w:pPr>
      <w:r w:rsidRPr="009151A4">
        <w:t>–</w:t>
      </w:r>
      <w:r w:rsidRPr="009151A4">
        <w:tab/>
        <w:t>der henviser til Kommissionens forslag til Europa-Parlamentet og Rådet (</w:t>
      </w:r>
      <w:proofErr w:type="gramStart"/>
      <w:r w:rsidRPr="009151A4">
        <w:t>COM(</w:t>
      </w:r>
      <w:proofErr w:type="gramEnd"/>
      <w:r w:rsidRPr="009151A4">
        <w:t>2026)0001 – C10</w:t>
      </w:r>
      <w:r w:rsidRPr="009151A4">
        <w:noBreakHyphen/>
        <w:t>0012/2026),</w:t>
      </w:r>
    </w:p>
    <w:p w14:paraId="0F2CC91F" w14:textId="77777777" w:rsidR="0093593D" w:rsidRPr="009151A4" w:rsidRDefault="0093593D" w:rsidP="0093593D">
      <w:pPr>
        <w:pStyle w:val="NormalHanging12a"/>
      </w:pPr>
      <w:r w:rsidRPr="009151A4">
        <w:t>–</w:t>
      </w:r>
      <w:r w:rsidRPr="009151A4">
        <w:tab/>
        <w:t>der henviser til Europa-Parlamentets og Rådets forordning (EU) 2021/691 af 28. april 2021 om Den Europæiske Fond for Tilpasning til Globaliseringen for Afskedigede Arbejdstagere (EGF) og om ophævelse af forordning (EU) nr. 1309/2013</w:t>
      </w:r>
      <w:r w:rsidRPr="009151A4">
        <w:rPr>
          <w:vertAlign w:val="superscript"/>
        </w:rPr>
        <w:footnoteReference w:id="1"/>
      </w:r>
      <w:r w:rsidRPr="009151A4">
        <w:t xml:space="preserve"> ("EGF-forordningen"), </w:t>
      </w:r>
    </w:p>
    <w:p w14:paraId="442C6575" w14:textId="77777777" w:rsidR="0093593D" w:rsidRPr="009151A4" w:rsidRDefault="0093593D" w:rsidP="0093593D">
      <w:pPr>
        <w:pStyle w:val="NormalHanging12a"/>
      </w:pPr>
      <w:r w:rsidRPr="009151A4">
        <w:t>–</w:t>
      </w:r>
      <w:r w:rsidRPr="009151A4">
        <w:tab/>
        <w:t xml:space="preserve">der henviser til Rådets forordning (EU, </w:t>
      </w:r>
      <w:proofErr w:type="spellStart"/>
      <w:r w:rsidRPr="009151A4">
        <w:t>Euratom</w:t>
      </w:r>
      <w:proofErr w:type="spellEnd"/>
      <w:r w:rsidRPr="009151A4">
        <w:t>) 2020/2093 af 17. december 2020 om fastlæggelse af den flerårige finansielle ramme for årene 2021-2027</w:t>
      </w:r>
      <w:r w:rsidRPr="009151A4">
        <w:rPr>
          <w:vertAlign w:val="superscript"/>
        </w:rPr>
        <w:footnoteReference w:id="2"/>
      </w:r>
      <w:r w:rsidRPr="009151A4">
        <w:t xml:space="preserve"> som ændret ved forordning (EU, </w:t>
      </w:r>
      <w:proofErr w:type="spellStart"/>
      <w:r w:rsidRPr="009151A4">
        <w:t>Euratom</w:t>
      </w:r>
      <w:proofErr w:type="spellEnd"/>
      <w:r w:rsidRPr="009151A4">
        <w:t>) 2024/765</w:t>
      </w:r>
      <w:r w:rsidRPr="009151A4">
        <w:rPr>
          <w:vertAlign w:val="superscript"/>
        </w:rPr>
        <w:footnoteReference w:id="3"/>
      </w:r>
      <w:r w:rsidRPr="009151A4">
        <w:t xml:space="preserve"> ("FFR-forordningen"), særlig artikel 8, </w:t>
      </w:r>
    </w:p>
    <w:p w14:paraId="763D0002" w14:textId="77777777" w:rsidR="0093593D" w:rsidRPr="009151A4" w:rsidRDefault="0093593D" w:rsidP="0093593D">
      <w:pPr>
        <w:pStyle w:val="NormalHanging12a"/>
      </w:pPr>
      <w:r w:rsidRPr="009151A4">
        <w:t>–</w:t>
      </w:r>
      <w:r w:rsidRPr="009151A4">
        <w:tab/>
        <w:t xml:space="preserve">der henviser til den </w:t>
      </w:r>
      <w:proofErr w:type="spellStart"/>
      <w:r w:rsidRPr="009151A4">
        <w:t>interinstitutionelle</w:t>
      </w:r>
      <w:proofErr w:type="spellEnd"/>
      <w:r w:rsidRPr="009151A4">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w:t>
      </w:r>
      <w:r w:rsidRPr="009151A4">
        <w:lastRenderedPageBreak/>
        <w:t>nye egne indtægter</w:t>
      </w:r>
      <w:r w:rsidRPr="009151A4">
        <w:rPr>
          <w:rStyle w:val="FootnoteReference"/>
        </w:rPr>
        <w:footnoteReference w:id="4"/>
      </w:r>
      <w:r w:rsidRPr="009151A4">
        <w:t>, særlig punkt 9,</w:t>
      </w:r>
    </w:p>
    <w:p w14:paraId="1D364A02" w14:textId="77777777" w:rsidR="0093593D" w:rsidRPr="009151A4" w:rsidRDefault="0093593D" w:rsidP="0093593D">
      <w:pPr>
        <w:pStyle w:val="NormalHanging12a"/>
      </w:pPr>
      <w:r w:rsidRPr="009151A4">
        <w:t>–</w:t>
      </w:r>
      <w:r w:rsidRPr="009151A4">
        <w:tab/>
        <w:t>der henviser til den europæiske søjle for sociale rettigheder,</w:t>
      </w:r>
    </w:p>
    <w:p w14:paraId="46C1FD2D" w14:textId="77777777" w:rsidR="0093593D" w:rsidRPr="009151A4" w:rsidRDefault="0093593D" w:rsidP="0093593D">
      <w:pPr>
        <w:pStyle w:val="NormalHanging12a"/>
      </w:pPr>
      <w:r w:rsidRPr="009151A4">
        <w:t>–</w:t>
      </w:r>
      <w:r w:rsidRPr="009151A4">
        <w:tab/>
        <w:t>der henviser til udtalelse fra Udvalget om Beskæftigelse og Sociale Anliggender,</w:t>
      </w:r>
    </w:p>
    <w:p w14:paraId="1B1A8802" w14:textId="77777777" w:rsidR="0093593D" w:rsidRPr="009151A4" w:rsidRDefault="0093593D" w:rsidP="0093593D">
      <w:pPr>
        <w:pStyle w:val="NormalHanging12a"/>
      </w:pPr>
      <w:r w:rsidRPr="009151A4">
        <w:t>–</w:t>
      </w:r>
      <w:r w:rsidRPr="009151A4">
        <w:tab/>
        <w:t>der henviser til betænkning fra Budgetudvalget (A10-0030/2026),</w:t>
      </w:r>
    </w:p>
    <w:p w14:paraId="63E07457" w14:textId="77777777" w:rsidR="0093593D" w:rsidRPr="009151A4" w:rsidRDefault="0093593D" w:rsidP="0093593D">
      <w:pPr>
        <w:pStyle w:val="NormalHanging12a"/>
      </w:pPr>
      <w:r w:rsidRPr="009151A4">
        <w:t>A.</w:t>
      </w:r>
      <w:r w:rsidRPr="009151A4">
        <w:tab/>
        <w:t>der henviser til, at Unionen har indført lovgivnings- og budgetinstrumenter for at yde supplerende støtte til arbejdstagere, der er ramt af følgerne af gennemgribende strukturelle begivenheder og ændringer i verdenshandelsmønstrene, med henblik på at hjælpe dem med at vende tilbage til arbejdsmarkedet; der henviser til, at denne bistand ydes gennem økonomisk støtte til arbejdstagere;</w:t>
      </w:r>
    </w:p>
    <w:p w14:paraId="34DC0F9D" w14:textId="129656AE" w:rsidR="0093593D" w:rsidRPr="009151A4" w:rsidRDefault="0093593D" w:rsidP="0093593D">
      <w:pPr>
        <w:pStyle w:val="NormalHanging12a"/>
      </w:pPr>
      <w:r w:rsidRPr="009151A4">
        <w:t>B.</w:t>
      </w:r>
      <w:r w:rsidRPr="009151A4">
        <w:tab/>
        <w:t xml:space="preserve">der henviser til, at Belgien indgav ansøgning EGF/2025/004 BE/Tupperware om økonomisk støtte fra </w:t>
      </w:r>
      <w:r w:rsidR="004F3F33" w:rsidRPr="009151A4">
        <w:t>Den Europæiske Fond for Tilpasning til Globaliseringen (</w:t>
      </w:r>
      <w:r w:rsidRPr="009151A4">
        <w:t>EGF</w:t>
      </w:r>
      <w:r w:rsidR="004F3F33" w:rsidRPr="009151A4">
        <w:t>)</w:t>
      </w:r>
      <w:r w:rsidRPr="009151A4">
        <w:t xml:space="preserve"> som følge af 267 afskedigelser</w:t>
      </w:r>
      <w:r w:rsidRPr="009151A4">
        <w:rPr>
          <w:vertAlign w:val="superscript"/>
        </w:rPr>
        <w:footnoteReference w:id="5"/>
      </w:r>
      <w:r w:rsidRPr="009151A4">
        <w:t xml:space="preserve"> i Tupperware General Services NV (Tupperware) i den økonomiske sektor, som er klassificeret under NACE rev. 2 hovedgruppe 22 (Fremstilling af gummi- og plastprodukter) i provinsen Østflandern (BE23), inden for en referenceperiode fra den 17. februar 2025 til den 17. juni 2025; </w:t>
      </w:r>
    </w:p>
    <w:p w14:paraId="794FC3FC" w14:textId="77777777" w:rsidR="0093593D" w:rsidRPr="009151A4" w:rsidRDefault="0093593D" w:rsidP="0093593D">
      <w:pPr>
        <w:pStyle w:val="NormalHanging12a"/>
      </w:pPr>
      <w:r w:rsidRPr="009151A4">
        <w:t>C.</w:t>
      </w:r>
      <w:r w:rsidRPr="009151A4">
        <w:tab/>
        <w:t xml:space="preserve">der henviser til, at ansøgningen er baseret på interventionskriteriet i artikel 4, stk. 2, litra a), i EGF-forordningen, som forudsætter aktivitetsophør for mindst 200 afskedigede arbejdstagere eller selvstændige erhvervsdrivende i løbet af en firemåneders referenceperiode i en virksomhed i en medlemsstat; </w:t>
      </w:r>
    </w:p>
    <w:p w14:paraId="041EA578" w14:textId="77777777" w:rsidR="0093593D" w:rsidRPr="009151A4" w:rsidRDefault="0093593D" w:rsidP="0093593D">
      <w:pPr>
        <w:pStyle w:val="NormalHanging12a"/>
      </w:pPr>
      <w:r w:rsidRPr="009151A4">
        <w:t>D.</w:t>
      </w:r>
      <w:r w:rsidRPr="009151A4">
        <w:tab/>
        <w:t>der henviser til, at Tupperware indgav konkursbegæring den 17. februar 2025; der henviser til, at antallet af konkurser har været stigende i Belgien siden 2022;</w:t>
      </w:r>
    </w:p>
    <w:p w14:paraId="26BE9714" w14:textId="77777777" w:rsidR="0093593D" w:rsidRPr="009151A4" w:rsidRDefault="0093593D" w:rsidP="0093593D">
      <w:pPr>
        <w:pStyle w:val="NormalHanging12a"/>
      </w:pPr>
      <w:r w:rsidRPr="009151A4">
        <w:t>E.</w:t>
      </w:r>
      <w:r w:rsidRPr="009151A4">
        <w:tab/>
        <w:t xml:space="preserve">der henviser til, at Belgien har oplyst, at den flamske arbejdsformidling (VDAB) yder den nationale </w:t>
      </w:r>
      <w:proofErr w:type="spellStart"/>
      <w:r w:rsidRPr="009151A4">
        <w:t>forfinansiering</w:t>
      </w:r>
      <w:proofErr w:type="spellEnd"/>
      <w:r w:rsidRPr="009151A4">
        <w:t xml:space="preserve"> og medfinansiering af foranstaltningerne;</w:t>
      </w:r>
    </w:p>
    <w:p w14:paraId="78B6B3BA" w14:textId="77777777" w:rsidR="0093593D" w:rsidRPr="009151A4" w:rsidRDefault="0093593D" w:rsidP="0093593D">
      <w:pPr>
        <w:pStyle w:val="NormalHanging12a"/>
      </w:pPr>
      <w:r w:rsidRPr="009151A4">
        <w:t>F.</w:t>
      </w:r>
      <w:r w:rsidRPr="009151A4">
        <w:tab/>
        <w:t>der henviser til, at kravene i EU-lovgivningen og den nationale lovgivning vedrørende kollektiv afskedigelse er blevet opfyldt;</w:t>
      </w:r>
    </w:p>
    <w:p w14:paraId="1419E221" w14:textId="77777777" w:rsidR="0093593D" w:rsidRPr="009151A4" w:rsidRDefault="0093593D" w:rsidP="0093593D">
      <w:pPr>
        <w:pStyle w:val="NormalHanging12a"/>
      </w:pPr>
      <w:r w:rsidRPr="009151A4">
        <w:t>G.</w:t>
      </w:r>
      <w:r w:rsidRPr="009151A4">
        <w:tab/>
        <w:t>der henviser til, at den økonomiske støtte fra EGF primært bør være rettet mod aktive arbejdsmarkedspolitiske foranstaltninger og individualiserede tilbud, som har til formål hurtigt at reintegrere støttemodtagerne i anstændig og bæredygtig beskæftigelse, samtidig med at de gøres parate til en grønnere og mere digital europæisk økonomi;</w:t>
      </w:r>
    </w:p>
    <w:p w14:paraId="4004D3B2" w14:textId="77777777" w:rsidR="0093593D" w:rsidRPr="009151A4" w:rsidRDefault="0093593D" w:rsidP="0093593D">
      <w:pPr>
        <w:pStyle w:val="NormalHanging12a"/>
      </w:pPr>
      <w:r w:rsidRPr="009151A4">
        <w:t>H.</w:t>
      </w:r>
      <w:r w:rsidRPr="009151A4">
        <w:tab/>
        <w:t>der henviser til, at EGF ikke må overstige et maksimalt årligt beløb på 30 mio. EUR (i 2018-priser)</w:t>
      </w:r>
      <w:r w:rsidRPr="009151A4">
        <w:rPr>
          <w:vertAlign w:val="superscript"/>
        </w:rPr>
        <w:footnoteReference w:id="6"/>
      </w:r>
      <w:r w:rsidRPr="009151A4">
        <w:t xml:space="preserve">; </w:t>
      </w:r>
    </w:p>
    <w:p w14:paraId="143A26FD" w14:textId="77777777" w:rsidR="0093593D" w:rsidRPr="009151A4" w:rsidRDefault="0093593D" w:rsidP="0093593D">
      <w:pPr>
        <w:pStyle w:val="NormalHanging12a"/>
      </w:pPr>
      <w:r w:rsidRPr="009151A4">
        <w:t>1.</w:t>
      </w:r>
      <w:r w:rsidRPr="009151A4">
        <w:tab/>
        <w:t xml:space="preserve">er enig med Kommissionen i, at betingelserne i EGF-forordningen og særlig i artikel 4, stk. 2, litra a), er opfyldt, og at Belgien derfor er berettiget til økonomisk støtte på 1 622 650 EUR i henhold til nævnte forordning, hvilket svarer til 85 % af de samlede omkostninger på 1 909 000 EUR og omfatter udgifterne til individualiserede tilbud på 1 843 500 EUR samt udgifter til forberedende arbejde, forvaltning, oplysning, offentlig </w:t>
      </w:r>
      <w:r w:rsidRPr="009151A4">
        <w:lastRenderedPageBreak/>
        <w:t>omtale, kontrol- og rapporteringsaktiviteter på 65 500 EUR;</w:t>
      </w:r>
    </w:p>
    <w:p w14:paraId="15F66ACA" w14:textId="77777777" w:rsidR="0093593D" w:rsidRPr="009151A4" w:rsidRDefault="0093593D" w:rsidP="0093593D">
      <w:pPr>
        <w:pStyle w:val="NormalHanging12a"/>
      </w:pPr>
      <w:r w:rsidRPr="009151A4">
        <w:t>2.</w:t>
      </w:r>
      <w:r w:rsidRPr="009151A4">
        <w:tab/>
        <w:t>bemærker, at de belgiske myndigheder indgav ansøgningen den 28. august 2025, og at Kommissionen, efter have modtaget yderligere oplysninger fremsendt af Belgien, den 20. januar 2026, næsten fem måneder senere, afsluttede sin vurdering heraf og fremsendte den til Parlamentet samme dag; understreger betydningen af at afkorte tidsrummet mellem indgivelsen af en ansøgning om EGF-støtte og finansieringsafgørelsen, samtidig med at Europa-Parlamentets rettigheder som den ene af budgetmyndighedens to parter beskyttes fuldt ud;</w:t>
      </w:r>
    </w:p>
    <w:p w14:paraId="296B87AC" w14:textId="77777777" w:rsidR="0093593D" w:rsidRPr="009151A4" w:rsidRDefault="0093593D" w:rsidP="0093593D">
      <w:pPr>
        <w:pStyle w:val="NormalHanging12a"/>
      </w:pPr>
      <w:r w:rsidRPr="009151A4">
        <w:t>3.</w:t>
      </w:r>
      <w:r w:rsidRPr="009151A4">
        <w:tab/>
        <w:t>bemærker, at ansøgningen vedrører 267 tiltænkte støttemodtagere, der blev afskediget i virksomheden Tupperware;</w:t>
      </w:r>
    </w:p>
    <w:p w14:paraId="1D40A57B" w14:textId="77777777" w:rsidR="0093593D" w:rsidRPr="009151A4" w:rsidRDefault="0093593D" w:rsidP="0093593D">
      <w:pPr>
        <w:pStyle w:val="NormalHanging12a"/>
      </w:pPr>
      <w:r w:rsidRPr="009151A4">
        <w:t>4.</w:t>
      </w:r>
      <w:r w:rsidRPr="009151A4">
        <w:tab/>
        <w:t xml:space="preserve">bemærker, at Tupperware var beliggende i </w:t>
      </w:r>
      <w:proofErr w:type="spellStart"/>
      <w:r w:rsidRPr="009151A4">
        <w:t>Aalst</w:t>
      </w:r>
      <w:proofErr w:type="spellEnd"/>
      <w:r w:rsidRPr="009151A4">
        <w:t xml:space="preserve"> i provinsen Østflandern, hvor kun hver anden person var beskæftiget, sammenlignet med to ud af tre i gennemsnit i hele Flandern-regionen, allerede før Tupperwares konkurs; beklager, at disse afskedigelser vil forværre situationen yderligere; understreger, at der er behov for hurtig handling for at forhindre strukturel regional tilbagegang;</w:t>
      </w:r>
    </w:p>
    <w:p w14:paraId="54192AE9" w14:textId="77777777" w:rsidR="0093593D" w:rsidRPr="009151A4" w:rsidRDefault="0093593D" w:rsidP="0093593D">
      <w:pPr>
        <w:pStyle w:val="NormalHanging12a"/>
      </w:pPr>
      <w:r w:rsidRPr="009151A4">
        <w:t>5.</w:t>
      </w:r>
      <w:r w:rsidRPr="009151A4">
        <w:tab/>
        <w:t xml:space="preserve">beklager, at det amerikanske moderselskab Tupperware Brands blev overtaget af kreditorer i oktober 2024 og på grund af en betydelig </w:t>
      </w:r>
      <w:proofErr w:type="gramStart"/>
      <w:r w:rsidRPr="009151A4">
        <w:t>omstrukturering</w:t>
      </w:r>
      <w:proofErr w:type="gramEnd"/>
      <w:r w:rsidRPr="009151A4">
        <w:t xml:space="preserve"> tilbagekaldte produktionen og licenserne, der var tildelt Tupperware General Services NV, hvilket gjorde det belgiske datterselskab finansielt uholdbart og førte til dets konkurs den 17. februar 2025; </w:t>
      </w:r>
    </w:p>
    <w:p w14:paraId="64901491" w14:textId="5EB45B67" w:rsidR="0093593D" w:rsidRPr="009151A4" w:rsidRDefault="0093593D" w:rsidP="0093593D">
      <w:pPr>
        <w:pStyle w:val="NormalHanging12a"/>
      </w:pPr>
      <w:r w:rsidRPr="009151A4">
        <w:t>6.</w:t>
      </w:r>
      <w:r w:rsidRPr="009151A4">
        <w:tab/>
        <w:t>glæder sig over initiativ</w:t>
      </w:r>
      <w:r w:rsidR="004F3F33" w:rsidRPr="009151A4">
        <w:t>et</w:t>
      </w:r>
      <w:r w:rsidRPr="009151A4">
        <w:t xml:space="preserve"> fra </w:t>
      </w:r>
      <w:r w:rsidR="004F3F33" w:rsidRPr="009151A4">
        <w:t xml:space="preserve">en </w:t>
      </w:r>
      <w:r w:rsidRPr="009151A4">
        <w:t>gruppe europæiske iværksættere, der har til formål at genoplive mærket i Tyskland, Frankrig, Belgien, Italien og Polen;</w:t>
      </w:r>
    </w:p>
    <w:p w14:paraId="0671FC69" w14:textId="77777777" w:rsidR="0093593D" w:rsidRPr="009151A4" w:rsidRDefault="0093593D" w:rsidP="0093593D">
      <w:pPr>
        <w:pStyle w:val="NormalHanging12a"/>
      </w:pPr>
      <w:r w:rsidRPr="009151A4">
        <w:t>7.</w:t>
      </w:r>
      <w:r w:rsidRPr="009151A4">
        <w:tab/>
        <w:t>understreger, at risikoen for arbejdsløshed i Flandern er over dobbelt så stor for personer med et lavt uddannelsesniveau; bemærker, at en tredjedel af de afskedigede arbejdstagere kun har et sekundæruddannelsesniveau på første trin; opfordrer de belgiske myndigheder til at yde specifik støtte, der er skræddersyet til disse profiler, for at hjælpe arbejdstagerne med at overvinde deres mangler og finde nye job, samtidig med at der træffes foranstaltninger til at mindske konkurser og afhjælpe sociale forskelle, der fører til udelukkelse af arbejdsstyrken;</w:t>
      </w:r>
    </w:p>
    <w:p w14:paraId="5DECF3AD" w14:textId="77777777" w:rsidR="0093593D" w:rsidRPr="009151A4" w:rsidRDefault="0093593D" w:rsidP="0093593D">
      <w:pPr>
        <w:pStyle w:val="NormalHanging12a"/>
      </w:pPr>
      <w:r w:rsidRPr="009151A4">
        <w:t>8.</w:t>
      </w:r>
      <w:r w:rsidRPr="009151A4">
        <w:tab/>
        <w:t>minder om, at individualiserede tilbud til arbejdstagerne efter aftale med fagforeninger, eksperter og arbejdsmarkedets parter består af følgende foranstaltninger: informationsmøder med henblik på reintegration på arbejdsmarkedet, genplaceringstjenester, herunder IKT-uddannelse; hjælp til at finde et job gennem vejledning og hjælp til jobsøgning, uddannelse og omskoling, jobmesse, jobsøgning og jobmatchning; understreger betydningen af at fremme fremtidsorienterede job af høj kvalitet for at sikre langsigtet økonomisk og social modstandsdygtighed; opfordrer de belgiske myndigheder til at indlede en dialog med de nye europæiske Tupperware-repræsentanter for at undersøge mulighederne for at reintegrere de afskedigede arbejdstagere i deres økonomiske aktiviteter;</w:t>
      </w:r>
    </w:p>
    <w:p w14:paraId="664D2224" w14:textId="77777777" w:rsidR="0093593D" w:rsidRPr="009151A4" w:rsidRDefault="0093593D" w:rsidP="0093593D">
      <w:pPr>
        <w:pStyle w:val="NormalHanging12a"/>
      </w:pPr>
      <w:r w:rsidRPr="009151A4">
        <w:t>9.</w:t>
      </w:r>
      <w:r w:rsidRPr="009151A4">
        <w:tab/>
        <w:t xml:space="preserve">understreger, at de afskedigede arbejdstageres kvalifikationer og færdigheder fortsat er afgørende for en fremtidssikret europæisk økonomi; mener derfor, at mobiliseringen af EGF skal integreres i en større politisk indsats på alle politiske niveauer for at sikre, at de berørte arbejdstagere finder passende muligheder i overensstemmelse med deres kvalifikationer og færdigheder; minder endvidere om, at EGF er et instrument til </w:t>
      </w:r>
      <w:r w:rsidRPr="009151A4">
        <w:lastRenderedPageBreak/>
        <w:t>solidaritet og retfærdig omstilling, og at Unionens primære opgave skal være at forhindre sådanne lukninger i første omgang; mener, at der, til trods for at EGF yder den nødvendige støtte til de berørte arbejdstagere, er et helt afgørende behov for en stærkere industripolitik, en mere robust, bæredygtig og modstandsdygtig økonomi og en mindskelse af den strategiske afhængighed afgørende for at beskytte den europæiske industrielle beskæftigelsesbase;</w:t>
      </w:r>
    </w:p>
    <w:p w14:paraId="3823A74E" w14:textId="77777777" w:rsidR="0093593D" w:rsidRPr="009151A4" w:rsidRDefault="0093593D" w:rsidP="0093593D">
      <w:pPr>
        <w:pStyle w:val="NormalHanging12a"/>
        <w:rPr>
          <w:bCs/>
          <w:iCs/>
        </w:rPr>
      </w:pPr>
      <w:r w:rsidRPr="009151A4">
        <w:t>10.</w:t>
      </w:r>
      <w:r w:rsidRPr="009151A4">
        <w:tab/>
        <w:t>understreger, at de belgiske myndigheder skal sikre synligheden af EU-finansieringen og fremhæve dens merværdi ved at give effektive og målrettede oplysninger til støttemodtagere, regionale og lokale myndigheder, arbejdsmarkedets parter og den brede offentlighed;</w:t>
      </w:r>
    </w:p>
    <w:p w14:paraId="4AD62836" w14:textId="77777777" w:rsidR="0093593D" w:rsidRPr="009151A4" w:rsidRDefault="0093593D" w:rsidP="0093593D">
      <w:pPr>
        <w:pStyle w:val="NormalHanging12a"/>
      </w:pPr>
      <w:r w:rsidRPr="009151A4">
        <w:t>11.</w:t>
      </w:r>
      <w:r w:rsidRPr="009151A4">
        <w:tab/>
        <w:t>opfordrer til grundige endelige evalueringer af de gennemførte foranstaltninger, herunder klare oplysninger om, hvordan midlerne er blevet anvendt, og om de er blevet brugt i overensstemmelse med de godkendte planer; understreger, at sådanne evalueringer bør være baseret på klart definerede mål og målbare resultater, der gør det muligt at vurdere de resultater, der er opnået for de berørte arbejdstagere; understreger betydningen af at sikre hurtigere og mere effektive interventioner og minder i denne forbindelse om behovet for at undersøge, hvordan man kan sikre bæredygtigheden af EGF eller dens efterfølgerprogram inden for rammerne af den næste flerårige finansielle ramme 2028-2034;</w:t>
      </w:r>
    </w:p>
    <w:p w14:paraId="14D18765" w14:textId="77777777" w:rsidR="0093593D" w:rsidRPr="009151A4" w:rsidRDefault="0093593D" w:rsidP="0093593D">
      <w:pPr>
        <w:pStyle w:val="NormalHanging12a"/>
      </w:pPr>
      <w:r w:rsidRPr="009151A4">
        <w:t>12.</w:t>
      </w:r>
      <w:r w:rsidRPr="009151A4">
        <w:tab/>
        <w:t>bemærker, at Belgien begyndte at give individualiserede tilbud til de tiltænkte støttemodtagere den 17. februar 2025, og at perioden for berettigelse til økonomisk støtte fra EGF derfor vil være fra den dato og indtil 24 måneder efter datoen for finansieringsafgørelsens ikrafttræden;</w:t>
      </w:r>
    </w:p>
    <w:p w14:paraId="4543F71F" w14:textId="77777777" w:rsidR="0093593D" w:rsidRPr="009151A4" w:rsidRDefault="0093593D" w:rsidP="0093593D">
      <w:pPr>
        <w:pStyle w:val="NormalHanging12a"/>
      </w:pPr>
      <w:r w:rsidRPr="009151A4">
        <w:t>13.</w:t>
      </w:r>
      <w:r w:rsidRPr="009151A4">
        <w:tab/>
        <w:t>bemærker, at Belgien siden den 17. februar 2025 har afholdt de administrative udgifter til gennemførelsen af EGF, og at disse udgifter derfor berettiger til økonomisk støtte fra EGF fra den dato og indtil 31 måneder efter datoen for finansieringsafgørelsens ikrafttræden;</w:t>
      </w:r>
    </w:p>
    <w:p w14:paraId="5B6C3A66" w14:textId="77777777" w:rsidR="0093593D" w:rsidRPr="009151A4" w:rsidRDefault="0093593D" w:rsidP="0093593D">
      <w:pPr>
        <w:pStyle w:val="NormalHanging12a"/>
      </w:pPr>
      <w:r w:rsidRPr="009151A4">
        <w:t>14.</w:t>
      </w:r>
      <w:r w:rsidRPr="009151A4">
        <w:tab/>
        <w:t>bemærker, at de belgiske myndigheder har givet garanti for, at principperne om ligebehandling og ikkeforskelsbehandling vil blive overholdt i forbindelse med adgangen til de foreslåede foranstaltninger og deres gennemførelse, og at dobbeltfinansiering vil blive forhindret;</w:t>
      </w:r>
    </w:p>
    <w:p w14:paraId="62094899" w14:textId="77777777" w:rsidR="0093593D" w:rsidRPr="009151A4" w:rsidRDefault="0093593D" w:rsidP="0093593D">
      <w:pPr>
        <w:pStyle w:val="NormalHanging12a"/>
      </w:pPr>
      <w:r w:rsidRPr="009151A4">
        <w:t>15.</w:t>
      </w:r>
      <w:r w:rsidRPr="009151A4">
        <w:tab/>
        <w:t>gentager, at støtte fra EGF ikke må erstatte foranstaltninger, som det påhviler virksomhederne at gennemføre i henhold til national lovgivning eller kollektive overenskomster;</w:t>
      </w:r>
    </w:p>
    <w:p w14:paraId="193304DA" w14:textId="77777777" w:rsidR="0093593D" w:rsidRPr="009151A4" w:rsidRDefault="0093593D" w:rsidP="0093593D">
      <w:pPr>
        <w:pStyle w:val="NormalHanging12a"/>
      </w:pPr>
      <w:r w:rsidRPr="009151A4">
        <w:t>16.</w:t>
      </w:r>
      <w:r w:rsidRPr="009151A4">
        <w:tab/>
        <w:t>godkender den afgørelse, der er vedføjet denne beslutning;</w:t>
      </w:r>
    </w:p>
    <w:p w14:paraId="554DEEEB" w14:textId="77777777" w:rsidR="0093593D" w:rsidRPr="009151A4" w:rsidRDefault="0093593D" w:rsidP="0093593D">
      <w:pPr>
        <w:pStyle w:val="NormalHanging12a"/>
      </w:pPr>
      <w:r w:rsidRPr="009151A4">
        <w:t>17.</w:t>
      </w:r>
      <w:r w:rsidRPr="009151A4">
        <w:tab/>
        <w:t>pålægger sin formand at undertegne denne afgørelse sammen med Rådets formand og drage omsorg for, at den offentliggøres i D</w:t>
      </w:r>
      <w:r w:rsidRPr="009151A4">
        <w:rPr>
          <w:i/>
        </w:rPr>
        <w:t>en Europæiske Unions Tidende</w:t>
      </w:r>
      <w:r w:rsidRPr="009151A4">
        <w:t>;</w:t>
      </w:r>
    </w:p>
    <w:p w14:paraId="347DE2B4" w14:textId="104CF004" w:rsidR="0093593D" w:rsidRPr="009151A4" w:rsidRDefault="0093593D" w:rsidP="0093593D">
      <w:pPr>
        <w:pStyle w:val="NormalHanging12a"/>
      </w:pPr>
      <w:r w:rsidRPr="009151A4">
        <w:t>18.</w:t>
      </w:r>
      <w:r w:rsidRPr="009151A4">
        <w:tab/>
        <w:t>pålægger sin formand at sende denne beslutning sammen med bilaget til Rådet og Kommissionen.</w:t>
      </w:r>
    </w:p>
    <w:p w14:paraId="5C6ED567" w14:textId="77777777" w:rsidR="0093593D" w:rsidRPr="009151A4" w:rsidRDefault="0093593D" w:rsidP="0093593D"/>
    <w:p w14:paraId="22FDAB3C" w14:textId="77777777" w:rsidR="0093593D" w:rsidRPr="009151A4" w:rsidRDefault="0093593D" w:rsidP="0093593D">
      <w:pPr>
        <w:pStyle w:val="PageHeading"/>
        <w:sectPr w:rsidR="0093593D" w:rsidRPr="009151A4" w:rsidSect="003B6B7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8D3A64" w14:textId="77777777" w:rsidR="00DF5FD0" w:rsidRPr="00DF5FD0" w:rsidRDefault="0093593D" w:rsidP="00DF5FD0">
      <w:pPr>
        <w:pStyle w:val="PageHeading"/>
        <w:spacing w:after="240"/>
        <w:rPr>
          <w:rFonts w:ascii="Times New Roman" w:hAnsi="Times New Roman" w:cs="Times New Roman"/>
        </w:rPr>
      </w:pPr>
      <w:bookmarkStart w:id="7" w:name="_Toc223502796"/>
      <w:r w:rsidRPr="00DF5FD0">
        <w:rPr>
          <w:rFonts w:ascii="Times New Roman" w:hAnsi="Times New Roman" w:cs="Times New Roman"/>
        </w:rPr>
        <w:lastRenderedPageBreak/>
        <w:t>BILAG</w:t>
      </w:r>
    </w:p>
    <w:p w14:paraId="789ED5F7" w14:textId="4F9FC674" w:rsidR="0093593D" w:rsidRPr="00DF5FD0" w:rsidRDefault="0093593D" w:rsidP="00DF5FD0">
      <w:pPr>
        <w:pStyle w:val="PageHeading"/>
        <w:spacing w:after="240"/>
        <w:rPr>
          <w:rFonts w:ascii="Times New Roman" w:hAnsi="Times New Roman" w:cs="Times New Roman"/>
        </w:rPr>
      </w:pPr>
      <w:r w:rsidRPr="00DF5FD0">
        <w:rPr>
          <w:rFonts w:ascii="Times New Roman" w:hAnsi="Times New Roman" w:cs="Times New Roman"/>
        </w:rPr>
        <w:t>EUROPA-PARLAMENTETS OG RÅDETS AFGØRELSE</w:t>
      </w:r>
      <w:bookmarkEnd w:id="7"/>
    </w:p>
    <w:p w14:paraId="00835547" w14:textId="77777777" w:rsidR="0093593D" w:rsidRDefault="0093593D" w:rsidP="0093593D">
      <w:pPr>
        <w:pStyle w:val="Institutionquiagit"/>
        <w:jc w:val="left"/>
        <w:rPr>
          <w:b/>
        </w:rPr>
      </w:pPr>
      <w:r w:rsidRPr="009151A4">
        <w:rPr>
          <w:b/>
        </w:rPr>
        <w:t>om mobilisering af Den Europæiske Fond for Tilpasning til Globaliseringen for Afskedigede Arbejdstagere på baggrund af en ansøgning fra Belgien – EGF/2025/004 BE/Tupperware</w:t>
      </w:r>
    </w:p>
    <w:p w14:paraId="1F372B72" w14:textId="75658D64" w:rsidR="00DF5FD0" w:rsidRPr="00DF5FD0" w:rsidRDefault="00DF5FD0" w:rsidP="00DF5FD0">
      <w:pPr>
        <w:rPr>
          <w:lang w:eastAsia="en-US"/>
        </w:rPr>
      </w:pPr>
      <w:r w:rsidRPr="00DF5FD0">
        <w:rPr>
          <w:rStyle w:val="Emphasis"/>
          <w:b w:val="0"/>
          <w:bCs/>
        </w:rPr>
        <w:t>(</w:t>
      </w:r>
      <w:r w:rsidRPr="00DF5FD0">
        <w:rPr>
          <w:i/>
          <w:iCs/>
        </w:rPr>
        <w:t xml:space="preserve">Teksten i bilaget gengives ikke her, eftersom det svarer til den endelige retsakt, afgørelse (EU) </w:t>
      </w:r>
      <w:r w:rsidRPr="00DF5FD0">
        <w:rPr>
          <w:i/>
          <w:iCs/>
        </w:rPr>
        <w:t>2026/723</w:t>
      </w:r>
      <w:r w:rsidRPr="00DF5FD0">
        <w:rPr>
          <w:rStyle w:val="Emphasis"/>
        </w:rPr>
        <w:t>.</w:t>
      </w:r>
      <w:r w:rsidRPr="00DF5FD0">
        <w:rPr>
          <w:rStyle w:val="Emphasis"/>
          <w:b w:val="0"/>
          <w:bCs/>
        </w:rPr>
        <w:t>)</w:t>
      </w:r>
    </w:p>
    <w:sectPr w:rsidR="00DF5FD0" w:rsidRPr="00DF5FD0" w:rsidSect="003B6B7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4B90D" w14:textId="77777777" w:rsidR="003564E1" w:rsidRPr="003B6B7F" w:rsidRDefault="003564E1">
      <w:r w:rsidRPr="003B6B7F">
        <w:separator/>
      </w:r>
    </w:p>
  </w:endnote>
  <w:endnote w:type="continuationSeparator" w:id="0">
    <w:p w14:paraId="5BAE829C" w14:textId="77777777" w:rsidR="003564E1" w:rsidRPr="003B6B7F" w:rsidRDefault="003564E1">
      <w:r w:rsidRPr="003B6B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1C57" w14:textId="77777777" w:rsidR="0093593D" w:rsidRPr="003B6B7F" w:rsidRDefault="0093593D" w:rsidP="002E1F56">
    <w:pPr>
      <w:pStyle w:val="EPFooter"/>
    </w:pPr>
    <w:r w:rsidRPr="003B6B7F">
      <w:t>PE</w:t>
    </w:r>
    <w:r w:rsidRPr="003B6B7F">
      <w:rPr>
        <w:rStyle w:val="HideTWBExt"/>
      </w:rPr>
      <w:t>&lt;</w:t>
    </w:r>
    <w:proofErr w:type="spellStart"/>
    <w:r w:rsidRPr="003B6B7F">
      <w:rPr>
        <w:rStyle w:val="HideTWBExt"/>
      </w:rPr>
      <w:t>NoPE</w:t>
    </w:r>
    <w:proofErr w:type="spellEnd"/>
    <w:r w:rsidRPr="003B6B7F">
      <w:rPr>
        <w:rStyle w:val="HideTWBExt"/>
      </w:rPr>
      <w:t>&gt;</w:t>
    </w:r>
    <w:r w:rsidRPr="003B6B7F">
      <w:t>782.416</w:t>
    </w:r>
    <w:r w:rsidRPr="003B6B7F">
      <w:rPr>
        <w:rStyle w:val="HideTWBExt"/>
      </w:rPr>
      <w:t>&lt;/</w:t>
    </w:r>
    <w:proofErr w:type="spellStart"/>
    <w:r w:rsidRPr="003B6B7F">
      <w:rPr>
        <w:rStyle w:val="HideTWBExt"/>
      </w:rPr>
      <w:t>NoPE</w:t>
    </w:r>
    <w:proofErr w:type="spellEnd"/>
    <w:r w:rsidRPr="003B6B7F">
      <w:rPr>
        <w:rStyle w:val="HideTWBExt"/>
      </w:rPr>
      <w:t>&gt;&lt;Version&gt;</w:t>
    </w:r>
    <w:r w:rsidRPr="003B6B7F">
      <w:t>v02-00</w:t>
    </w:r>
    <w:r w:rsidRPr="003B6B7F">
      <w:rPr>
        <w:rStyle w:val="HideTWBExt"/>
      </w:rPr>
      <w:t>&lt;/Version&gt;</w:t>
    </w:r>
    <w:r w:rsidRPr="003B6B7F">
      <w:tab/>
    </w:r>
    <w:r w:rsidRPr="003B6B7F">
      <w:fldChar w:fldCharType="begin"/>
    </w:r>
    <w:r w:rsidRPr="003B6B7F">
      <w:instrText xml:space="preserve"> PAGE  \* MERGEFORMAT </w:instrText>
    </w:r>
    <w:r w:rsidRPr="003B6B7F">
      <w:fldChar w:fldCharType="separate"/>
    </w:r>
    <w:r w:rsidRPr="003B6B7F">
      <w:rPr>
        <w:noProof/>
      </w:rPr>
      <w:t>1</w:t>
    </w:r>
    <w:r w:rsidRPr="003B6B7F">
      <w:fldChar w:fldCharType="end"/>
    </w:r>
    <w:r w:rsidRPr="003B6B7F">
      <w:t>/</w:t>
    </w:r>
    <w:fldSimple w:instr=" NUMPAGES  \* MERGEFORMAT ">
      <w:r w:rsidRPr="003B6B7F">
        <w:rPr>
          <w:noProof/>
        </w:rPr>
        <w:t>1</w:t>
      </w:r>
    </w:fldSimple>
    <w:r w:rsidRPr="003B6B7F">
      <w:tab/>
    </w:r>
    <w:r w:rsidRPr="003B6B7F">
      <w:rPr>
        <w:rStyle w:val="HideTWBExt"/>
      </w:rPr>
      <w:t>&lt;PathFdR&gt;</w:t>
    </w:r>
    <w:r w:rsidRPr="003B6B7F">
      <w:t>RR\1338392DA.docx</w:t>
    </w:r>
    <w:r w:rsidRPr="003B6B7F">
      <w:rPr>
        <w:rStyle w:val="HideTWBExt"/>
      </w:rPr>
      <w:t>&lt;/</w:t>
    </w:r>
    <w:proofErr w:type="spellStart"/>
    <w:r w:rsidRPr="003B6B7F">
      <w:rPr>
        <w:rStyle w:val="HideTWBExt"/>
      </w:rPr>
      <w:t>PathFdR</w:t>
    </w:r>
    <w:proofErr w:type="spellEnd"/>
    <w:r w:rsidRPr="003B6B7F">
      <w:rPr>
        <w:rStyle w:val="HideTWBExt"/>
      </w:rPr>
      <w:t>&gt;</w:t>
    </w:r>
  </w:p>
  <w:p w14:paraId="2FA3045B" w14:textId="77777777" w:rsidR="0093593D" w:rsidRPr="003B6B7F" w:rsidRDefault="0093593D" w:rsidP="002E1F56">
    <w:pPr>
      <w:pStyle w:val="EPFooter2"/>
    </w:pPr>
    <w:r w:rsidRPr="003B6B7F">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4A724" w14:textId="77777777" w:rsidR="0093593D" w:rsidRPr="003B6B7F" w:rsidRDefault="0093593D" w:rsidP="002E1F56">
    <w:pPr>
      <w:pStyle w:val="EPFooter"/>
    </w:pPr>
    <w:r w:rsidRPr="003B6B7F">
      <w:rPr>
        <w:rStyle w:val="HideTWBExt"/>
      </w:rPr>
      <w:t>&lt;PathFdR&gt;</w:t>
    </w:r>
    <w:r w:rsidRPr="003B6B7F">
      <w:t>RR\1338392DA.docx</w:t>
    </w:r>
    <w:r w:rsidRPr="003B6B7F">
      <w:rPr>
        <w:rStyle w:val="HideTWBExt"/>
      </w:rPr>
      <w:t>&lt;/</w:t>
    </w:r>
    <w:proofErr w:type="spellStart"/>
    <w:r w:rsidRPr="003B6B7F">
      <w:rPr>
        <w:rStyle w:val="HideTWBExt"/>
      </w:rPr>
      <w:t>PathFdR</w:t>
    </w:r>
    <w:proofErr w:type="spellEnd"/>
    <w:r w:rsidRPr="003B6B7F">
      <w:rPr>
        <w:rStyle w:val="HideTWBExt"/>
      </w:rPr>
      <w:t>&gt;</w:t>
    </w:r>
    <w:r w:rsidRPr="003B6B7F">
      <w:tab/>
    </w:r>
    <w:r w:rsidRPr="003B6B7F">
      <w:tab/>
      <w:t>PE</w:t>
    </w:r>
    <w:r w:rsidRPr="003B6B7F">
      <w:rPr>
        <w:rStyle w:val="HideTWBExt"/>
      </w:rPr>
      <w:t>&lt;</w:t>
    </w:r>
    <w:proofErr w:type="spellStart"/>
    <w:r w:rsidRPr="003B6B7F">
      <w:rPr>
        <w:rStyle w:val="HideTWBExt"/>
      </w:rPr>
      <w:t>NoPE</w:t>
    </w:r>
    <w:proofErr w:type="spellEnd"/>
    <w:r w:rsidRPr="003B6B7F">
      <w:rPr>
        <w:rStyle w:val="HideTWBExt"/>
      </w:rPr>
      <w:t>&gt;</w:t>
    </w:r>
    <w:r w:rsidRPr="003B6B7F">
      <w:t>782.416</w:t>
    </w:r>
    <w:r w:rsidRPr="003B6B7F">
      <w:rPr>
        <w:rStyle w:val="HideTWBExt"/>
      </w:rPr>
      <w:t>&lt;/</w:t>
    </w:r>
    <w:proofErr w:type="spellStart"/>
    <w:r w:rsidRPr="003B6B7F">
      <w:rPr>
        <w:rStyle w:val="HideTWBExt"/>
      </w:rPr>
      <w:t>NoPE</w:t>
    </w:r>
    <w:proofErr w:type="spellEnd"/>
    <w:r w:rsidRPr="003B6B7F">
      <w:rPr>
        <w:rStyle w:val="HideTWBExt"/>
      </w:rPr>
      <w:t>&gt;&lt;Version&gt;</w:t>
    </w:r>
    <w:r w:rsidRPr="003B6B7F">
      <w:t>v02-00</w:t>
    </w:r>
    <w:r w:rsidRPr="003B6B7F">
      <w:rPr>
        <w:rStyle w:val="HideTWBExt"/>
      </w:rPr>
      <w:t>&lt;/Version&gt;</w:t>
    </w:r>
  </w:p>
  <w:p w14:paraId="0F8CD10B" w14:textId="77777777" w:rsidR="0093593D" w:rsidRPr="003B6B7F" w:rsidRDefault="0093593D" w:rsidP="002E1F56">
    <w:pPr>
      <w:pStyle w:val="EPFooter2"/>
    </w:pPr>
    <w:r w:rsidRPr="003B6B7F">
      <w:t>DA</w:t>
    </w:r>
    <w:r w:rsidRPr="003B6B7F">
      <w:tab/>
    </w:r>
    <w:r w:rsidRPr="003B6B7F">
      <w:rPr>
        <w:b w:val="0"/>
        <w:i/>
        <w:color w:val="C0C0C0"/>
        <w:sz w:val="22"/>
      </w:rPr>
      <w:t>Forenet i mangfoldighed</w:t>
    </w:r>
    <w:r w:rsidRPr="003B6B7F">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7680E" w14:textId="77777777" w:rsidR="00064002" w:rsidRPr="003B6B7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B9E17" w14:textId="77777777" w:rsidR="00064002" w:rsidRPr="003B6B7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249B5" w14:textId="77777777" w:rsidR="00064002" w:rsidRPr="003B6B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D580C" w14:textId="77777777" w:rsidR="003564E1" w:rsidRPr="003B6B7F" w:rsidRDefault="003564E1">
      <w:r w:rsidRPr="003B6B7F">
        <w:separator/>
      </w:r>
    </w:p>
  </w:footnote>
  <w:footnote w:type="continuationSeparator" w:id="0">
    <w:p w14:paraId="142324A0" w14:textId="77777777" w:rsidR="003564E1" w:rsidRPr="003B6B7F" w:rsidRDefault="003564E1">
      <w:r w:rsidRPr="003B6B7F">
        <w:continuationSeparator/>
      </w:r>
    </w:p>
  </w:footnote>
  <w:footnote w:id="1">
    <w:p w14:paraId="17119CCA" w14:textId="52664BF5" w:rsidR="0093593D" w:rsidRPr="00B56A33" w:rsidRDefault="0093593D" w:rsidP="003B6B7F">
      <w:pPr>
        <w:pStyle w:val="FootnoteText"/>
        <w:ind w:left="567" w:hanging="567"/>
        <w:rPr>
          <w:sz w:val="24"/>
          <w:lang w:val="da-DK"/>
        </w:rPr>
      </w:pPr>
      <w:r w:rsidRPr="00B56A33">
        <w:rPr>
          <w:rStyle w:val="FootnoteReference"/>
          <w:sz w:val="24"/>
          <w:lang w:val="da-DK"/>
        </w:rPr>
        <w:footnoteRef/>
      </w:r>
      <w:r w:rsidR="003B6B7F" w:rsidRPr="00B56A33">
        <w:rPr>
          <w:sz w:val="24"/>
          <w:lang w:val="da-DK"/>
        </w:rPr>
        <w:t xml:space="preserve"> </w:t>
      </w:r>
      <w:r w:rsidR="003B6B7F" w:rsidRPr="00B56A33">
        <w:rPr>
          <w:sz w:val="24"/>
          <w:lang w:val="da-DK"/>
        </w:rPr>
        <w:tab/>
      </w:r>
      <w:r w:rsidRPr="00B56A33">
        <w:rPr>
          <w:sz w:val="24"/>
          <w:lang w:val="da-DK"/>
        </w:rPr>
        <w:t xml:space="preserve">EUT L 153 af 3.5.2021, s. 48, ELI: </w:t>
      </w:r>
      <w:hyperlink r:id="rId1" w:history="1">
        <w:r w:rsidRPr="00B56A33">
          <w:rPr>
            <w:rStyle w:val="Hyperlink"/>
            <w:sz w:val="24"/>
            <w:lang w:val="da-DK"/>
          </w:rPr>
          <w:t>http://data.europa.eu/eli/reg/2021/691/oj</w:t>
        </w:r>
      </w:hyperlink>
      <w:r w:rsidRPr="00B56A33">
        <w:rPr>
          <w:sz w:val="24"/>
          <w:lang w:val="da-DK"/>
        </w:rPr>
        <w:t>.</w:t>
      </w:r>
    </w:p>
  </w:footnote>
  <w:footnote w:id="2">
    <w:p w14:paraId="19B8C24F" w14:textId="045B21DA" w:rsidR="0093593D" w:rsidRPr="00B56A33" w:rsidRDefault="0093593D" w:rsidP="003B6B7F">
      <w:pPr>
        <w:pStyle w:val="FootnoteText"/>
        <w:ind w:left="567" w:hanging="567"/>
        <w:rPr>
          <w:sz w:val="24"/>
          <w:lang w:val="da-DK"/>
        </w:rPr>
      </w:pPr>
      <w:r w:rsidRPr="00B56A33">
        <w:rPr>
          <w:rStyle w:val="FootnoteReference"/>
          <w:sz w:val="24"/>
          <w:lang w:val="da-DK"/>
        </w:rPr>
        <w:footnoteRef/>
      </w:r>
      <w:r w:rsidR="003B6B7F" w:rsidRPr="00B56A33">
        <w:rPr>
          <w:sz w:val="24"/>
          <w:lang w:val="da-DK"/>
        </w:rPr>
        <w:t xml:space="preserve"> </w:t>
      </w:r>
      <w:r w:rsidR="003B6B7F" w:rsidRPr="00B56A33">
        <w:rPr>
          <w:sz w:val="24"/>
          <w:lang w:val="da-DK"/>
        </w:rPr>
        <w:tab/>
      </w:r>
      <w:r w:rsidRPr="00B56A33">
        <w:rPr>
          <w:sz w:val="24"/>
          <w:lang w:val="da-DK"/>
        </w:rPr>
        <w:t xml:space="preserve">EUT L 433 I af 22.12.2020, s. 11, ELI: </w:t>
      </w:r>
      <w:hyperlink r:id="rId2" w:history="1">
        <w:r w:rsidRPr="00B56A33">
          <w:rPr>
            <w:rStyle w:val="Hyperlink"/>
            <w:sz w:val="24"/>
            <w:lang w:val="da-DK"/>
          </w:rPr>
          <w:t>http://data.europa.eu/eli/reg/2020/2093/oj</w:t>
        </w:r>
      </w:hyperlink>
      <w:r w:rsidRPr="00B56A33">
        <w:rPr>
          <w:sz w:val="24"/>
          <w:lang w:val="da-DK"/>
        </w:rPr>
        <w:t>.</w:t>
      </w:r>
    </w:p>
  </w:footnote>
  <w:footnote w:id="3">
    <w:p w14:paraId="60030AC4" w14:textId="08012CDA" w:rsidR="0093593D" w:rsidRPr="00B56A33" w:rsidRDefault="0093593D" w:rsidP="003B6B7F">
      <w:pPr>
        <w:pStyle w:val="FootnoteText"/>
        <w:ind w:left="567" w:hanging="567"/>
        <w:rPr>
          <w:sz w:val="24"/>
          <w:lang w:val="da-DK"/>
        </w:rPr>
      </w:pPr>
      <w:r w:rsidRPr="00B56A33">
        <w:rPr>
          <w:rStyle w:val="FootnoteReference"/>
          <w:sz w:val="24"/>
          <w:lang w:val="da-DK"/>
        </w:rPr>
        <w:footnoteRef/>
      </w:r>
      <w:r w:rsidR="003B6B7F" w:rsidRPr="00B56A33">
        <w:rPr>
          <w:sz w:val="24"/>
          <w:shd w:val="clear" w:color="auto" w:fill="FFFFFF"/>
          <w:lang w:val="da-DK"/>
        </w:rPr>
        <w:t xml:space="preserve"> </w:t>
      </w:r>
      <w:r w:rsidR="003B6B7F" w:rsidRPr="00B56A33">
        <w:rPr>
          <w:sz w:val="24"/>
          <w:shd w:val="clear" w:color="auto" w:fill="FFFFFF"/>
          <w:lang w:val="da-DK"/>
        </w:rPr>
        <w:tab/>
      </w:r>
      <w:r w:rsidRPr="00B56A33">
        <w:rPr>
          <w:sz w:val="24"/>
          <w:shd w:val="clear" w:color="auto" w:fill="FFFFFF"/>
          <w:lang w:val="da-DK"/>
        </w:rPr>
        <w:t xml:space="preserve">Rådets forordning (EU, </w:t>
      </w:r>
      <w:proofErr w:type="spellStart"/>
      <w:r w:rsidRPr="00B56A33">
        <w:rPr>
          <w:sz w:val="24"/>
          <w:shd w:val="clear" w:color="auto" w:fill="FFFFFF"/>
          <w:lang w:val="da-DK"/>
        </w:rPr>
        <w:t>Euratom</w:t>
      </w:r>
      <w:proofErr w:type="spellEnd"/>
      <w:r w:rsidRPr="00B56A33">
        <w:rPr>
          <w:sz w:val="24"/>
          <w:shd w:val="clear" w:color="auto" w:fill="FFFFFF"/>
          <w:lang w:val="da-DK"/>
        </w:rPr>
        <w:t xml:space="preserve">) 2024/765 af 29. februar 2024 om ændring af forordning (EU, </w:t>
      </w:r>
      <w:proofErr w:type="spellStart"/>
      <w:r w:rsidRPr="00B56A33">
        <w:rPr>
          <w:sz w:val="24"/>
          <w:shd w:val="clear" w:color="auto" w:fill="FFFFFF"/>
          <w:lang w:val="da-DK"/>
        </w:rPr>
        <w:t>Euratom</w:t>
      </w:r>
      <w:proofErr w:type="spellEnd"/>
      <w:r w:rsidRPr="00B56A33">
        <w:rPr>
          <w:sz w:val="24"/>
          <w:shd w:val="clear" w:color="auto" w:fill="FFFFFF"/>
          <w:lang w:val="da-DK"/>
        </w:rPr>
        <w:t>) 2020/2093 om fastlæggelse af den flerårige finansielle ramme for årene 2021-2027 (EUT L, 2024/765, 29.2.2024, ELI:</w:t>
      </w:r>
      <w:r w:rsidRPr="00B56A33">
        <w:rPr>
          <w:color w:val="333333"/>
          <w:sz w:val="24"/>
          <w:shd w:val="clear" w:color="auto" w:fill="FFFFFF"/>
          <w:lang w:val="da-DK"/>
        </w:rPr>
        <w:t xml:space="preserve"> </w:t>
      </w:r>
      <w:hyperlink r:id="rId3" w:history="1">
        <w:r w:rsidRPr="00B56A33">
          <w:rPr>
            <w:rStyle w:val="Hyperlink"/>
            <w:sz w:val="24"/>
            <w:shd w:val="clear" w:color="auto" w:fill="FFFFFF"/>
            <w:lang w:val="da-DK"/>
          </w:rPr>
          <w:t>http://data.europa.eu/eli/reg/2024/765/oj</w:t>
        </w:r>
      </w:hyperlink>
      <w:r w:rsidRPr="00B56A33">
        <w:rPr>
          <w:i/>
          <w:color w:val="333333"/>
          <w:sz w:val="24"/>
          <w:shd w:val="clear" w:color="auto" w:fill="FFFFFF"/>
          <w:lang w:val="da-DK"/>
        </w:rPr>
        <w:t>).</w:t>
      </w:r>
    </w:p>
  </w:footnote>
  <w:footnote w:id="4">
    <w:p w14:paraId="6FC0F8A3" w14:textId="2F599D0A" w:rsidR="0093593D" w:rsidRPr="00B56A33" w:rsidRDefault="0093593D" w:rsidP="003B6B7F">
      <w:pPr>
        <w:pStyle w:val="FootnoteText"/>
        <w:ind w:left="567" w:hanging="567"/>
        <w:rPr>
          <w:sz w:val="24"/>
          <w:lang w:val="da-DK"/>
        </w:rPr>
      </w:pPr>
      <w:r w:rsidRPr="00B56A33">
        <w:rPr>
          <w:rStyle w:val="FootnoteReference"/>
          <w:sz w:val="24"/>
          <w:lang w:val="da-DK"/>
        </w:rPr>
        <w:footnoteRef/>
      </w:r>
      <w:r w:rsidR="003B6B7F" w:rsidRPr="00B56A33">
        <w:rPr>
          <w:sz w:val="24"/>
          <w:lang w:val="da-DK"/>
        </w:rPr>
        <w:t xml:space="preserve"> </w:t>
      </w:r>
      <w:r w:rsidR="003B6B7F" w:rsidRPr="00B56A33">
        <w:rPr>
          <w:sz w:val="24"/>
          <w:lang w:val="da-DK"/>
        </w:rPr>
        <w:tab/>
      </w:r>
      <w:r w:rsidRPr="00B56A33">
        <w:rPr>
          <w:sz w:val="24"/>
          <w:lang w:val="da-DK"/>
        </w:rPr>
        <w:t xml:space="preserve">EUT L 433 I af 22.12.2020, s. 28, ELI: </w:t>
      </w:r>
      <w:hyperlink r:id="rId4" w:history="1">
        <w:r w:rsidRPr="00B56A33">
          <w:rPr>
            <w:rStyle w:val="Hyperlink"/>
            <w:sz w:val="24"/>
            <w:lang w:val="da-DK"/>
          </w:rPr>
          <w:t>http://data.europa.eu/eli/agree_interinstit/2020/1222/oj</w:t>
        </w:r>
      </w:hyperlink>
      <w:r w:rsidRPr="00B56A33">
        <w:rPr>
          <w:sz w:val="24"/>
          <w:lang w:val="da-DK"/>
        </w:rPr>
        <w:t>.</w:t>
      </w:r>
    </w:p>
  </w:footnote>
  <w:footnote w:id="5">
    <w:p w14:paraId="590F7395" w14:textId="07EDA35C" w:rsidR="0093593D" w:rsidRPr="00B56A33" w:rsidRDefault="0093593D" w:rsidP="003B6B7F">
      <w:pPr>
        <w:pStyle w:val="FootnoteText"/>
        <w:ind w:left="567" w:hanging="567"/>
        <w:rPr>
          <w:sz w:val="24"/>
          <w:lang w:val="da-DK"/>
        </w:rPr>
      </w:pPr>
      <w:r w:rsidRPr="00B56A33">
        <w:rPr>
          <w:rStyle w:val="FootnoteReference"/>
          <w:sz w:val="24"/>
          <w:lang w:val="da-DK"/>
        </w:rPr>
        <w:footnoteRef/>
      </w:r>
      <w:r w:rsidR="003B6B7F" w:rsidRPr="00B56A33">
        <w:rPr>
          <w:sz w:val="24"/>
          <w:lang w:val="da-DK"/>
        </w:rPr>
        <w:t xml:space="preserve"> </w:t>
      </w:r>
      <w:r w:rsidR="003B6B7F" w:rsidRPr="00B56A33">
        <w:rPr>
          <w:sz w:val="24"/>
          <w:lang w:val="da-DK"/>
        </w:rPr>
        <w:tab/>
      </w:r>
      <w:r w:rsidRPr="00B56A33">
        <w:rPr>
          <w:sz w:val="24"/>
          <w:lang w:val="da-DK"/>
        </w:rPr>
        <w:t>Som omhandlet i EGF-forordningens artikel 3.</w:t>
      </w:r>
    </w:p>
  </w:footnote>
  <w:footnote w:id="6">
    <w:p w14:paraId="40D20A66" w14:textId="2A560DE6" w:rsidR="0093593D" w:rsidRPr="00B56A33" w:rsidRDefault="0093593D" w:rsidP="003B6B7F">
      <w:pPr>
        <w:pStyle w:val="FootnoteText"/>
        <w:ind w:left="567" w:hanging="567"/>
        <w:rPr>
          <w:sz w:val="24"/>
          <w:lang w:val="da-DK"/>
        </w:rPr>
      </w:pPr>
      <w:r w:rsidRPr="00B56A33">
        <w:rPr>
          <w:rStyle w:val="FootnoteReference"/>
          <w:sz w:val="24"/>
          <w:lang w:val="da-DK"/>
        </w:rPr>
        <w:footnoteRef/>
      </w:r>
      <w:r w:rsidR="003B6B7F" w:rsidRPr="00B56A33">
        <w:rPr>
          <w:sz w:val="24"/>
          <w:lang w:val="da-DK"/>
        </w:rPr>
        <w:t xml:space="preserve"> </w:t>
      </w:r>
      <w:r w:rsidR="003B6B7F" w:rsidRPr="00B56A33">
        <w:rPr>
          <w:sz w:val="24"/>
          <w:lang w:val="da-DK"/>
        </w:rPr>
        <w:tab/>
      </w:r>
      <w:r w:rsidRPr="00B56A33">
        <w:rPr>
          <w:sz w:val="24"/>
          <w:lang w:val="da-DK"/>
        </w:rPr>
        <w:t>FFR-forordningens artikel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79FA7" w14:textId="77777777" w:rsidR="00064002" w:rsidRPr="003B6B7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69159" w14:textId="77777777" w:rsidR="00064002" w:rsidRPr="003B6B7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87512" w14:textId="77777777" w:rsidR="00064002" w:rsidRPr="003B6B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3032780">
    <w:abstractNumId w:val="9"/>
  </w:num>
  <w:num w:numId="2" w16cid:durableId="1347094507">
    <w:abstractNumId w:val="9"/>
  </w:num>
  <w:num w:numId="3" w16cid:durableId="781725536">
    <w:abstractNumId w:val="7"/>
  </w:num>
  <w:num w:numId="4" w16cid:durableId="575092825">
    <w:abstractNumId w:val="7"/>
  </w:num>
  <w:num w:numId="5" w16cid:durableId="1112671129">
    <w:abstractNumId w:val="6"/>
  </w:num>
  <w:num w:numId="6" w16cid:durableId="357121849">
    <w:abstractNumId w:val="6"/>
  </w:num>
  <w:num w:numId="7" w16cid:durableId="1928951853">
    <w:abstractNumId w:val="5"/>
  </w:num>
  <w:num w:numId="8" w16cid:durableId="1551725599">
    <w:abstractNumId w:val="5"/>
  </w:num>
  <w:num w:numId="9" w16cid:durableId="851459580">
    <w:abstractNumId w:val="4"/>
  </w:num>
  <w:num w:numId="10" w16cid:durableId="453907767">
    <w:abstractNumId w:val="4"/>
  </w:num>
  <w:num w:numId="11" w16cid:durableId="642665022">
    <w:abstractNumId w:val="8"/>
  </w:num>
  <w:num w:numId="12" w16cid:durableId="798032610">
    <w:abstractNumId w:val="8"/>
  </w:num>
  <w:num w:numId="13" w16cid:durableId="1386950185">
    <w:abstractNumId w:val="3"/>
  </w:num>
  <w:num w:numId="14" w16cid:durableId="809788151">
    <w:abstractNumId w:val="3"/>
  </w:num>
  <w:num w:numId="15" w16cid:durableId="1693535785">
    <w:abstractNumId w:val="2"/>
  </w:num>
  <w:num w:numId="16" w16cid:durableId="253058494">
    <w:abstractNumId w:val="2"/>
  </w:num>
  <w:num w:numId="17" w16cid:durableId="2126607454">
    <w:abstractNumId w:val="1"/>
  </w:num>
  <w:num w:numId="18" w16cid:durableId="820736434">
    <w:abstractNumId w:val="1"/>
  </w:num>
  <w:num w:numId="19" w16cid:durableId="1086346087">
    <w:abstractNumId w:val="0"/>
  </w:num>
  <w:num w:numId="20" w16cid:durableId="643848129">
    <w:abstractNumId w:val="0"/>
  </w:num>
  <w:num w:numId="21" w16cid:durableId="1024592933">
    <w:abstractNumId w:val="9"/>
  </w:num>
  <w:num w:numId="22" w16cid:durableId="1456943478">
    <w:abstractNumId w:val="7"/>
  </w:num>
  <w:num w:numId="23" w16cid:durableId="216402690">
    <w:abstractNumId w:val="6"/>
  </w:num>
  <w:num w:numId="24" w16cid:durableId="538906337">
    <w:abstractNumId w:val="5"/>
  </w:num>
  <w:num w:numId="25" w16cid:durableId="1273170875">
    <w:abstractNumId w:val="4"/>
  </w:num>
  <w:num w:numId="26" w16cid:durableId="1477719299">
    <w:abstractNumId w:val="8"/>
  </w:num>
  <w:num w:numId="27" w16cid:durableId="1500923431">
    <w:abstractNumId w:val="3"/>
  </w:num>
  <w:num w:numId="28" w16cid:durableId="551581933">
    <w:abstractNumId w:val="2"/>
  </w:num>
  <w:num w:numId="29" w16cid:durableId="1800562704">
    <w:abstractNumId w:val="1"/>
  </w:num>
  <w:num w:numId="30" w16cid:durableId="1165364752">
    <w:abstractNumId w:val="0"/>
  </w:num>
  <w:num w:numId="31" w16cid:durableId="1745104825">
    <w:abstractNumId w:val="9"/>
  </w:num>
  <w:num w:numId="32" w16cid:durableId="1413965544">
    <w:abstractNumId w:val="7"/>
  </w:num>
  <w:num w:numId="33" w16cid:durableId="1795827893">
    <w:abstractNumId w:val="6"/>
  </w:num>
  <w:num w:numId="34" w16cid:durableId="230386257">
    <w:abstractNumId w:val="5"/>
  </w:num>
  <w:num w:numId="35" w16cid:durableId="1884946972">
    <w:abstractNumId w:val="4"/>
  </w:num>
  <w:num w:numId="36" w16cid:durableId="104808309">
    <w:abstractNumId w:val="8"/>
  </w:num>
  <w:num w:numId="37" w16cid:durableId="1412460932">
    <w:abstractNumId w:val="3"/>
  </w:num>
  <w:num w:numId="38" w16cid:durableId="1442921426">
    <w:abstractNumId w:val="2"/>
  </w:num>
  <w:num w:numId="39" w16cid:durableId="310905889">
    <w:abstractNumId w:val="1"/>
  </w:num>
  <w:num w:numId="40" w16cid:durableId="284312804">
    <w:abstractNumId w:val="0"/>
  </w:num>
  <w:num w:numId="41" w16cid:durableId="1437826406">
    <w:abstractNumId w:val="10"/>
  </w:num>
  <w:num w:numId="42" w16cid:durableId="174855391">
    <w:abstractNumId w:val="10"/>
  </w:num>
  <w:num w:numId="43" w16cid:durableId="559361418">
    <w:abstractNumId w:val="10"/>
  </w:num>
  <w:num w:numId="44" w16cid:durableId="6310606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0/2026"/>
    <w:docVar w:name="dvlangue" w:val="DA"/>
    <w:docVar w:name="dvnumam" w:val="0"/>
    <w:docVar w:name="dvpe" w:val="782.416"/>
    <w:docVar w:name="dvrapporteur" w:val="Ordfører: "/>
    <w:docVar w:name="dvtitre" w:val="Europa-Parlamentets beslutning af xx. marts 2026 om forslag til Europa-Parlamentets og Rådets afgørelse om mobilisering af Den Europæiske Fond for Tilpasning til Globaliseringen for Afskedigede Arbejdstagere på baggrund af en ansøgning fra Belgien – EGF/2025/004 BE/Tupperware (COM(2026)0001 – C10-0012/2026 – 2026/0004(BUD))"/>
  </w:docVars>
  <w:rsids>
    <w:rsidRoot w:val="003564E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64E1"/>
    <w:rsid w:val="00361C00"/>
    <w:rsid w:val="00395FA1"/>
    <w:rsid w:val="003B6B7F"/>
    <w:rsid w:val="003E15D4"/>
    <w:rsid w:val="00411CCE"/>
    <w:rsid w:val="0041666E"/>
    <w:rsid w:val="00421060"/>
    <w:rsid w:val="00471C19"/>
    <w:rsid w:val="004867E3"/>
    <w:rsid w:val="00494A28"/>
    <w:rsid w:val="004C0004"/>
    <w:rsid w:val="004C5D52"/>
    <w:rsid w:val="004F3F33"/>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1A4"/>
    <w:rsid w:val="00930C23"/>
    <w:rsid w:val="0093193B"/>
    <w:rsid w:val="0093593D"/>
    <w:rsid w:val="009509D8"/>
    <w:rsid w:val="00950B64"/>
    <w:rsid w:val="00974A41"/>
    <w:rsid w:val="00981893"/>
    <w:rsid w:val="00A1687D"/>
    <w:rsid w:val="00A43E52"/>
    <w:rsid w:val="00A4678D"/>
    <w:rsid w:val="00A5277D"/>
    <w:rsid w:val="00A778C7"/>
    <w:rsid w:val="00A819A0"/>
    <w:rsid w:val="00AB3A7D"/>
    <w:rsid w:val="00AB441E"/>
    <w:rsid w:val="00AB6293"/>
    <w:rsid w:val="00AC7F9C"/>
    <w:rsid w:val="00AD1D68"/>
    <w:rsid w:val="00AE0928"/>
    <w:rsid w:val="00AF3B82"/>
    <w:rsid w:val="00B12E95"/>
    <w:rsid w:val="00B22876"/>
    <w:rsid w:val="00B558F0"/>
    <w:rsid w:val="00B56A3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5FD0"/>
    <w:rsid w:val="00E10083"/>
    <w:rsid w:val="00E365E1"/>
    <w:rsid w:val="00E820A4"/>
    <w:rsid w:val="00EB006A"/>
    <w:rsid w:val="00EB4772"/>
    <w:rsid w:val="00ED169E"/>
    <w:rsid w:val="00ED4235"/>
    <w:rsid w:val="00F04346"/>
    <w:rsid w:val="00F075DC"/>
    <w:rsid w:val="00F149E9"/>
    <w:rsid w:val="00F5134D"/>
    <w:rsid w:val="00F74202"/>
    <w:rsid w:val="00F87713"/>
    <w:rsid w:val="00FA790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FE676"/>
  <w15:chartTrackingRefBased/>
  <w15:docId w15:val="{45DC73F3-75DA-4D30-A628-ED66E8925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3593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93593D"/>
    <w:pPr>
      <w:keepNext/>
      <w:spacing w:after="480"/>
      <w:jc w:val="center"/>
    </w:pPr>
    <w:rPr>
      <w:rFonts w:ascii="Arial" w:hAnsi="Arial" w:cs="Arial"/>
      <w:b/>
    </w:rPr>
  </w:style>
  <w:style w:type="paragraph" w:customStyle="1" w:styleId="NormalHanging12a">
    <w:name w:val="NormalHanging12a"/>
    <w:basedOn w:val="Normal"/>
    <w:link w:val="NormalHanging12aChar"/>
    <w:rsid w:val="0093593D"/>
    <w:pPr>
      <w:spacing w:after="240"/>
      <w:ind w:left="567" w:hanging="567"/>
    </w:pPr>
  </w:style>
  <w:style w:type="paragraph" w:styleId="Header">
    <w:name w:val="header"/>
    <w:basedOn w:val="Normal"/>
    <w:link w:val="HeaderChar"/>
    <w:rsid w:val="0093593D"/>
    <w:pPr>
      <w:tabs>
        <w:tab w:val="center" w:pos="4513"/>
        <w:tab w:val="right" w:pos="9026"/>
      </w:tabs>
    </w:pPr>
  </w:style>
  <w:style w:type="character" w:customStyle="1" w:styleId="HeaderChar">
    <w:name w:val="Header Char"/>
    <w:basedOn w:val="DefaultParagraphFont"/>
    <w:link w:val="Header"/>
    <w:rsid w:val="0093593D"/>
    <w:rPr>
      <w:sz w:val="24"/>
      <w:lang w:val="da-DK"/>
    </w:rPr>
  </w:style>
  <w:style w:type="paragraph" w:customStyle="1" w:styleId="EPFooter">
    <w:name w:val="EPFooter"/>
    <w:basedOn w:val="Normal"/>
    <w:rsid w:val="0093593D"/>
    <w:pPr>
      <w:tabs>
        <w:tab w:val="center" w:pos="4535"/>
        <w:tab w:val="right" w:pos="9071"/>
      </w:tabs>
      <w:spacing w:before="240" w:after="240"/>
    </w:pPr>
    <w:rPr>
      <w:color w:val="010000"/>
      <w:sz w:val="22"/>
    </w:rPr>
  </w:style>
  <w:style w:type="paragraph" w:customStyle="1" w:styleId="EPComma">
    <w:name w:val="EPComma"/>
    <w:basedOn w:val="Normal"/>
    <w:rsid w:val="0093593D"/>
    <w:pPr>
      <w:spacing w:before="480" w:after="240"/>
    </w:pPr>
  </w:style>
  <w:style w:type="character" w:styleId="Hyperlink">
    <w:name w:val="Hyperlink"/>
    <w:basedOn w:val="DefaultParagraphFont"/>
    <w:uiPriority w:val="99"/>
    <w:rsid w:val="0093593D"/>
    <w:rPr>
      <w:color w:val="0563C1" w:themeColor="hyperlink"/>
      <w:u w:val="single"/>
    </w:rPr>
  </w:style>
  <w:style w:type="paragraph" w:customStyle="1" w:styleId="Institutionquiagit">
    <w:name w:val="Institution qui agit"/>
    <w:basedOn w:val="Normal"/>
    <w:next w:val="Normal"/>
    <w:rsid w:val="0093593D"/>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93593D"/>
    <w:pPr>
      <w:widowControl/>
      <w:spacing w:before="120" w:after="120"/>
      <w:ind w:left="709" w:hanging="709"/>
      <w:jc w:val="both"/>
    </w:pPr>
    <w:rPr>
      <w:rFonts w:eastAsiaTheme="minorHAnsi"/>
      <w:szCs w:val="22"/>
      <w:lang w:eastAsia="en-US"/>
    </w:rPr>
  </w:style>
  <w:style w:type="paragraph" w:customStyle="1" w:styleId="Institutionquisigne">
    <w:name w:val="Institution qui signe"/>
    <w:basedOn w:val="Normal"/>
    <w:next w:val="Normal"/>
    <w:rsid w:val="0093593D"/>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93593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3593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3593D"/>
    <w:pPr>
      <w:keepNext/>
      <w:widowControl/>
      <w:spacing w:before="120" w:after="120"/>
      <w:jc w:val="both"/>
    </w:pPr>
    <w:rPr>
      <w:rFonts w:eastAsiaTheme="minorHAnsi"/>
      <w:szCs w:val="22"/>
      <w:lang w:eastAsia="en-US"/>
    </w:rPr>
  </w:style>
  <w:style w:type="character" w:customStyle="1" w:styleId="PageHeadingChar">
    <w:name w:val="PageHeading Char"/>
    <w:basedOn w:val="DefaultParagraphFont"/>
    <w:link w:val="PageHeading"/>
    <w:locked/>
    <w:rsid w:val="0093593D"/>
    <w:rPr>
      <w:rFonts w:ascii="Arial" w:hAnsi="Arial" w:cs="Arial"/>
      <w:b/>
      <w:sz w:val="24"/>
      <w:lang w:val="da-DK"/>
    </w:rPr>
  </w:style>
  <w:style w:type="character" w:customStyle="1" w:styleId="NormalHanging12aChar">
    <w:name w:val="NormalHanging12a Char"/>
    <w:basedOn w:val="DefaultParagraphFont"/>
    <w:link w:val="NormalHanging12a"/>
    <w:locked/>
    <w:rsid w:val="0093593D"/>
    <w:rPr>
      <w:sz w:val="24"/>
      <w:lang w:val="da-DK"/>
    </w:rPr>
  </w:style>
  <w:style w:type="paragraph" w:customStyle="1" w:styleId="Personnequisigne">
    <w:name w:val="Personne qui signe"/>
    <w:basedOn w:val="Normal"/>
    <w:next w:val="Institutionquisigne"/>
    <w:rsid w:val="0093593D"/>
    <w:pPr>
      <w:widowControl/>
      <w:tabs>
        <w:tab w:val="left" w:pos="4252"/>
      </w:tabs>
    </w:pPr>
    <w:rPr>
      <w:rFonts w:eastAsiaTheme="minorHAnsi"/>
      <w:i/>
      <w:szCs w:val="22"/>
      <w:lang w:eastAsia="en-US"/>
    </w:rPr>
  </w:style>
  <w:style w:type="paragraph" w:styleId="Revision">
    <w:name w:val="Revision"/>
    <w:hidden/>
    <w:uiPriority w:val="99"/>
    <w:semiHidden/>
    <w:rsid w:val="00A819A0"/>
    <w:rPr>
      <w:sz w:val="24"/>
      <w:lang w:val="da-DK"/>
    </w:rPr>
  </w:style>
  <w:style w:type="character" w:styleId="CommentReference">
    <w:name w:val="annotation reference"/>
    <w:basedOn w:val="DefaultParagraphFont"/>
    <w:rsid w:val="00A819A0"/>
    <w:rPr>
      <w:sz w:val="16"/>
      <w:szCs w:val="16"/>
    </w:rPr>
  </w:style>
  <w:style w:type="paragraph" w:styleId="CommentText">
    <w:name w:val="annotation text"/>
    <w:basedOn w:val="Normal"/>
    <w:link w:val="CommentTextChar"/>
    <w:rsid w:val="00A819A0"/>
    <w:rPr>
      <w:sz w:val="20"/>
    </w:rPr>
  </w:style>
  <w:style w:type="character" w:customStyle="1" w:styleId="CommentTextChar">
    <w:name w:val="Comment Text Char"/>
    <w:basedOn w:val="DefaultParagraphFont"/>
    <w:link w:val="CommentText"/>
    <w:rsid w:val="00A819A0"/>
    <w:rPr>
      <w:lang w:val="da-DK"/>
    </w:rPr>
  </w:style>
  <w:style w:type="paragraph" w:styleId="CommentSubject">
    <w:name w:val="annotation subject"/>
    <w:basedOn w:val="CommentText"/>
    <w:next w:val="CommentText"/>
    <w:link w:val="CommentSubjectChar"/>
    <w:rsid w:val="00A819A0"/>
    <w:rPr>
      <w:b/>
      <w:bCs/>
    </w:rPr>
  </w:style>
  <w:style w:type="character" w:customStyle="1" w:styleId="CommentSubjectChar">
    <w:name w:val="Comment Subject Char"/>
    <w:basedOn w:val="CommentTextChar"/>
    <w:link w:val="CommentSubject"/>
    <w:rsid w:val="00A819A0"/>
    <w:rPr>
      <w:b/>
      <w:bCs/>
      <w:lang w:val="da-DK"/>
    </w:rPr>
  </w:style>
  <w:style w:type="character" w:styleId="Emphasis">
    <w:name w:val="Emphasis"/>
    <w:basedOn w:val="DefaultParagraphFont"/>
    <w:qFormat/>
    <w:rsid w:val="00DF5FD0"/>
    <w:rPr>
      <w:rFonts w:asciiTheme="minorHAnsi" w:hAnsiTheme="minorHAnsi"/>
      <w:b/>
      <w:i/>
      <w:iCs/>
    </w:rPr>
  </w:style>
  <w:style w:type="paragraph" w:styleId="Footer">
    <w:name w:val="footer"/>
    <w:basedOn w:val="Normal"/>
    <w:link w:val="FooterChar"/>
    <w:rsid w:val="00DF5FD0"/>
    <w:pPr>
      <w:tabs>
        <w:tab w:val="center" w:pos="4513"/>
        <w:tab w:val="right" w:pos="9026"/>
      </w:tabs>
    </w:pPr>
  </w:style>
  <w:style w:type="character" w:customStyle="1" w:styleId="FooterChar">
    <w:name w:val="Footer Char"/>
    <w:basedOn w:val="DefaultParagraphFont"/>
    <w:link w:val="Footer"/>
    <w:rsid w:val="00DF5FD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1478</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2026-05-11T12:51:00Z</dcterms:created>
  <dcterms:modified xsi:type="dcterms:W3CDTF">2026-05-11T12:51:00Z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P10_TA(2026)0073_</vt:lpwstr>
  </property>
  <property fmtid="{D5CDD505-2E9C-101B-9397-08002B2CF9AE}" pid="4" name="&lt;Type&gt;">
    <vt:lpwstr>RR</vt:lpwstr>
  </property>
</Properties>
</file>